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charts/chart9.xml" ContentType="application/vnd.openxmlformats-officedocument.drawingml.chart+xml"/>
  <Override PartName="/word/diagrams/drawing3.xml" ContentType="application/vnd.ms-office.drawingml.diagramDrawing+xml"/>
  <Override PartName="/word/diagrams/drawing4.xml" ContentType="application/vnd.ms-office.drawingml.diagramDrawing+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diagrams/drawing1.xml" ContentType="application/vnd.ms-office.drawingml.diagramDrawing+xml"/>
  <Override PartName="/word/diagrams/drawing2.xml" ContentType="application/vnd.ms-office.drawingml.diagramDrawing+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diagrams/layout5.xml" ContentType="application/vnd.openxmlformats-officedocument.drawingml.diagramLayout+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docProps/core.xml" ContentType="application/vnd.openxmlformats-package.core-properties+xml"/>
  <Default Extension="png" ContentType="image/png"/>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Override PartName="/word/diagrams/data2.xml" ContentType="application/vnd.openxmlformats-officedocument.drawingml.diagramData+xml"/>
  <Override PartName="/word/diagrams/colors2.xml" ContentType="application/vnd.openxmlformats-officedocument.drawingml.diagramColors+xml"/>
  <Default Extension="emf" ContentType="image/x-emf"/>
  <Default Extension="jpeg" ContentType="image/jpeg"/>
  <Override PartName="/word/diagrams/drawing5.xml" ContentType="application/vnd.ms-office.drawingml.diagramDraw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00A9" w:rsidRDefault="007700A9" w:rsidP="007700A9">
      <w:pPr>
        <w:rPr>
          <w:rFonts w:ascii="Calibri" w:eastAsia="Calibri" w:hAnsi="Calibri" w:cs="Times New Roman"/>
        </w:rPr>
      </w:pPr>
    </w:p>
    <w:p w:rsidR="003126FC" w:rsidRPr="007700A9" w:rsidRDefault="003126FC" w:rsidP="007700A9">
      <w:pPr>
        <w:rPr>
          <w:rFonts w:ascii="Calibri" w:eastAsia="Calibri" w:hAnsi="Calibri" w:cs="Times New Roman"/>
        </w:rPr>
      </w:pPr>
    </w:p>
    <w:p w:rsidR="007700A9" w:rsidRPr="007700A9" w:rsidRDefault="007700A9" w:rsidP="007700A9">
      <w:pPr>
        <w:rPr>
          <w:rFonts w:ascii="Calibri" w:eastAsia="Calibri" w:hAnsi="Calibri" w:cs="Times New Roman"/>
        </w:rPr>
      </w:pPr>
    </w:p>
    <w:tbl>
      <w:tblPr>
        <w:tblpPr w:leftFromText="141" w:rightFromText="141" w:vertAnchor="text" w:horzAnchor="page" w:tblpX="966" w:tblpY="10772"/>
        <w:tblW w:w="10638" w:type="dxa"/>
        <w:tblBorders>
          <w:top w:val="single" w:sz="6" w:space="0" w:color="FFFFFF"/>
          <w:bottom w:val="single" w:sz="6" w:space="0" w:color="808080"/>
          <w:insideH w:val="single" w:sz="6" w:space="0" w:color="808080"/>
        </w:tblBorders>
        <w:tblLook w:val="00A0"/>
      </w:tblPr>
      <w:tblGrid>
        <w:gridCol w:w="3464"/>
        <w:gridCol w:w="3463"/>
        <w:gridCol w:w="3711"/>
      </w:tblGrid>
      <w:tr w:rsidR="007700A9" w:rsidRPr="007700A9" w:rsidTr="003A2765">
        <w:trPr>
          <w:trHeight w:val="1798"/>
        </w:trPr>
        <w:tc>
          <w:tcPr>
            <w:tcW w:w="3464" w:type="dxa"/>
            <w:tcBorders>
              <w:top w:val="nil"/>
              <w:left w:val="nil"/>
              <w:bottom w:val="single" w:sz="4" w:space="0" w:color="FFFFFF"/>
              <w:right w:val="nil"/>
            </w:tcBorders>
            <w:vAlign w:val="center"/>
          </w:tcPr>
          <w:p w:rsidR="007700A9" w:rsidRPr="007700A9" w:rsidRDefault="007700A9" w:rsidP="007700A9">
            <w:pPr>
              <w:spacing w:line="240" w:lineRule="auto"/>
              <w:jc w:val="center"/>
              <w:rPr>
                <w:rFonts w:ascii="Century Gothic" w:eastAsia="Calibri" w:hAnsi="Century Gothic" w:cs="Times New Roman"/>
                <w:b/>
              </w:rPr>
            </w:pPr>
          </w:p>
        </w:tc>
        <w:tc>
          <w:tcPr>
            <w:tcW w:w="3463" w:type="dxa"/>
            <w:tcBorders>
              <w:top w:val="nil"/>
              <w:left w:val="nil"/>
              <w:bottom w:val="single" w:sz="4" w:space="0" w:color="FFFFFF"/>
              <w:right w:val="nil"/>
            </w:tcBorders>
            <w:vAlign w:val="center"/>
          </w:tcPr>
          <w:p w:rsidR="007700A9" w:rsidRPr="007700A9" w:rsidRDefault="007700A9" w:rsidP="007700A9">
            <w:pPr>
              <w:spacing w:line="240" w:lineRule="auto"/>
              <w:jc w:val="center"/>
              <w:rPr>
                <w:rFonts w:ascii="Arial Narrow" w:eastAsia="Calibri" w:hAnsi="Arial Narrow" w:cs="Times New Roman"/>
                <w:b/>
              </w:rPr>
            </w:pPr>
          </w:p>
        </w:tc>
        <w:tc>
          <w:tcPr>
            <w:tcW w:w="3711" w:type="dxa"/>
            <w:tcBorders>
              <w:top w:val="nil"/>
              <w:left w:val="nil"/>
              <w:bottom w:val="single" w:sz="4" w:space="0" w:color="FFFFFF"/>
              <w:right w:val="nil"/>
            </w:tcBorders>
            <w:vAlign w:val="center"/>
          </w:tcPr>
          <w:p w:rsidR="007700A9" w:rsidRPr="007700A9" w:rsidRDefault="007700A9" w:rsidP="007700A9">
            <w:pPr>
              <w:spacing w:line="240" w:lineRule="auto"/>
              <w:jc w:val="center"/>
              <w:rPr>
                <w:rFonts w:ascii="Arial Narrow" w:eastAsia="Calibri" w:hAnsi="Arial Narrow" w:cs="Times New Roman"/>
                <w:b/>
              </w:rPr>
            </w:pPr>
            <w:r>
              <w:rPr>
                <w:rFonts w:ascii="Arial Narrow" w:eastAsia="Calibri" w:hAnsi="Arial Narrow" w:cs="Times New Roman"/>
                <w:b/>
                <w:noProof/>
                <w:lang w:val="es-CO" w:eastAsia="es-CO"/>
              </w:rPr>
              <w:drawing>
                <wp:inline distT="0" distB="0" distL="0" distR="0">
                  <wp:extent cx="2216785" cy="5778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6785" cy="577850"/>
                          </a:xfrm>
                          <a:prstGeom prst="rect">
                            <a:avLst/>
                          </a:prstGeom>
                          <a:noFill/>
                          <a:ln>
                            <a:noFill/>
                          </a:ln>
                        </pic:spPr>
                      </pic:pic>
                    </a:graphicData>
                  </a:graphic>
                </wp:inline>
              </w:drawing>
            </w:r>
          </w:p>
        </w:tc>
      </w:tr>
    </w:tbl>
    <w:p w:rsidR="007700A9" w:rsidRPr="007700A9" w:rsidRDefault="00C94AA3" w:rsidP="007700A9">
      <w:pPr>
        <w:jc w:val="center"/>
        <w:rPr>
          <w:rFonts w:ascii="Calibri" w:eastAsia="Calibri" w:hAnsi="Calibri" w:cs="Times New Roman"/>
        </w:rPr>
        <w:sectPr w:rsidR="007700A9" w:rsidRPr="007700A9" w:rsidSect="003A2765">
          <w:headerReference w:type="default" r:id="rId9"/>
          <w:pgSz w:w="12240" w:h="15840"/>
          <w:pgMar w:top="1417" w:right="1701" w:bottom="1417" w:left="1701" w:header="708" w:footer="708" w:gutter="0"/>
          <w:pgNumType w:start="1"/>
          <w:cols w:space="708"/>
          <w:titlePg/>
          <w:docGrid w:linePitch="360"/>
        </w:sectPr>
      </w:pPr>
      <w:r>
        <w:rPr>
          <w:rFonts w:ascii="Calibri" w:eastAsia="Calibri" w:hAnsi="Calibri" w:cs="Times New Roman"/>
          <w:noProof/>
          <w:lang w:val="es-CO" w:eastAsia="es-CO"/>
        </w:rPr>
        <w:pict>
          <v:shapetype id="_x0000_t202" coordsize="21600,21600" o:spt="202" path="m,l,21600r21600,l21600,xe">
            <v:stroke joinstyle="miter"/>
            <v:path gradientshapeok="t" o:connecttype="rect"/>
          </v:shapetype>
          <v:shape id="Text Box 4" o:spid="_x0000_s1026" type="#_x0000_t202" style="position:absolute;left:0;text-align:left;margin-left:-86.2pt;margin-top:192.55pt;width:176.5pt;height:15.8pt;z-index:251663360;visibility:visible;mso-width-percent:400;mso-height-percent:200;mso-position-horizontal-relative:text;mso-position-vertical-relative:tex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" filled="f" stroked="f">
            <v:textbox style="mso-fit-shape-to-text:t">
              <w:txbxContent>
                <w:p w:rsidR="00845F87" w:rsidRPr="0014515C" w:rsidRDefault="00845F87" w:rsidP="0014515C">
                  <w:pPr>
                    <w:spacing w:before="0" w:line="240" w:lineRule="auto"/>
                    <w:jc w:val="left"/>
                    <w:rPr>
                      <w:rFonts w:ascii="Century Gothic" w:hAnsi="Century Gothic"/>
                      <w:b/>
                      <w:color w:val="F2F2F2" w:themeColor="background1" w:themeShade="F2"/>
                      <w:sz w:val="12"/>
                      <w:lang w:val="es-ES"/>
                    </w:rPr>
                  </w:pPr>
                  <w:r w:rsidRPr="0014515C">
                    <w:rPr>
                      <w:rFonts w:ascii="Century Gothic" w:hAnsi="Century Gothic"/>
                      <w:b/>
                      <w:color w:val="F2F2F2" w:themeColor="background1" w:themeShade="F2"/>
                      <w:sz w:val="14"/>
                      <w:lang w:val="es-ES"/>
                    </w:rPr>
                    <w:t>Fuente: MINTIC. www.mintic.gov.co</w:t>
                  </w:r>
                </w:p>
              </w:txbxContent>
            </v:textbox>
          </v:shape>
        </w:pict>
      </w:r>
      <w:r>
        <w:rPr>
          <w:rFonts w:ascii="Calibri" w:eastAsia="Calibri" w:hAnsi="Calibri" w:cs="Times New Roman"/>
          <w:noProof/>
          <w:lang w:val="es-CO" w:eastAsia="es-CO"/>
        </w:rPr>
        <w:pict>
          <v:rect id="Rectángulo 19" o:spid="_x0000_s1027" style="position:absolute;left:0;text-align:left;margin-left:-87.05pt;margin-top:206.95pt;width:613.25pt;height:174.85pt;z-index:2516592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" fillcolor="#c00000" strokecolor="#c00000" strokeweight="2pt">
            <v:textbox>
              <w:txbxContent>
                <w:p w:rsidR="00845F87" w:rsidRPr="00CD751C" w:rsidRDefault="00845F87" w:rsidP="00F65E2A">
                  <w:pPr>
                    <w:pStyle w:val="Ttulo7"/>
                    <w:rPr>
                      <w:smallCaps w:val="0"/>
                      <w:color w:val="FFFFFF"/>
                      <w:sz w:val="56"/>
                      <w:szCs w:val="60"/>
                    </w:rPr>
                  </w:pPr>
                  <w:r w:rsidRPr="00CD751C">
                    <w:rPr>
                      <w:smallCaps w:val="0"/>
                      <w:color w:val="FFFFFF"/>
                      <w:sz w:val="56"/>
                      <w:szCs w:val="60"/>
                    </w:rPr>
                    <w:t xml:space="preserve">Evaluación de Resultados </w:t>
                  </w:r>
                </w:p>
                <w:p w:rsidR="00845F87" w:rsidRPr="00CD751C" w:rsidRDefault="00845F87" w:rsidP="00F65E2A">
                  <w:pPr>
                    <w:pStyle w:val="Ttulo7"/>
                    <w:spacing w:before="0"/>
                    <w:rPr>
                      <w:smallCaps w:val="0"/>
                      <w:color w:val="FFFFFF"/>
                      <w:sz w:val="56"/>
                      <w:szCs w:val="60"/>
                    </w:rPr>
                  </w:pPr>
                  <w:r w:rsidRPr="00CD751C">
                    <w:rPr>
                      <w:smallCaps w:val="0"/>
                      <w:color w:val="FFFFFF"/>
                      <w:sz w:val="56"/>
                      <w:szCs w:val="60"/>
                    </w:rPr>
                    <w:t>del Plan Vive Digital</w:t>
                  </w:r>
                </w:p>
                <w:p w:rsidR="00845F87" w:rsidRPr="001A5D7C" w:rsidRDefault="00845F87" w:rsidP="00F65E2A">
                  <w:pPr>
                    <w:spacing w:line="240" w:lineRule="auto"/>
                    <w:jc w:val="center"/>
                    <w:rPr>
                      <w:rFonts w:ascii="Century Gothic" w:hAnsi="Century Gothic"/>
                      <w:color w:val="FFFFFF"/>
                      <w:sz w:val="36"/>
                    </w:rPr>
                  </w:pPr>
                  <w:r w:rsidRPr="001A5D7C">
                    <w:rPr>
                      <w:rFonts w:ascii="Century Gothic" w:hAnsi="Century Gothic"/>
                      <w:smallCaps/>
                      <w:color w:val="FFFFFF"/>
                      <w:sz w:val="36"/>
                    </w:rPr>
                    <w:t xml:space="preserve">Informe III. </w:t>
                  </w:r>
                  <w:r>
                    <w:rPr>
                      <w:rFonts w:ascii="Century Gothic" w:hAnsi="Century Gothic"/>
                      <w:smallCaps/>
                      <w:color w:val="FFFFFF"/>
                      <w:sz w:val="36"/>
                    </w:rPr>
                    <w:t>A</w:t>
                  </w:r>
                  <w:r w:rsidRPr="001A5D7C">
                    <w:rPr>
                      <w:rFonts w:ascii="Century Gothic" w:hAnsi="Century Gothic"/>
                      <w:smallCaps/>
                      <w:color w:val="FFFFFF"/>
                      <w:sz w:val="36"/>
                    </w:rPr>
                    <w:t xml:space="preserve"> – Final</w:t>
                  </w:r>
                  <w:r w:rsidRPr="001A5D7C">
                    <w:rPr>
                      <w:rFonts w:ascii="Century Gothic" w:hAnsi="Century Gothic"/>
                      <w:color w:val="FFFFFF"/>
                      <w:sz w:val="22"/>
                    </w:rPr>
                    <w:t xml:space="preserve"> </w:t>
                  </w:r>
                  <w:r w:rsidRPr="001A5D7C">
                    <w:rPr>
                      <w:rFonts w:ascii="Century Gothic" w:hAnsi="Century Gothic"/>
                      <w:color w:val="FFFFFF"/>
                      <w:sz w:val="22"/>
                    </w:rPr>
                    <w:br/>
                  </w:r>
                  <w:r w:rsidRPr="001A5D7C">
                    <w:rPr>
                      <w:rFonts w:ascii="Century Gothic" w:hAnsi="Century Gothic"/>
                      <w:color w:val="FFFFFF"/>
                      <w:sz w:val="4"/>
                    </w:rPr>
                    <w:t> </w:t>
                  </w:r>
                  <w:r w:rsidRPr="001A5D7C">
                    <w:rPr>
                      <w:rFonts w:ascii="Century Gothic" w:hAnsi="Century Gothic"/>
                      <w:color w:val="FFFFFF"/>
                      <w:sz w:val="4"/>
                    </w:rPr>
                    <w:br/>
                  </w:r>
                  <w:r>
                    <w:rPr>
                      <w:rFonts w:ascii="Century Gothic" w:hAnsi="Century Gothic"/>
                      <w:color w:val="FFFFFF"/>
                      <w:sz w:val="36"/>
                    </w:rPr>
                    <w:t>Diciembre</w:t>
                  </w:r>
                  <w:r w:rsidRPr="001A5D7C">
                    <w:rPr>
                      <w:rFonts w:ascii="Century Gothic" w:hAnsi="Century Gothic"/>
                      <w:color w:val="FFFFFF"/>
                      <w:sz w:val="36"/>
                    </w:rPr>
                    <w:t xml:space="preserve"> de 2014</w:t>
                  </w:r>
                </w:p>
                <w:p w:rsidR="00845F87" w:rsidRPr="00730E4A" w:rsidRDefault="00845F87" w:rsidP="007700A9">
                  <w:pPr>
                    <w:spacing w:line="240" w:lineRule="auto"/>
                    <w:jc w:val="center"/>
                    <w:rPr>
                      <w:rFonts w:ascii="Century Gothic" w:hAnsi="Century Gothic"/>
                      <w:color w:val="FFFFFF" w:themeColor="background1"/>
                    </w:rPr>
                  </w:pPr>
                </w:p>
              </w:txbxContent>
            </v:textbox>
          </v:rect>
        </w:pict>
      </w:r>
      <w:r w:rsidR="00CE48FB">
        <w:rPr>
          <w:rFonts w:ascii="Calibri" w:eastAsia="Calibri" w:hAnsi="Calibri" w:cs="Times New Roman"/>
          <w:noProof/>
          <w:lang w:val="es-CO" w:eastAsia="es-CO"/>
        </w:rPr>
        <w:drawing>
          <wp:anchor distT="0" distB="0" distL="114300" distR="114300" simplePos="0" relativeHeight="251661312" behindDoc="0" locked="0" layoutInCell="1" allowOverlap="1">
            <wp:simplePos x="0" y="0"/>
            <wp:positionH relativeFrom="margin">
              <wp:posOffset>-1089660</wp:posOffset>
            </wp:positionH>
            <wp:positionV relativeFrom="margin">
              <wp:posOffset>2726690</wp:posOffset>
            </wp:positionV>
            <wp:extent cx="7788275" cy="1974850"/>
            <wp:effectExtent l="0" t="0" r="3175" b="635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88275" cy="1974850"/>
                    </a:xfrm>
                    <a:prstGeom prst="rect">
                      <a:avLst/>
                    </a:prstGeom>
                    <a:noFill/>
                  </pic:spPr>
                </pic:pic>
              </a:graphicData>
            </a:graphic>
          </wp:anchor>
        </w:drawing>
      </w:r>
      <w:r w:rsidR="007700A9">
        <w:rPr>
          <w:rFonts w:ascii="Calibri" w:eastAsia="Calibri" w:hAnsi="Calibri" w:cs="Times New Roman"/>
          <w:noProof/>
          <w:lang w:val="es-CO" w:eastAsia="es-CO"/>
        </w:rPr>
        <w:drawing>
          <wp:anchor distT="0" distB="0" distL="114300" distR="114300" simplePos="0" relativeHeight="251660288" behindDoc="0" locked="0" layoutInCell="1" allowOverlap="1">
            <wp:simplePos x="0" y="0"/>
            <wp:positionH relativeFrom="margin">
              <wp:posOffset>118110</wp:posOffset>
            </wp:positionH>
            <wp:positionV relativeFrom="margin">
              <wp:posOffset>788035</wp:posOffset>
            </wp:positionV>
            <wp:extent cx="5727700" cy="871220"/>
            <wp:effectExtent l="0" t="0" r="0" b="0"/>
            <wp:wrapSquare wrapText="bothSides"/>
            <wp:docPr id="20" name="Imagen 20" descr="Descripción: Vive Dig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Vive Digital"/>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2107"/>
                    <a:stretch>
                      <a:fillRect/>
                    </a:stretch>
                  </pic:blipFill>
                  <pic:spPr bwMode="auto">
                    <a:xfrm>
                      <a:off x="0" y="0"/>
                      <a:ext cx="5727700" cy="871220"/>
                    </a:xfrm>
                    <a:prstGeom prst="rect">
                      <a:avLst/>
                    </a:prstGeom>
                    <a:noFill/>
                  </pic:spPr>
                </pic:pic>
              </a:graphicData>
            </a:graphic>
          </wp:anchor>
        </w:drawing>
      </w:r>
    </w:p>
    <w:p w:rsidR="00555FC7" w:rsidRDefault="00555FC7" w:rsidP="006127B0">
      <w:pPr>
        <w:pStyle w:val="Ttulo2"/>
        <w:numPr>
          <w:ilvl w:val="0"/>
          <w:numId w:val="0"/>
        </w:numPr>
        <w:ind w:left="576"/>
        <w:rPr>
          <w:rStyle w:val="MquinadeescribirHTML"/>
          <w:rFonts w:ascii="Century Gothic" w:eastAsiaTheme="majorEastAsia" w:hAnsi="Century Gothic"/>
          <w:color w:val="222222"/>
          <w:shd w:val="clear" w:color="auto" w:fill="FFFFFF"/>
          <w:lang w:val="es-ES"/>
        </w:rPr>
      </w:pPr>
      <w:bookmarkStart w:id="0" w:name="_Toc349766525"/>
      <w:bookmarkStart w:id="1" w:name="_Toc349768063"/>
      <w:bookmarkStart w:id="2" w:name="_Toc349827257"/>
      <w:bookmarkStart w:id="3" w:name="_Toc349846346"/>
      <w:bookmarkStart w:id="4" w:name="_Toc351269607"/>
      <w:bookmarkStart w:id="5" w:name="_Toc351284315"/>
      <w:bookmarkStart w:id="6" w:name="_Toc351287289"/>
      <w:bookmarkStart w:id="7" w:name="_Toc351298179"/>
      <w:bookmarkStart w:id="8" w:name="_Toc351372441"/>
      <w:bookmarkStart w:id="9" w:name="_Toc351372752"/>
    </w:p>
    <w:p w:rsidR="006127B0" w:rsidRDefault="006127B0" w:rsidP="006127B0">
      <w:pPr>
        <w:rPr>
          <w:lang w:val="es-ES"/>
        </w:rPr>
      </w:pPr>
    </w:p>
    <w:p w:rsidR="006127B0" w:rsidRDefault="006127B0" w:rsidP="006127B0">
      <w:pPr>
        <w:rPr>
          <w:lang w:val="es-ES"/>
        </w:rPr>
      </w:pPr>
    </w:p>
    <w:p w:rsidR="006127B0" w:rsidRDefault="006127B0" w:rsidP="006127B0">
      <w:pPr>
        <w:rPr>
          <w:lang w:val="es-ES"/>
        </w:rPr>
      </w:pPr>
    </w:p>
    <w:p w:rsidR="006127B0" w:rsidRDefault="006127B0" w:rsidP="006127B0">
      <w:pPr>
        <w:rPr>
          <w:lang w:val="es-ES"/>
        </w:rPr>
      </w:pPr>
    </w:p>
    <w:p w:rsidR="006127B0" w:rsidRDefault="006127B0" w:rsidP="006127B0">
      <w:pPr>
        <w:rPr>
          <w:lang w:val="es-ES"/>
        </w:rPr>
      </w:pPr>
    </w:p>
    <w:p w:rsidR="006127B0" w:rsidRDefault="006127B0" w:rsidP="006127B0">
      <w:pPr>
        <w:rPr>
          <w:lang w:val="es-ES"/>
        </w:rPr>
      </w:pPr>
    </w:p>
    <w:p w:rsidR="006127B0" w:rsidRDefault="006127B0" w:rsidP="006127B0">
      <w:pPr>
        <w:rPr>
          <w:lang w:val="es-ES"/>
        </w:rPr>
      </w:pPr>
    </w:p>
    <w:p w:rsidR="006127B0" w:rsidRDefault="006127B0" w:rsidP="006127B0">
      <w:pPr>
        <w:rPr>
          <w:lang w:val="es-ES"/>
        </w:rPr>
      </w:pPr>
    </w:p>
    <w:p w:rsidR="006127B0" w:rsidRDefault="006127B0" w:rsidP="006127B0">
      <w:pPr>
        <w:rPr>
          <w:lang w:val="es-ES"/>
        </w:rPr>
      </w:pPr>
    </w:p>
    <w:p w:rsidR="00555FC7" w:rsidRPr="006127B0" w:rsidRDefault="00555FC7" w:rsidP="00CE48FB">
      <w:pPr>
        <w:spacing w:before="0"/>
        <w:jc w:val="left"/>
        <w:rPr>
          <w:rStyle w:val="MquinadeescribirHTML"/>
          <w:rFonts w:ascii="Century Gothic" w:eastAsiaTheme="majorEastAsia" w:hAnsi="Century Gothic"/>
          <w:color w:val="222222"/>
          <w:shd w:val="clear" w:color="auto" w:fill="FFFFFF"/>
          <w:lang w:val="es-ES"/>
        </w:rPr>
      </w:pPr>
      <w:r w:rsidRPr="006127B0">
        <w:rPr>
          <w:rStyle w:val="MquinadeescribirHTML"/>
          <w:rFonts w:ascii="Century Gothic" w:eastAsiaTheme="majorEastAsia" w:hAnsi="Century Gothic"/>
          <w:b/>
          <w:color w:val="222222"/>
          <w:shd w:val="clear" w:color="auto" w:fill="FFFFFF"/>
          <w:lang w:val="es-ES"/>
        </w:rPr>
        <w:t>Directora del estudio</w:t>
      </w:r>
      <w:r w:rsidRPr="006127B0">
        <w:rPr>
          <w:rStyle w:val="MquinadeescribirHTML"/>
          <w:rFonts w:ascii="Century Gothic" w:eastAsiaTheme="majorEastAsia" w:hAnsi="Century Gothic"/>
          <w:b/>
          <w:color w:val="222222"/>
          <w:shd w:val="clear" w:color="auto" w:fill="FFFFFF"/>
          <w:lang w:val="es-ES"/>
        </w:rPr>
        <w:br/>
      </w:r>
      <w:bookmarkEnd w:id="0"/>
      <w:bookmarkEnd w:id="1"/>
      <w:bookmarkEnd w:id="2"/>
      <w:bookmarkEnd w:id="3"/>
      <w:bookmarkEnd w:id="4"/>
      <w:bookmarkEnd w:id="5"/>
      <w:bookmarkEnd w:id="6"/>
      <w:bookmarkEnd w:id="7"/>
      <w:bookmarkEnd w:id="8"/>
      <w:bookmarkEnd w:id="9"/>
      <w:r w:rsidRPr="006127B0">
        <w:rPr>
          <w:rStyle w:val="MquinadeescribirHTML"/>
          <w:rFonts w:ascii="Century Gothic" w:eastAsiaTheme="majorEastAsia" w:hAnsi="Century Gothic"/>
          <w:color w:val="222222"/>
          <w:shd w:val="clear" w:color="auto" w:fill="FFFFFF"/>
          <w:lang w:val="es-ES"/>
        </w:rPr>
        <w:t>Martha Isabel Gutiérrez</w:t>
      </w:r>
    </w:p>
    <w:p w:rsidR="00CE48FB" w:rsidRDefault="00CE48FB" w:rsidP="00CE48FB">
      <w:pPr>
        <w:spacing w:before="0" w:line="240" w:lineRule="auto"/>
        <w:jc w:val="left"/>
        <w:rPr>
          <w:rStyle w:val="MquinadeescribirHTML"/>
          <w:rFonts w:ascii="Century Gothic" w:eastAsiaTheme="majorEastAsia" w:hAnsi="Century Gothic"/>
          <w:b/>
          <w:color w:val="222222"/>
          <w:shd w:val="clear" w:color="auto" w:fill="FFFFFF"/>
          <w:lang w:val="es-ES"/>
        </w:rPr>
      </w:pPr>
    </w:p>
    <w:p w:rsidR="00555FC7" w:rsidRPr="006127B0" w:rsidRDefault="00555FC7" w:rsidP="00CE48FB">
      <w:pPr>
        <w:spacing w:before="0" w:line="240" w:lineRule="auto"/>
        <w:jc w:val="left"/>
        <w:rPr>
          <w:rStyle w:val="MquinadeescribirHTML"/>
          <w:rFonts w:ascii="Century Gothic" w:eastAsiaTheme="majorEastAsia" w:hAnsi="Century Gothic"/>
          <w:b/>
          <w:color w:val="222222"/>
          <w:shd w:val="clear" w:color="auto" w:fill="FFFFFF"/>
          <w:lang w:val="es-ES"/>
        </w:rPr>
      </w:pPr>
      <w:r w:rsidRPr="006127B0">
        <w:rPr>
          <w:rStyle w:val="MquinadeescribirHTML"/>
          <w:rFonts w:ascii="Century Gothic" w:eastAsiaTheme="majorEastAsia" w:hAnsi="Century Gothic"/>
          <w:b/>
          <w:color w:val="222222"/>
          <w:shd w:val="clear" w:color="auto" w:fill="FFFFFF"/>
          <w:lang w:val="es-ES"/>
        </w:rPr>
        <w:t>Co-director del estudio</w:t>
      </w:r>
    </w:p>
    <w:p w:rsidR="00555FC7" w:rsidRPr="006127B0" w:rsidRDefault="00555FC7" w:rsidP="00CE48FB">
      <w:pPr>
        <w:spacing w:before="0" w:line="240" w:lineRule="auto"/>
        <w:jc w:val="left"/>
        <w:rPr>
          <w:rStyle w:val="MquinadeescribirHTML"/>
          <w:rFonts w:ascii="Century Gothic" w:eastAsiaTheme="majorEastAsia" w:hAnsi="Century Gothic"/>
          <w:color w:val="222222"/>
          <w:shd w:val="clear" w:color="auto" w:fill="FFFFFF"/>
          <w:lang w:val="es-ES"/>
        </w:rPr>
      </w:pPr>
      <w:r w:rsidRPr="006127B0">
        <w:rPr>
          <w:rStyle w:val="MquinadeescribirHTML"/>
          <w:rFonts w:ascii="Century Gothic" w:eastAsiaTheme="majorEastAsia" w:hAnsi="Century Gothic"/>
          <w:color w:val="222222"/>
          <w:shd w:val="clear" w:color="auto" w:fill="FFFFFF"/>
          <w:lang w:val="es-ES"/>
        </w:rPr>
        <w:t>Álvaro Reyes</w:t>
      </w:r>
    </w:p>
    <w:p w:rsidR="00555FC7" w:rsidRPr="006127B0" w:rsidRDefault="00555FC7" w:rsidP="00CE48FB">
      <w:pPr>
        <w:spacing w:before="0" w:line="240" w:lineRule="auto"/>
        <w:jc w:val="left"/>
        <w:rPr>
          <w:rFonts w:cs="Courier New"/>
          <w:szCs w:val="20"/>
          <w:shd w:val="clear" w:color="auto" w:fill="FFFFFF"/>
          <w:lang w:val="es-ES"/>
        </w:rPr>
      </w:pPr>
    </w:p>
    <w:p w:rsidR="00555FC7" w:rsidRPr="006127B0" w:rsidRDefault="00555FC7" w:rsidP="00CE48FB">
      <w:pPr>
        <w:spacing w:before="0" w:line="240" w:lineRule="auto"/>
        <w:jc w:val="left"/>
        <w:rPr>
          <w:rStyle w:val="MquinadeescribirHTML"/>
          <w:rFonts w:ascii="Century Gothic" w:eastAsiaTheme="majorEastAsia" w:hAnsi="Century Gothic"/>
          <w:color w:val="222222"/>
          <w:shd w:val="clear" w:color="auto" w:fill="FFFFFF"/>
          <w:lang w:val="es-ES"/>
        </w:rPr>
      </w:pPr>
      <w:bookmarkStart w:id="10" w:name="_Toc349766526"/>
      <w:bookmarkStart w:id="11" w:name="_Toc349768064"/>
      <w:bookmarkStart w:id="12" w:name="_Toc349827258"/>
      <w:bookmarkStart w:id="13" w:name="_Toc349846347"/>
      <w:bookmarkStart w:id="14" w:name="_Toc351269608"/>
      <w:bookmarkStart w:id="15" w:name="_Toc351284316"/>
      <w:bookmarkStart w:id="16" w:name="_Toc351287290"/>
      <w:bookmarkStart w:id="17" w:name="_Toc351298180"/>
      <w:bookmarkStart w:id="18" w:name="_Toc351372442"/>
      <w:bookmarkStart w:id="19" w:name="_Toc351372753"/>
      <w:r w:rsidRPr="006127B0">
        <w:rPr>
          <w:rStyle w:val="MquinadeescribirHTML"/>
          <w:rFonts w:ascii="Century Gothic" w:eastAsiaTheme="majorEastAsia" w:hAnsi="Century Gothic"/>
          <w:b/>
          <w:color w:val="222222"/>
          <w:shd w:val="clear" w:color="auto" w:fill="FFFFFF"/>
          <w:lang w:val="es-ES"/>
        </w:rPr>
        <w:t>Equipo consultor</w:t>
      </w:r>
      <w:r w:rsidRPr="006127B0">
        <w:rPr>
          <w:rStyle w:val="MquinadeescribirHTML"/>
          <w:rFonts w:ascii="Century Gothic" w:eastAsiaTheme="majorEastAsia" w:hAnsi="Century Gothic"/>
          <w:b/>
          <w:color w:val="222222"/>
          <w:shd w:val="clear" w:color="auto" w:fill="FFFFFF"/>
          <w:lang w:val="es-ES"/>
        </w:rPr>
        <w:br/>
      </w:r>
      <w:bookmarkEnd w:id="10"/>
      <w:bookmarkEnd w:id="11"/>
      <w:bookmarkEnd w:id="12"/>
      <w:bookmarkEnd w:id="13"/>
      <w:bookmarkEnd w:id="14"/>
      <w:bookmarkEnd w:id="15"/>
      <w:bookmarkEnd w:id="16"/>
      <w:bookmarkEnd w:id="17"/>
      <w:bookmarkEnd w:id="18"/>
      <w:bookmarkEnd w:id="19"/>
      <w:r w:rsidRPr="006127B0">
        <w:rPr>
          <w:rStyle w:val="MquinadeescribirHTML"/>
          <w:rFonts w:ascii="Century Gothic" w:eastAsiaTheme="majorEastAsia" w:hAnsi="Century Gothic"/>
          <w:color w:val="222222"/>
          <w:shd w:val="clear" w:color="auto" w:fill="FFFFFF"/>
          <w:lang w:val="es-ES"/>
        </w:rPr>
        <w:t xml:space="preserve">Mauricio López </w:t>
      </w:r>
    </w:p>
    <w:p w:rsidR="00555FC7" w:rsidRPr="006127B0" w:rsidRDefault="00555FC7" w:rsidP="00CE48FB">
      <w:pPr>
        <w:spacing w:before="0" w:line="240" w:lineRule="auto"/>
        <w:jc w:val="left"/>
        <w:rPr>
          <w:rStyle w:val="MquinadeescribirHTML"/>
          <w:rFonts w:ascii="Century Gothic" w:eastAsiaTheme="majorEastAsia" w:hAnsi="Century Gothic"/>
          <w:color w:val="222222"/>
          <w:shd w:val="clear" w:color="auto" w:fill="FFFFFF"/>
          <w:lang w:val="es-ES"/>
        </w:rPr>
      </w:pPr>
      <w:bookmarkStart w:id="20" w:name="_Toc349766527"/>
      <w:bookmarkStart w:id="21" w:name="_Toc349768065"/>
      <w:bookmarkStart w:id="22" w:name="_Toc349827259"/>
      <w:bookmarkStart w:id="23" w:name="_Toc349846348"/>
      <w:bookmarkStart w:id="24" w:name="_Toc351269609"/>
      <w:bookmarkStart w:id="25" w:name="_Toc351284317"/>
      <w:bookmarkStart w:id="26" w:name="_Toc351287291"/>
      <w:bookmarkStart w:id="27" w:name="_Toc351298181"/>
      <w:bookmarkStart w:id="28" w:name="_Toc351372443"/>
      <w:bookmarkStart w:id="29" w:name="_Toc351372754"/>
      <w:r w:rsidRPr="006127B0">
        <w:rPr>
          <w:rStyle w:val="MquinadeescribirHTML"/>
          <w:rFonts w:ascii="Century Gothic" w:eastAsiaTheme="majorEastAsia" w:hAnsi="Century Gothic"/>
          <w:color w:val="222222"/>
          <w:shd w:val="clear" w:color="auto" w:fill="FFFFFF"/>
          <w:lang w:val="es-ES"/>
        </w:rPr>
        <w:t>Víctor Mayorga</w:t>
      </w:r>
    </w:p>
    <w:p w:rsidR="009E12C6" w:rsidRDefault="00555FC7" w:rsidP="00CE48FB">
      <w:pPr>
        <w:spacing w:before="0" w:line="240" w:lineRule="auto"/>
        <w:jc w:val="left"/>
        <w:rPr>
          <w:rStyle w:val="MquinadeescribirHTML"/>
          <w:rFonts w:ascii="Century Gothic" w:eastAsiaTheme="majorEastAsia" w:hAnsi="Century Gothic"/>
          <w:color w:val="222222"/>
          <w:shd w:val="clear" w:color="auto" w:fill="FFFFFF"/>
          <w:lang w:val="es-ES"/>
        </w:rPr>
      </w:pPr>
      <w:r w:rsidRPr="006127B0">
        <w:rPr>
          <w:rStyle w:val="MquinadeescribirHTML"/>
          <w:rFonts w:ascii="Century Gothic" w:eastAsiaTheme="majorEastAsia" w:hAnsi="Century Gothic"/>
          <w:color w:val="222222"/>
          <w:shd w:val="clear" w:color="auto" w:fill="FFFFFF"/>
          <w:lang w:val="es-ES"/>
        </w:rPr>
        <w:t>Carolina Murgueitio</w:t>
      </w:r>
      <w:r w:rsidRPr="006127B0">
        <w:rPr>
          <w:rStyle w:val="MquinadeescribirHTML"/>
          <w:rFonts w:ascii="Century Gothic" w:eastAsiaTheme="majorEastAsia" w:hAnsi="Century Gothic"/>
          <w:color w:val="222222"/>
        </w:rPr>
        <w:br/>
      </w:r>
      <w:bookmarkEnd w:id="20"/>
      <w:bookmarkEnd w:id="21"/>
      <w:bookmarkEnd w:id="22"/>
      <w:bookmarkEnd w:id="23"/>
      <w:bookmarkEnd w:id="24"/>
      <w:bookmarkEnd w:id="25"/>
      <w:bookmarkEnd w:id="26"/>
      <w:bookmarkEnd w:id="27"/>
      <w:bookmarkEnd w:id="28"/>
      <w:bookmarkEnd w:id="29"/>
      <w:r w:rsidRPr="006127B0">
        <w:rPr>
          <w:rStyle w:val="MquinadeescribirHTML"/>
          <w:rFonts w:ascii="Century Gothic" w:eastAsiaTheme="majorEastAsia" w:hAnsi="Century Gothic"/>
          <w:color w:val="222222"/>
          <w:shd w:val="clear" w:color="auto" w:fill="FFFFFF"/>
          <w:lang w:val="es-ES"/>
        </w:rPr>
        <w:t>Luisa Riveros</w:t>
      </w:r>
    </w:p>
    <w:p w:rsidR="00555FC7" w:rsidRPr="00555FC7" w:rsidRDefault="00A8178F" w:rsidP="00CE48FB">
      <w:pPr>
        <w:spacing w:before="0" w:line="240" w:lineRule="auto"/>
        <w:jc w:val="left"/>
        <w:rPr>
          <w:rStyle w:val="MquinadeescribirHTML"/>
          <w:rFonts w:ascii="Century Gothic" w:eastAsiaTheme="majorEastAsia" w:hAnsi="Century Gothic"/>
          <w:color w:val="222222"/>
          <w:shd w:val="clear" w:color="auto" w:fill="FFFFFF"/>
          <w:lang w:val="es-ES"/>
        </w:rPr>
      </w:pPr>
      <w:r>
        <w:rPr>
          <w:rStyle w:val="MquinadeescribirHTML"/>
          <w:rFonts w:ascii="Century Gothic" w:eastAsiaTheme="majorEastAsia" w:hAnsi="Century Gothic"/>
          <w:color w:val="222222"/>
          <w:shd w:val="clear" w:color="auto" w:fill="FFFFFF"/>
          <w:lang w:val="es-ES"/>
        </w:rPr>
        <w:t>Hernán Salamanca</w:t>
      </w:r>
    </w:p>
    <w:p w:rsidR="00450280" w:rsidRDefault="00450280" w:rsidP="00CE48FB">
      <w:pPr>
        <w:spacing w:before="0" w:line="240" w:lineRule="auto"/>
        <w:jc w:val="left"/>
        <w:rPr>
          <w:rStyle w:val="MquinadeescribirHTML"/>
          <w:rFonts w:ascii="Century Gothic" w:eastAsiaTheme="majorEastAsia" w:hAnsi="Century Gothic"/>
          <w:b/>
          <w:color w:val="222222"/>
          <w:shd w:val="clear" w:color="auto" w:fill="FFFFFF"/>
          <w:lang w:val="es-ES"/>
        </w:rPr>
      </w:pPr>
    </w:p>
    <w:p w:rsidR="00450280" w:rsidRDefault="00ED5897" w:rsidP="00CE48FB">
      <w:pPr>
        <w:spacing w:before="0" w:line="240" w:lineRule="auto"/>
        <w:jc w:val="left"/>
        <w:rPr>
          <w:rStyle w:val="MquinadeescribirHTML"/>
          <w:rFonts w:ascii="Century Gothic" w:eastAsiaTheme="majorEastAsia" w:hAnsi="Century Gothic"/>
          <w:b/>
          <w:color w:val="222222"/>
          <w:shd w:val="clear" w:color="auto" w:fill="FFFFFF"/>
          <w:lang w:val="es-ES"/>
        </w:rPr>
      </w:pPr>
      <w:r>
        <w:rPr>
          <w:rStyle w:val="MquinadeescribirHTML"/>
          <w:rFonts w:ascii="Century Gothic" w:eastAsiaTheme="majorEastAsia" w:hAnsi="Century Gothic"/>
          <w:b/>
          <w:color w:val="222222"/>
          <w:shd w:val="clear" w:color="auto" w:fill="FFFFFF"/>
          <w:lang w:val="es-ES"/>
        </w:rPr>
        <w:t>Supervisión</w:t>
      </w:r>
      <w:r w:rsidR="00555FC7" w:rsidRPr="00555FC7">
        <w:rPr>
          <w:rStyle w:val="MquinadeescribirHTML"/>
          <w:rFonts w:ascii="Century Gothic" w:eastAsiaTheme="majorEastAsia" w:hAnsi="Century Gothic"/>
          <w:b/>
          <w:color w:val="222222"/>
          <w:shd w:val="clear" w:color="auto" w:fill="FFFFFF"/>
          <w:lang w:val="es-ES"/>
        </w:rPr>
        <w:t xml:space="preserve"> de la consultoría</w:t>
      </w:r>
      <w:r w:rsidR="00450280">
        <w:rPr>
          <w:rStyle w:val="MquinadeescribirHTML"/>
          <w:rFonts w:ascii="Century Gothic" w:eastAsiaTheme="majorEastAsia" w:hAnsi="Century Gothic"/>
          <w:b/>
          <w:color w:val="222222"/>
          <w:shd w:val="clear" w:color="auto" w:fill="FFFFFF"/>
          <w:lang w:val="es-ES"/>
        </w:rPr>
        <w:t xml:space="preserve"> </w:t>
      </w:r>
    </w:p>
    <w:p w:rsidR="00555FC7" w:rsidRPr="00555FC7" w:rsidRDefault="00450280" w:rsidP="00CE48FB">
      <w:pPr>
        <w:spacing w:before="0" w:line="240" w:lineRule="auto"/>
        <w:jc w:val="left"/>
        <w:rPr>
          <w:rStyle w:val="MquinadeescribirHTML"/>
          <w:rFonts w:ascii="Century Gothic" w:eastAsiaTheme="majorEastAsia" w:hAnsi="Century Gothic"/>
          <w:b/>
          <w:color w:val="222222"/>
          <w:shd w:val="clear" w:color="auto" w:fill="FFFFFF"/>
          <w:lang w:val="es-ES"/>
        </w:rPr>
      </w:pPr>
      <w:r>
        <w:rPr>
          <w:rStyle w:val="MquinadeescribirHTML"/>
          <w:rFonts w:ascii="Century Gothic" w:eastAsiaTheme="majorEastAsia" w:hAnsi="Century Gothic"/>
          <w:b/>
          <w:color w:val="222222"/>
          <w:shd w:val="clear" w:color="auto" w:fill="FFFFFF"/>
          <w:lang w:val="es-ES"/>
        </w:rPr>
        <w:t xml:space="preserve">Ministerio de Tecnologías de la Información y las Comunicaciones </w:t>
      </w:r>
    </w:p>
    <w:p w:rsidR="00450280" w:rsidRDefault="00450280" w:rsidP="00450280">
      <w:pPr>
        <w:spacing w:before="0" w:line="240" w:lineRule="auto"/>
        <w:jc w:val="left"/>
        <w:rPr>
          <w:rStyle w:val="MquinadeescribirHTML"/>
          <w:rFonts w:ascii="Century Gothic" w:eastAsiaTheme="majorEastAsia" w:hAnsi="Century Gothic"/>
          <w:bCs/>
          <w:color w:val="222222"/>
          <w:shd w:val="clear" w:color="auto" w:fill="FFFFFF"/>
          <w:lang w:val="es-ES"/>
        </w:rPr>
      </w:pPr>
    </w:p>
    <w:p w:rsidR="00450280" w:rsidRPr="00450280" w:rsidRDefault="00450280" w:rsidP="00450280">
      <w:pPr>
        <w:spacing w:before="0" w:line="240" w:lineRule="auto"/>
        <w:jc w:val="left"/>
        <w:rPr>
          <w:rStyle w:val="MquinadeescribirHTML"/>
          <w:rFonts w:ascii="Century Gothic" w:eastAsiaTheme="majorEastAsia" w:hAnsi="Century Gothic"/>
          <w:b/>
          <w:bCs/>
          <w:color w:val="222222"/>
          <w:shd w:val="clear" w:color="auto" w:fill="FFFFFF"/>
          <w:lang w:val="es-ES"/>
        </w:rPr>
      </w:pPr>
      <w:r w:rsidRPr="00450280">
        <w:rPr>
          <w:rStyle w:val="MquinadeescribirHTML"/>
          <w:rFonts w:ascii="Century Gothic" w:eastAsiaTheme="majorEastAsia" w:hAnsi="Century Gothic"/>
          <w:b/>
          <w:bCs/>
          <w:color w:val="222222"/>
          <w:shd w:val="clear" w:color="auto" w:fill="FFFFFF"/>
          <w:lang w:val="es-ES"/>
        </w:rPr>
        <w:t xml:space="preserve">Jefe Oficina Asesora de Planeación y Estudios Sectoriales </w:t>
      </w:r>
    </w:p>
    <w:p w:rsidR="00450280" w:rsidRDefault="00555FC7" w:rsidP="007D09EF">
      <w:pPr>
        <w:spacing w:before="0" w:line="240" w:lineRule="auto"/>
        <w:jc w:val="left"/>
        <w:rPr>
          <w:rStyle w:val="MquinadeescribirHTML"/>
          <w:rFonts w:ascii="Century Gothic" w:eastAsiaTheme="majorEastAsia" w:hAnsi="Century Gothic"/>
          <w:bCs/>
          <w:color w:val="222222"/>
          <w:shd w:val="clear" w:color="auto" w:fill="FFFFFF"/>
          <w:lang w:val="es-ES"/>
        </w:rPr>
      </w:pPr>
      <w:r w:rsidRPr="00555FC7">
        <w:rPr>
          <w:rStyle w:val="MquinadeescribirHTML"/>
          <w:rFonts w:ascii="Century Gothic" w:eastAsiaTheme="majorEastAsia" w:hAnsi="Century Gothic"/>
          <w:bCs/>
          <w:color w:val="222222"/>
          <w:shd w:val="clear" w:color="auto" w:fill="FFFFFF"/>
          <w:lang w:val="es-ES"/>
        </w:rPr>
        <w:t>Ana Marta Miranda</w:t>
      </w:r>
      <w:r w:rsidR="00450280">
        <w:rPr>
          <w:rStyle w:val="MquinadeescribirHTML"/>
          <w:rFonts w:ascii="Century Gothic" w:eastAsiaTheme="majorEastAsia" w:hAnsi="Century Gothic"/>
          <w:bCs/>
          <w:color w:val="222222"/>
          <w:shd w:val="clear" w:color="auto" w:fill="FFFFFF"/>
          <w:lang w:val="es-ES"/>
        </w:rPr>
        <w:t xml:space="preserve"> Corrales </w:t>
      </w:r>
    </w:p>
    <w:p w:rsidR="00450280" w:rsidRDefault="00450280" w:rsidP="00ED5897">
      <w:pPr>
        <w:spacing w:before="0" w:line="240" w:lineRule="auto"/>
        <w:jc w:val="left"/>
        <w:rPr>
          <w:rStyle w:val="MquinadeescribirHTML"/>
          <w:rFonts w:ascii="Century Gothic" w:eastAsiaTheme="majorEastAsia" w:hAnsi="Century Gothic"/>
          <w:b/>
          <w:bCs/>
          <w:color w:val="222222"/>
          <w:shd w:val="clear" w:color="auto" w:fill="FFFFFF"/>
          <w:lang w:val="es-ES"/>
        </w:rPr>
      </w:pPr>
    </w:p>
    <w:p w:rsidR="00450280" w:rsidRPr="00450280" w:rsidRDefault="00450280" w:rsidP="00ED5897">
      <w:pPr>
        <w:spacing w:before="0" w:line="240" w:lineRule="auto"/>
        <w:jc w:val="left"/>
        <w:rPr>
          <w:rStyle w:val="MquinadeescribirHTML"/>
          <w:rFonts w:ascii="Century Gothic" w:eastAsiaTheme="majorEastAsia" w:hAnsi="Century Gothic"/>
          <w:b/>
          <w:bCs/>
          <w:color w:val="222222"/>
          <w:shd w:val="clear" w:color="auto" w:fill="FFFFFF"/>
          <w:lang w:val="es-ES"/>
        </w:rPr>
      </w:pPr>
      <w:r w:rsidRPr="00450280">
        <w:rPr>
          <w:rStyle w:val="MquinadeescribirHTML"/>
          <w:rFonts w:ascii="Century Gothic" w:eastAsiaTheme="majorEastAsia" w:hAnsi="Century Gothic"/>
          <w:b/>
          <w:bCs/>
          <w:color w:val="222222"/>
          <w:shd w:val="clear" w:color="auto" w:fill="FFFFFF"/>
          <w:lang w:val="es-ES"/>
        </w:rPr>
        <w:t>Equipo de apoyo a la supervisión</w:t>
      </w:r>
    </w:p>
    <w:p w:rsidR="00ED5897" w:rsidRPr="00ED5897" w:rsidRDefault="00ED5897" w:rsidP="00ED5897">
      <w:pPr>
        <w:spacing w:before="0" w:line="240" w:lineRule="auto"/>
        <w:jc w:val="left"/>
        <w:rPr>
          <w:rStyle w:val="MquinadeescribirHTML"/>
          <w:rFonts w:ascii="Century Gothic" w:eastAsiaTheme="majorEastAsia" w:hAnsi="Century Gothic"/>
          <w:bCs/>
          <w:color w:val="222222"/>
          <w:shd w:val="clear" w:color="auto" w:fill="FFFFFF"/>
          <w:lang w:val="es-ES"/>
        </w:rPr>
      </w:pPr>
      <w:r w:rsidRPr="00ED5897">
        <w:rPr>
          <w:rStyle w:val="MquinadeescribirHTML"/>
          <w:rFonts w:ascii="Century Gothic" w:eastAsiaTheme="majorEastAsia" w:hAnsi="Century Gothic"/>
          <w:bCs/>
          <w:color w:val="222222"/>
          <w:shd w:val="clear" w:color="auto" w:fill="FFFFFF"/>
          <w:lang w:val="es-ES"/>
        </w:rPr>
        <w:t>Marcela Acosta Orjuela</w:t>
      </w:r>
    </w:p>
    <w:p w:rsidR="00ED5897" w:rsidRPr="00ED5897" w:rsidRDefault="00ED5897" w:rsidP="00ED5897">
      <w:pPr>
        <w:spacing w:before="0" w:line="240" w:lineRule="auto"/>
        <w:jc w:val="left"/>
        <w:rPr>
          <w:rStyle w:val="MquinadeescribirHTML"/>
          <w:rFonts w:ascii="Century Gothic" w:eastAsiaTheme="majorEastAsia" w:hAnsi="Century Gothic"/>
          <w:bCs/>
          <w:color w:val="222222"/>
          <w:shd w:val="clear" w:color="auto" w:fill="FFFFFF"/>
          <w:lang w:val="es-ES"/>
        </w:rPr>
      </w:pPr>
      <w:r w:rsidRPr="00ED5897">
        <w:rPr>
          <w:rStyle w:val="MquinadeescribirHTML"/>
          <w:rFonts w:ascii="Century Gothic" w:eastAsiaTheme="majorEastAsia" w:hAnsi="Century Gothic"/>
          <w:bCs/>
          <w:color w:val="222222"/>
          <w:shd w:val="clear" w:color="auto" w:fill="FFFFFF"/>
          <w:lang w:val="es-ES"/>
        </w:rPr>
        <w:t>Eliana Camargo Niño</w:t>
      </w:r>
    </w:p>
    <w:p w:rsidR="00ED5897" w:rsidRPr="00ED5897" w:rsidRDefault="00ED5897" w:rsidP="00ED5897">
      <w:pPr>
        <w:spacing w:before="0" w:line="240" w:lineRule="auto"/>
        <w:jc w:val="left"/>
        <w:rPr>
          <w:rStyle w:val="MquinadeescribirHTML"/>
          <w:rFonts w:ascii="Century Gothic" w:eastAsiaTheme="majorEastAsia" w:hAnsi="Century Gothic"/>
          <w:bCs/>
          <w:color w:val="222222"/>
          <w:shd w:val="clear" w:color="auto" w:fill="FFFFFF"/>
          <w:lang w:val="es-ES"/>
        </w:rPr>
      </w:pPr>
      <w:r w:rsidRPr="00ED5897">
        <w:rPr>
          <w:rStyle w:val="MquinadeescribirHTML"/>
          <w:rFonts w:ascii="Century Gothic" w:eastAsiaTheme="majorEastAsia" w:hAnsi="Century Gothic"/>
          <w:bCs/>
          <w:color w:val="222222"/>
          <w:shd w:val="clear" w:color="auto" w:fill="FFFFFF"/>
          <w:lang w:val="es-ES"/>
        </w:rPr>
        <w:t>Andrés Chaves Joya</w:t>
      </w:r>
    </w:p>
    <w:p w:rsidR="00ED5897" w:rsidRPr="00ED5897" w:rsidRDefault="00ED5897" w:rsidP="00ED5897">
      <w:pPr>
        <w:spacing w:before="0" w:line="240" w:lineRule="auto"/>
        <w:jc w:val="left"/>
        <w:rPr>
          <w:rStyle w:val="MquinadeescribirHTML"/>
          <w:rFonts w:ascii="Century Gothic" w:eastAsiaTheme="majorEastAsia" w:hAnsi="Century Gothic"/>
          <w:bCs/>
          <w:color w:val="222222"/>
          <w:shd w:val="clear" w:color="auto" w:fill="FFFFFF"/>
          <w:lang w:val="es-ES"/>
        </w:rPr>
      </w:pPr>
      <w:r w:rsidRPr="00ED5897">
        <w:rPr>
          <w:rStyle w:val="MquinadeescribirHTML"/>
          <w:rFonts w:ascii="Century Gothic" w:eastAsiaTheme="majorEastAsia" w:hAnsi="Century Gothic"/>
          <w:bCs/>
          <w:color w:val="222222"/>
          <w:shd w:val="clear" w:color="auto" w:fill="FFFFFF"/>
          <w:lang w:val="es-ES"/>
        </w:rPr>
        <w:t>Diana Córdoba Gómez</w:t>
      </w:r>
    </w:p>
    <w:p w:rsidR="00ED5897" w:rsidRPr="00ED5897" w:rsidRDefault="00ED5897" w:rsidP="00ED5897">
      <w:pPr>
        <w:spacing w:before="0" w:line="240" w:lineRule="auto"/>
        <w:jc w:val="left"/>
        <w:rPr>
          <w:rStyle w:val="MquinadeescribirHTML"/>
          <w:rFonts w:ascii="Century Gothic" w:eastAsiaTheme="majorEastAsia" w:hAnsi="Century Gothic"/>
          <w:bCs/>
          <w:color w:val="222222"/>
          <w:shd w:val="clear" w:color="auto" w:fill="FFFFFF"/>
          <w:lang w:val="es-ES"/>
        </w:rPr>
      </w:pPr>
      <w:r w:rsidRPr="00ED5897">
        <w:rPr>
          <w:rStyle w:val="MquinadeescribirHTML"/>
          <w:rFonts w:ascii="Century Gothic" w:eastAsiaTheme="majorEastAsia" w:hAnsi="Century Gothic"/>
          <w:bCs/>
          <w:color w:val="222222"/>
          <w:shd w:val="clear" w:color="auto" w:fill="FFFFFF"/>
          <w:lang w:val="es-ES"/>
        </w:rPr>
        <w:t xml:space="preserve">Jorge Iván </w:t>
      </w:r>
      <w:r w:rsidR="00450280" w:rsidRPr="00ED5897">
        <w:rPr>
          <w:rStyle w:val="MquinadeescribirHTML"/>
          <w:rFonts w:ascii="Century Gothic" w:eastAsiaTheme="majorEastAsia" w:hAnsi="Century Gothic"/>
          <w:bCs/>
          <w:color w:val="222222"/>
          <w:shd w:val="clear" w:color="auto" w:fill="FFFFFF"/>
          <w:lang w:val="es-ES"/>
        </w:rPr>
        <w:t>Rodríguez</w:t>
      </w:r>
    </w:p>
    <w:p w:rsidR="00ED5897" w:rsidRDefault="00450280" w:rsidP="00ED5897">
      <w:pPr>
        <w:spacing w:before="0" w:line="240" w:lineRule="auto"/>
        <w:jc w:val="left"/>
        <w:rPr>
          <w:rStyle w:val="MquinadeescribirHTML"/>
          <w:rFonts w:ascii="Century Gothic" w:eastAsiaTheme="majorEastAsia" w:hAnsi="Century Gothic"/>
          <w:bCs/>
          <w:color w:val="222222"/>
          <w:shd w:val="clear" w:color="auto" w:fill="FFFFFF"/>
          <w:lang w:val="es-ES"/>
        </w:rPr>
      </w:pPr>
      <w:r>
        <w:rPr>
          <w:rStyle w:val="MquinadeescribirHTML"/>
          <w:rFonts w:ascii="Century Gothic" w:eastAsiaTheme="majorEastAsia" w:hAnsi="Century Gothic"/>
          <w:bCs/>
          <w:color w:val="222222"/>
          <w:shd w:val="clear" w:color="auto" w:fill="FFFFFF"/>
          <w:lang w:val="es-ES"/>
        </w:rPr>
        <w:t>Silene Viloria S</w:t>
      </w:r>
      <w:r w:rsidR="00ED5897" w:rsidRPr="00ED5897">
        <w:rPr>
          <w:rStyle w:val="MquinadeescribirHTML"/>
          <w:rFonts w:ascii="Century Gothic" w:eastAsiaTheme="majorEastAsia" w:hAnsi="Century Gothic"/>
          <w:bCs/>
          <w:color w:val="222222"/>
          <w:shd w:val="clear" w:color="auto" w:fill="FFFFFF"/>
          <w:lang w:val="es-ES"/>
        </w:rPr>
        <w:t>oto</w:t>
      </w:r>
    </w:p>
    <w:p w:rsidR="007700A9" w:rsidRPr="007700A9" w:rsidRDefault="007700A9" w:rsidP="00CE48FB">
      <w:pPr>
        <w:spacing w:before="0" w:line="240" w:lineRule="auto"/>
        <w:jc w:val="center"/>
        <w:rPr>
          <w:rFonts w:ascii="Century Gothic" w:eastAsia="Times New Roman" w:hAnsi="Century Gothic" w:cs="Times New Roman"/>
          <w:smallCaps/>
          <w:color w:val="C00000"/>
          <w:sz w:val="36"/>
        </w:rPr>
        <w:sectPr w:rsidR="007700A9" w:rsidRPr="007700A9" w:rsidSect="003A2765">
          <w:headerReference w:type="default" r:id="rId12"/>
          <w:footerReference w:type="default" r:id="rId13"/>
          <w:pgSz w:w="12240" w:h="15840" w:code="1"/>
          <w:pgMar w:top="1417" w:right="1701" w:bottom="1417" w:left="1701" w:header="706" w:footer="706" w:gutter="0"/>
          <w:cols w:space="708"/>
          <w:docGrid w:linePitch="360"/>
        </w:sectPr>
      </w:pPr>
    </w:p>
    <w:p w:rsidR="00BA2179" w:rsidRPr="002A16C8" w:rsidRDefault="00BA2179" w:rsidP="00BA2179">
      <w:pPr>
        <w:spacing w:before="120" w:line="240" w:lineRule="auto"/>
        <w:jc w:val="center"/>
        <w:rPr>
          <w:rFonts w:ascii="Century Gothic" w:hAnsi="Century Gothic"/>
          <w:smallCaps/>
          <w:color w:val="C00000"/>
          <w:sz w:val="32"/>
          <w:szCs w:val="32"/>
        </w:rPr>
      </w:pPr>
      <w:r w:rsidRPr="002A16C8">
        <w:rPr>
          <w:rFonts w:ascii="Century Gothic" w:hAnsi="Century Gothic"/>
          <w:smallCaps/>
          <w:color w:val="C00000"/>
          <w:sz w:val="32"/>
          <w:szCs w:val="32"/>
        </w:rPr>
        <w:lastRenderedPageBreak/>
        <w:t>Evaluación de resultados del Plan Vive Digital</w:t>
      </w:r>
    </w:p>
    <w:p w:rsidR="00BA2179" w:rsidRPr="002A16C8" w:rsidRDefault="00BA2179" w:rsidP="00BA2179">
      <w:pPr>
        <w:spacing w:before="120" w:line="240" w:lineRule="auto"/>
        <w:jc w:val="center"/>
        <w:rPr>
          <w:rFonts w:ascii="Century Gothic" w:hAnsi="Century Gothic"/>
          <w:smallCaps/>
          <w:color w:val="C00000"/>
          <w:sz w:val="32"/>
          <w:szCs w:val="32"/>
        </w:rPr>
      </w:pPr>
      <w:r w:rsidRPr="002A16C8">
        <w:rPr>
          <w:rFonts w:ascii="Century Gothic" w:hAnsi="Century Gothic"/>
          <w:smallCaps/>
          <w:color w:val="C00000"/>
          <w:sz w:val="32"/>
          <w:szCs w:val="32"/>
        </w:rPr>
        <w:t xml:space="preserve">Informe III. </w:t>
      </w:r>
      <w:r>
        <w:rPr>
          <w:rFonts w:ascii="Century Gothic" w:hAnsi="Century Gothic"/>
          <w:smallCaps/>
          <w:color w:val="C00000"/>
          <w:sz w:val="32"/>
          <w:szCs w:val="32"/>
        </w:rPr>
        <w:t>A</w:t>
      </w:r>
      <w:r w:rsidRPr="002A16C8">
        <w:rPr>
          <w:rFonts w:ascii="Century Gothic" w:hAnsi="Century Gothic"/>
          <w:smallCaps/>
          <w:color w:val="C00000"/>
          <w:sz w:val="32"/>
          <w:szCs w:val="32"/>
        </w:rPr>
        <w:t xml:space="preserve"> – Final</w:t>
      </w:r>
    </w:p>
    <w:p w:rsidR="00BA2179" w:rsidRDefault="00BA2179" w:rsidP="00BA2179">
      <w:pPr>
        <w:spacing w:before="120" w:line="240" w:lineRule="auto"/>
        <w:jc w:val="center"/>
        <w:rPr>
          <w:rFonts w:ascii="Century Gothic" w:hAnsi="Century Gothic"/>
          <w:smallCaps/>
          <w:color w:val="C00000"/>
          <w:sz w:val="28"/>
          <w:szCs w:val="28"/>
        </w:rPr>
      </w:pPr>
      <w:r w:rsidRPr="005B50EF">
        <w:rPr>
          <w:rFonts w:ascii="Century Gothic" w:hAnsi="Century Gothic"/>
          <w:smallCaps/>
          <w:color w:val="C00000"/>
          <w:sz w:val="28"/>
          <w:szCs w:val="28"/>
        </w:rPr>
        <w:t>Tabla de Contenido</w:t>
      </w:r>
    </w:p>
    <w:p w:rsidR="00B03A48" w:rsidRPr="00C51694" w:rsidRDefault="00B03A48" w:rsidP="007700A9">
      <w:pPr>
        <w:tabs>
          <w:tab w:val="right" w:leader="dot" w:pos="8828"/>
        </w:tabs>
        <w:spacing w:after="100"/>
        <w:jc w:val="center"/>
        <w:rPr>
          <w:rFonts w:ascii="Century Gothic" w:eastAsia="Calibri" w:hAnsi="Century Gothic" w:cs="Times New Roman"/>
          <w:smallCaps/>
          <w:noProof/>
          <w:color w:val="C00000"/>
          <w:sz w:val="28"/>
          <w:szCs w:val="28"/>
        </w:rPr>
      </w:pPr>
    </w:p>
    <w:p w:rsidR="00B67D4F" w:rsidRDefault="00C94AA3">
      <w:pPr>
        <w:pStyle w:val="TDC1"/>
        <w:rPr>
          <w:rFonts w:asciiTheme="minorHAnsi" w:hAnsiTheme="minorHAnsi"/>
          <w:smallCaps w:val="0"/>
          <w:noProof/>
          <w:color w:val="auto"/>
          <w:szCs w:val="22"/>
          <w:lang w:val="es-CO" w:eastAsia="es-CO"/>
        </w:rPr>
      </w:pPr>
      <w:r w:rsidRPr="00C94AA3">
        <w:rPr>
          <w:rFonts w:eastAsia="Calibri"/>
          <w:smallCaps w:val="0"/>
          <w:noProof/>
          <w:color w:val="0000FF"/>
          <w:szCs w:val="22"/>
          <w:highlight w:val="yellow"/>
          <w:u w:val="single"/>
          <w:lang w:val="es-CO"/>
        </w:rPr>
        <w:fldChar w:fldCharType="begin"/>
      </w:r>
      <w:r w:rsidR="00B03A48">
        <w:rPr>
          <w:rFonts w:eastAsia="Calibri"/>
          <w:smallCaps w:val="0"/>
          <w:noProof/>
          <w:color w:val="0000FF"/>
          <w:szCs w:val="22"/>
          <w:highlight w:val="yellow"/>
          <w:u w:val="single"/>
          <w:lang w:val="es-CO"/>
        </w:rPr>
        <w:instrText xml:space="preserve"> TOC \h \z \t "Título 1,1,Título 2,2,Título capítulo,1,TituloINTRO,1,Titulo capítulo - Econometría,1" </w:instrText>
      </w:r>
      <w:r w:rsidRPr="00C94AA3">
        <w:rPr>
          <w:rFonts w:eastAsia="Calibri"/>
          <w:smallCaps w:val="0"/>
          <w:noProof/>
          <w:color w:val="0000FF"/>
          <w:szCs w:val="22"/>
          <w:highlight w:val="yellow"/>
          <w:u w:val="single"/>
          <w:lang w:val="es-CO"/>
        </w:rPr>
        <w:fldChar w:fldCharType="separate"/>
      </w:r>
      <w:hyperlink w:anchor="_Toc405992287" w:history="1">
        <w:r w:rsidR="00B67D4F" w:rsidRPr="00CB641A">
          <w:rPr>
            <w:rStyle w:val="Hipervnculo"/>
            <w:rFonts w:eastAsia="Times New Roman"/>
            <w:noProof/>
            <w:lang w:eastAsia="es-ES"/>
          </w:rPr>
          <w:t>Abreviaturas</w:t>
        </w:r>
        <w:r w:rsidR="00B67D4F">
          <w:rPr>
            <w:noProof/>
            <w:webHidden/>
          </w:rPr>
          <w:tab/>
        </w:r>
        <w:r>
          <w:rPr>
            <w:noProof/>
            <w:webHidden/>
          </w:rPr>
          <w:fldChar w:fldCharType="begin"/>
        </w:r>
        <w:r w:rsidR="00B67D4F">
          <w:rPr>
            <w:noProof/>
            <w:webHidden/>
          </w:rPr>
          <w:instrText xml:space="preserve"> PAGEREF _Toc405992287 \h </w:instrText>
        </w:r>
        <w:r>
          <w:rPr>
            <w:noProof/>
            <w:webHidden/>
          </w:rPr>
        </w:r>
        <w:r>
          <w:rPr>
            <w:noProof/>
            <w:webHidden/>
          </w:rPr>
          <w:fldChar w:fldCharType="separate"/>
        </w:r>
        <w:r w:rsidR="00A85CA9">
          <w:rPr>
            <w:noProof/>
            <w:webHidden/>
          </w:rPr>
          <w:t>3</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288" w:history="1">
        <w:r w:rsidR="00B67D4F" w:rsidRPr="00CB641A">
          <w:rPr>
            <w:rStyle w:val="Hipervnculo"/>
            <w:noProof/>
          </w:rPr>
          <w:t>Presentación</w:t>
        </w:r>
        <w:r w:rsidR="00B67D4F">
          <w:rPr>
            <w:noProof/>
            <w:webHidden/>
          </w:rPr>
          <w:tab/>
        </w:r>
        <w:r>
          <w:rPr>
            <w:noProof/>
            <w:webHidden/>
          </w:rPr>
          <w:fldChar w:fldCharType="begin"/>
        </w:r>
        <w:r w:rsidR="00B67D4F">
          <w:rPr>
            <w:noProof/>
            <w:webHidden/>
          </w:rPr>
          <w:instrText xml:space="preserve"> PAGEREF _Toc405992288 \h </w:instrText>
        </w:r>
        <w:r>
          <w:rPr>
            <w:noProof/>
            <w:webHidden/>
          </w:rPr>
        </w:r>
        <w:r>
          <w:rPr>
            <w:noProof/>
            <w:webHidden/>
          </w:rPr>
          <w:fldChar w:fldCharType="separate"/>
        </w:r>
        <w:r w:rsidR="00A85CA9">
          <w:rPr>
            <w:noProof/>
            <w:webHidden/>
          </w:rPr>
          <w:t>4</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289" w:history="1">
        <w:r w:rsidR="00B67D4F" w:rsidRPr="00CB641A">
          <w:rPr>
            <w:rStyle w:val="Hipervnculo"/>
            <w:rFonts w:cs="Times New Roman"/>
            <w:noProof/>
            <w:lang w:eastAsia="es-ES"/>
          </w:rPr>
          <w:t>Capítulo 1</w:t>
        </w:r>
        <w:r w:rsidR="00B67D4F">
          <w:rPr>
            <w:noProof/>
            <w:webHidden/>
          </w:rPr>
          <w:tab/>
        </w:r>
        <w:r>
          <w:rPr>
            <w:noProof/>
            <w:webHidden/>
          </w:rPr>
          <w:fldChar w:fldCharType="begin"/>
        </w:r>
        <w:r w:rsidR="00B67D4F">
          <w:rPr>
            <w:noProof/>
            <w:webHidden/>
          </w:rPr>
          <w:instrText xml:space="preserve"> PAGEREF _Toc405992289 \h </w:instrText>
        </w:r>
        <w:r>
          <w:rPr>
            <w:noProof/>
            <w:webHidden/>
          </w:rPr>
        </w:r>
        <w:r>
          <w:rPr>
            <w:noProof/>
            <w:webHidden/>
          </w:rPr>
          <w:fldChar w:fldCharType="separate"/>
        </w:r>
        <w:r w:rsidR="00A85CA9">
          <w:rPr>
            <w:noProof/>
            <w:webHidden/>
          </w:rPr>
          <w:t>6</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290" w:history="1">
        <w:r w:rsidR="00B67D4F" w:rsidRPr="00CB641A">
          <w:rPr>
            <w:rStyle w:val="Hipervnculo"/>
            <w:rFonts w:eastAsia="Times New Roman"/>
            <w:noProof/>
            <w:lang w:eastAsia="es-ES"/>
          </w:rPr>
          <w:t>Avance de los Indicadores con respecto a las Metas Propuestas</w:t>
        </w:r>
        <w:r w:rsidR="00B67D4F">
          <w:rPr>
            <w:noProof/>
            <w:webHidden/>
          </w:rPr>
          <w:tab/>
        </w:r>
        <w:r>
          <w:rPr>
            <w:noProof/>
            <w:webHidden/>
          </w:rPr>
          <w:fldChar w:fldCharType="begin"/>
        </w:r>
        <w:r w:rsidR="00B67D4F">
          <w:rPr>
            <w:noProof/>
            <w:webHidden/>
          </w:rPr>
          <w:instrText xml:space="preserve"> PAGEREF _Toc405992290 \h </w:instrText>
        </w:r>
        <w:r>
          <w:rPr>
            <w:noProof/>
            <w:webHidden/>
          </w:rPr>
        </w:r>
        <w:r>
          <w:rPr>
            <w:noProof/>
            <w:webHidden/>
          </w:rPr>
          <w:fldChar w:fldCharType="separate"/>
        </w:r>
        <w:r w:rsidR="00A85CA9">
          <w:rPr>
            <w:noProof/>
            <w:webHidden/>
          </w:rPr>
          <w:t>6</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291" w:history="1">
        <w:r w:rsidR="00B67D4F" w:rsidRPr="00CB641A">
          <w:rPr>
            <w:rStyle w:val="Hipervnculo"/>
            <w:noProof/>
          </w:rPr>
          <w:t>1.1</w:t>
        </w:r>
        <w:r w:rsidR="00B67D4F">
          <w:rPr>
            <w:rFonts w:asciiTheme="minorHAnsi" w:hAnsiTheme="minorHAnsi"/>
            <w:noProof/>
            <w:szCs w:val="22"/>
            <w:lang w:val="es-CO" w:eastAsia="es-CO"/>
          </w:rPr>
          <w:tab/>
        </w:r>
        <w:r w:rsidR="00B67D4F" w:rsidRPr="00CB641A">
          <w:rPr>
            <w:rStyle w:val="Hipervnculo"/>
            <w:noProof/>
          </w:rPr>
          <w:t>Indicadores del Plan Vive Digital – Avance</w:t>
        </w:r>
        <w:r w:rsidR="00B67D4F">
          <w:rPr>
            <w:noProof/>
            <w:webHidden/>
          </w:rPr>
          <w:tab/>
        </w:r>
        <w:r>
          <w:rPr>
            <w:noProof/>
            <w:webHidden/>
          </w:rPr>
          <w:fldChar w:fldCharType="begin"/>
        </w:r>
        <w:r w:rsidR="00B67D4F">
          <w:rPr>
            <w:noProof/>
            <w:webHidden/>
          </w:rPr>
          <w:instrText xml:space="preserve"> PAGEREF _Toc405992291 \h </w:instrText>
        </w:r>
        <w:r>
          <w:rPr>
            <w:noProof/>
            <w:webHidden/>
          </w:rPr>
        </w:r>
        <w:r>
          <w:rPr>
            <w:noProof/>
            <w:webHidden/>
          </w:rPr>
          <w:fldChar w:fldCharType="separate"/>
        </w:r>
        <w:r w:rsidR="00A85CA9">
          <w:rPr>
            <w:noProof/>
            <w:webHidden/>
          </w:rPr>
          <w:t>6</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292" w:history="1">
        <w:r w:rsidR="00B67D4F" w:rsidRPr="00CB641A">
          <w:rPr>
            <w:rStyle w:val="Hipervnculo"/>
            <w:rFonts w:cs="Times New Roman"/>
            <w:noProof/>
            <w:lang w:eastAsia="es-ES"/>
          </w:rPr>
          <w:t>Capítulo 2</w:t>
        </w:r>
        <w:r w:rsidR="00B67D4F">
          <w:rPr>
            <w:noProof/>
            <w:webHidden/>
          </w:rPr>
          <w:tab/>
        </w:r>
        <w:r>
          <w:rPr>
            <w:noProof/>
            <w:webHidden/>
          </w:rPr>
          <w:fldChar w:fldCharType="begin"/>
        </w:r>
        <w:r w:rsidR="00B67D4F">
          <w:rPr>
            <w:noProof/>
            <w:webHidden/>
          </w:rPr>
          <w:instrText xml:space="preserve"> PAGEREF _Toc405992292 \h </w:instrText>
        </w:r>
        <w:r>
          <w:rPr>
            <w:noProof/>
            <w:webHidden/>
          </w:rPr>
        </w:r>
        <w:r>
          <w:rPr>
            <w:noProof/>
            <w:webHidden/>
          </w:rPr>
          <w:fldChar w:fldCharType="separate"/>
        </w:r>
        <w:r w:rsidR="00A85CA9">
          <w:rPr>
            <w:noProof/>
            <w:webHidden/>
          </w:rPr>
          <w:t>27</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293" w:history="1">
        <w:r w:rsidR="00B67D4F" w:rsidRPr="00CB641A">
          <w:rPr>
            <w:rStyle w:val="Hipervnculo"/>
            <w:rFonts w:eastAsia="Times New Roman"/>
            <w:noProof/>
            <w:lang w:eastAsia="es-ES"/>
          </w:rPr>
          <w:t>Resultados de las Intervenciones a Nivel Social y Económico</w:t>
        </w:r>
        <w:r w:rsidR="00B67D4F">
          <w:rPr>
            <w:noProof/>
            <w:webHidden/>
          </w:rPr>
          <w:tab/>
        </w:r>
        <w:r>
          <w:rPr>
            <w:noProof/>
            <w:webHidden/>
          </w:rPr>
          <w:fldChar w:fldCharType="begin"/>
        </w:r>
        <w:r w:rsidR="00B67D4F">
          <w:rPr>
            <w:noProof/>
            <w:webHidden/>
          </w:rPr>
          <w:instrText xml:space="preserve"> PAGEREF _Toc405992293 \h </w:instrText>
        </w:r>
        <w:r>
          <w:rPr>
            <w:noProof/>
            <w:webHidden/>
          </w:rPr>
        </w:r>
        <w:r>
          <w:rPr>
            <w:noProof/>
            <w:webHidden/>
          </w:rPr>
          <w:fldChar w:fldCharType="separate"/>
        </w:r>
        <w:r w:rsidR="00A85CA9">
          <w:rPr>
            <w:noProof/>
            <w:webHidden/>
          </w:rPr>
          <w:t>27</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294" w:history="1">
        <w:r w:rsidR="00B67D4F" w:rsidRPr="00CB641A">
          <w:rPr>
            <w:rStyle w:val="Hipervnculo"/>
            <w:noProof/>
          </w:rPr>
          <w:t>2.1</w:t>
        </w:r>
        <w:r w:rsidR="00B67D4F">
          <w:rPr>
            <w:rFonts w:asciiTheme="minorHAnsi" w:hAnsiTheme="minorHAnsi"/>
            <w:noProof/>
            <w:szCs w:val="22"/>
            <w:lang w:val="es-CO" w:eastAsia="es-CO"/>
          </w:rPr>
          <w:tab/>
        </w:r>
        <w:r w:rsidR="00B67D4F" w:rsidRPr="00CB641A">
          <w:rPr>
            <w:rStyle w:val="Hipervnculo"/>
            <w:noProof/>
          </w:rPr>
          <w:t>Relaciones de causalidad por el lado de la demanda: un análisis preliminar  2010 - 2012</w:t>
        </w:r>
        <w:r w:rsidR="00B67D4F">
          <w:rPr>
            <w:noProof/>
            <w:webHidden/>
          </w:rPr>
          <w:tab/>
        </w:r>
        <w:r>
          <w:rPr>
            <w:noProof/>
            <w:webHidden/>
          </w:rPr>
          <w:fldChar w:fldCharType="begin"/>
        </w:r>
        <w:r w:rsidR="00B67D4F">
          <w:rPr>
            <w:noProof/>
            <w:webHidden/>
          </w:rPr>
          <w:instrText xml:space="preserve"> PAGEREF _Toc405992294 \h </w:instrText>
        </w:r>
        <w:r>
          <w:rPr>
            <w:noProof/>
            <w:webHidden/>
          </w:rPr>
        </w:r>
        <w:r>
          <w:rPr>
            <w:noProof/>
            <w:webHidden/>
          </w:rPr>
          <w:fldChar w:fldCharType="separate"/>
        </w:r>
        <w:r w:rsidR="00A85CA9">
          <w:rPr>
            <w:noProof/>
            <w:webHidden/>
          </w:rPr>
          <w:t>27</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295" w:history="1">
        <w:r w:rsidR="00B67D4F" w:rsidRPr="00CB641A">
          <w:rPr>
            <w:rStyle w:val="Hipervnculo"/>
            <w:noProof/>
          </w:rPr>
          <w:t>2.2</w:t>
        </w:r>
        <w:r w:rsidR="00B67D4F">
          <w:rPr>
            <w:rFonts w:asciiTheme="minorHAnsi" w:hAnsiTheme="minorHAnsi"/>
            <w:noProof/>
            <w:szCs w:val="22"/>
            <w:lang w:val="es-CO" w:eastAsia="es-CO"/>
          </w:rPr>
          <w:tab/>
        </w:r>
        <w:r w:rsidR="00B67D4F" w:rsidRPr="00CB641A">
          <w:rPr>
            <w:rStyle w:val="Hipervnculo"/>
            <w:noProof/>
          </w:rPr>
          <w:t>El uso de las TIC, la generación de ingreso y la reducción de la pobreza a nivel familiar</w:t>
        </w:r>
        <w:r w:rsidR="00B67D4F">
          <w:rPr>
            <w:noProof/>
            <w:webHidden/>
          </w:rPr>
          <w:tab/>
        </w:r>
        <w:r>
          <w:rPr>
            <w:noProof/>
            <w:webHidden/>
          </w:rPr>
          <w:fldChar w:fldCharType="begin"/>
        </w:r>
        <w:r w:rsidR="00B67D4F">
          <w:rPr>
            <w:noProof/>
            <w:webHidden/>
          </w:rPr>
          <w:instrText xml:space="preserve"> PAGEREF _Toc405992295 \h </w:instrText>
        </w:r>
        <w:r>
          <w:rPr>
            <w:noProof/>
            <w:webHidden/>
          </w:rPr>
        </w:r>
        <w:r>
          <w:rPr>
            <w:noProof/>
            <w:webHidden/>
          </w:rPr>
          <w:fldChar w:fldCharType="separate"/>
        </w:r>
        <w:r w:rsidR="00A85CA9">
          <w:rPr>
            <w:noProof/>
            <w:webHidden/>
          </w:rPr>
          <w:t>39</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296" w:history="1">
        <w:r w:rsidR="00B67D4F" w:rsidRPr="00CB641A">
          <w:rPr>
            <w:rStyle w:val="Hipervnculo"/>
            <w:noProof/>
          </w:rPr>
          <w:t>2.3</w:t>
        </w:r>
        <w:r w:rsidR="00B67D4F">
          <w:rPr>
            <w:rFonts w:asciiTheme="minorHAnsi" w:hAnsiTheme="minorHAnsi"/>
            <w:noProof/>
            <w:szCs w:val="22"/>
            <w:lang w:val="es-CO" w:eastAsia="es-CO"/>
          </w:rPr>
          <w:tab/>
        </w:r>
        <w:r w:rsidR="00B67D4F" w:rsidRPr="00CB641A">
          <w:rPr>
            <w:rStyle w:val="Hipervnculo"/>
            <w:noProof/>
          </w:rPr>
          <w:t>Generación de empleo y las TIC: Impacto macroeconómico de la expansión del sector de telecomunicaciones</w:t>
        </w:r>
        <w:r w:rsidR="00B67D4F">
          <w:rPr>
            <w:noProof/>
            <w:webHidden/>
          </w:rPr>
          <w:tab/>
        </w:r>
        <w:r>
          <w:rPr>
            <w:noProof/>
            <w:webHidden/>
          </w:rPr>
          <w:fldChar w:fldCharType="begin"/>
        </w:r>
        <w:r w:rsidR="00B67D4F">
          <w:rPr>
            <w:noProof/>
            <w:webHidden/>
          </w:rPr>
          <w:instrText xml:space="preserve"> PAGEREF _Toc405992296 \h </w:instrText>
        </w:r>
        <w:r>
          <w:rPr>
            <w:noProof/>
            <w:webHidden/>
          </w:rPr>
        </w:r>
        <w:r>
          <w:rPr>
            <w:noProof/>
            <w:webHidden/>
          </w:rPr>
          <w:fldChar w:fldCharType="separate"/>
        </w:r>
        <w:r w:rsidR="00A85CA9">
          <w:rPr>
            <w:noProof/>
            <w:webHidden/>
          </w:rPr>
          <w:t>45</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297" w:history="1">
        <w:r w:rsidR="00B67D4F" w:rsidRPr="00CB641A">
          <w:rPr>
            <w:rStyle w:val="Hipervnculo"/>
            <w:noProof/>
          </w:rPr>
          <w:t>2.4</w:t>
        </w:r>
        <w:r w:rsidR="00B67D4F">
          <w:rPr>
            <w:rFonts w:asciiTheme="minorHAnsi" w:hAnsiTheme="minorHAnsi"/>
            <w:noProof/>
            <w:szCs w:val="22"/>
            <w:lang w:val="es-CO" w:eastAsia="es-CO"/>
          </w:rPr>
          <w:tab/>
        </w:r>
        <w:r w:rsidR="00B67D4F" w:rsidRPr="00CB641A">
          <w:rPr>
            <w:rStyle w:val="Hipervnculo"/>
            <w:noProof/>
          </w:rPr>
          <w:t>Efectos no cuantificables en el corto plazo</w:t>
        </w:r>
        <w:r w:rsidR="00B67D4F">
          <w:rPr>
            <w:noProof/>
            <w:webHidden/>
          </w:rPr>
          <w:tab/>
        </w:r>
        <w:r>
          <w:rPr>
            <w:noProof/>
            <w:webHidden/>
          </w:rPr>
          <w:fldChar w:fldCharType="begin"/>
        </w:r>
        <w:r w:rsidR="00B67D4F">
          <w:rPr>
            <w:noProof/>
            <w:webHidden/>
          </w:rPr>
          <w:instrText xml:space="preserve"> PAGEREF _Toc405992297 \h </w:instrText>
        </w:r>
        <w:r>
          <w:rPr>
            <w:noProof/>
            <w:webHidden/>
          </w:rPr>
        </w:r>
        <w:r>
          <w:rPr>
            <w:noProof/>
            <w:webHidden/>
          </w:rPr>
          <w:fldChar w:fldCharType="separate"/>
        </w:r>
        <w:r w:rsidR="00A85CA9">
          <w:rPr>
            <w:noProof/>
            <w:webHidden/>
          </w:rPr>
          <w:t>61</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298" w:history="1">
        <w:r w:rsidR="00B67D4F" w:rsidRPr="00CB641A">
          <w:rPr>
            <w:rStyle w:val="Hipervnculo"/>
            <w:rFonts w:cs="Times New Roman"/>
            <w:noProof/>
            <w:lang w:eastAsia="es-ES"/>
          </w:rPr>
          <w:t>Capítulo 3</w:t>
        </w:r>
        <w:r w:rsidR="00B67D4F">
          <w:rPr>
            <w:noProof/>
            <w:webHidden/>
          </w:rPr>
          <w:tab/>
        </w:r>
        <w:r>
          <w:rPr>
            <w:noProof/>
            <w:webHidden/>
          </w:rPr>
          <w:fldChar w:fldCharType="begin"/>
        </w:r>
        <w:r w:rsidR="00B67D4F">
          <w:rPr>
            <w:noProof/>
            <w:webHidden/>
          </w:rPr>
          <w:instrText xml:space="preserve"> PAGEREF _Toc405992298 \h </w:instrText>
        </w:r>
        <w:r>
          <w:rPr>
            <w:noProof/>
            <w:webHidden/>
          </w:rPr>
        </w:r>
        <w:r>
          <w:rPr>
            <w:noProof/>
            <w:webHidden/>
          </w:rPr>
          <w:fldChar w:fldCharType="separate"/>
        </w:r>
        <w:r w:rsidR="00A85CA9">
          <w:rPr>
            <w:noProof/>
            <w:webHidden/>
          </w:rPr>
          <w:t>64</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299" w:history="1">
        <w:r w:rsidR="00B67D4F" w:rsidRPr="00CB641A">
          <w:rPr>
            <w:rStyle w:val="Hipervnculo"/>
            <w:rFonts w:eastAsia="Times New Roman"/>
            <w:noProof/>
            <w:lang w:eastAsia="es-ES"/>
          </w:rPr>
          <w:t>Identificación de cuellos de botella</w:t>
        </w:r>
        <w:r w:rsidR="00B67D4F">
          <w:rPr>
            <w:noProof/>
            <w:webHidden/>
          </w:rPr>
          <w:tab/>
        </w:r>
        <w:r>
          <w:rPr>
            <w:noProof/>
            <w:webHidden/>
          </w:rPr>
          <w:fldChar w:fldCharType="begin"/>
        </w:r>
        <w:r w:rsidR="00B67D4F">
          <w:rPr>
            <w:noProof/>
            <w:webHidden/>
          </w:rPr>
          <w:instrText xml:space="preserve"> PAGEREF _Toc405992299 \h </w:instrText>
        </w:r>
        <w:r>
          <w:rPr>
            <w:noProof/>
            <w:webHidden/>
          </w:rPr>
        </w:r>
        <w:r>
          <w:rPr>
            <w:noProof/>
            <w:webHidden/>
          </w:rPr>
          <w:fldChar w:fldCharType="separate"/>
        </w:r>
        <w:r w:rsidR="00A85CA9">
          <w:rPr>
            <w:noProof/>
            <w:webHidden/>
          </w:rPr>
          <w:t>64</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00" w:history="1">
        <w:r w:rsidR="00B67D4F" w:rsidRPr="00CB641A">
          <w:rPr>
            <w:rStyle w:val="Hipervnculo"/>
            <w:noProof/>
          </w:rPr>
          <w:t>3.1</w:t>
        </w:r>
        <w:r w:rsidR="00B67D4F">
          <w:rPr>
            <w:rFonts w:asciiTheme="minorHAnsi" w:hAnsiTheme="minorHAnsi"/>
            <w:noProof/>
            <w:szCs w:val="22"/>
            <w:lang w:val="es-CO" w:eastAsia="es-CO"/>
          </w:rPr>
          <w:tab/>
        </w:r>
        <w:r w:rsidR="00B67D4F" w:rsidRPr="00CB641A">
          <w:rPr>
            <w:rStyle w:val="Hipervnculo"/>
            <w:noProof/>
          </w:rPr>
          <w:t>Cuellos de botella socioeconómicos</w:t>
        </w:r>
        <w:r w:rsidR="00B67D4F">
          <w:rPr>
            <w:noProof/>
            <w:webHidden/>
          </w:rPr>
          <w:tab/>
        </w:r>
        <w:r>
          <w:rPr>
            <w:noProof/>
            <w:webHidden/>
          </w:rPr>
          <w:fldChar w:fldCharType="begin"/>
        </w:r>
        <w:r w:rsidR="00B67D4F">
          <w:rPr>
            <w:noProof/>
            <w:webHidden/>
          </w:rPr>
          <w:instrText xml:space="preserve"> PAGEREF _Toc405992300 \h </w:instrText>
        </w:r>
        <w:r>
          <w:rPr>
            <w:noProof/>
            <w:webHidden/>
          </w:rPr>
        </w:r>
        <w:r>
          <w:rPr>
            <w:noProof/>
            <w:webHidden/>
          </w:rPr>
          <w:fldChar w:fldCharType="separate"/>
        </w:r>
        <w:r w:rsidR="00A85CA9">
          <w:rPr>
            <w:noProof/>
            <w:webHidden/>
          </w:rPr>
          <w:t>65</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01" w:history="1">
        <w:r w:rsidR="00B67D4F" w:rsidRPr="00CB641A">
          <w:rPr>
            <w:rStyle w:val="Hipervnculo"/>
            <w:noProof/>
          </w:rPr>
          <w:t>3.2</w:t>
        </w:r>
        <w:r w:rsidR="00B67D4F">
          <w:rPr>
            <w:rFonts w:asciiTheme="minorHAnsi" w:hAnsiTheme="minorHAnsi"/>
            <w:noProof/>
            <w:szCs w:val="22"/>
            <w:lang w:val="es-CO" w:eastAsia="es-CO"/>
          </w:rPr>
          <w:tab/>
        </w:r>
        <w:r w:rsidR="00B67D4F" w:rsidRPr="00CB641A">
          <w:rPr>
            <w:rStyle w:val="Hipervnculo"/>
            <w:noProof/>
          </w:rPr>
          <w:t>Cuellos de Botella Operacionales</w:t>
        </w:r>
        <w:r w:rsidR="00B67D4F">
          <w:rPr>
            <w:noProof/>
            <w:webHidden/>
          </w:rPr>
          <w:tab/>
        </w:r>
        <w:r>
          <w:rPr>
            <w:noProof/>
            <w:webHidden/>
          </w:rPr>
          <w:fldChar w:fldCharType="begin"/>
        </w:r>
        <w:r w:rsidR="00B67D4F">
          <w:rPr>
            <w:noProof/>
            <w:webHidden/>
          </w:rPr>
          <w:instrText xml:space="preserve"> PAGEREF _Toc405992301 \h </w:instrText>
        </w:r>
        <w:r>
          <w:rPr>
            <w:noProof/>
            <w:webHidden/>
          </w:rPr>
        </w:r>
        <w:r>
          <w:rPr>
            <w:noProof/>
            <w:webHidden/>
          </w:rPr>
          <w:fldChar w:fldCharType="separate"/>
        </w:r>
        <w:r w:rsidR="00A85CA9">
          <w:rPr>
            <w:noProof/>
            <w:webHidden/>
          </w:rPr>
          <w:t>66</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02" w:history="1">
        <w:r w:rsidR="00B67D4F" w:rsidRPr="00CB641A">
          <w:rPr>
            <w:rStyle w:val="Hipervnculo"/>
            <w:noProof/>
          </w:rPr>
          <w:t>3.3</w:t>
        </w:r>
        <w:r w:rsidR="00B67D4F">
          <w:rPr>
            <w:rFonts w:asciiTheme="minorHAnsi" w:hAnsiTheme="minorHAnsi"/>
            <w:noProof/>
            <w:szCs w:val="22"/>
            <w:lang w:val="es-CO" w:eastAsia="es-CO"/>
          </w:rPr>
          <w:tab/>
        </w:r>
        <w:r w:rsidR="00B67D4F" w:rsidRPr="00CB641A">
          <w:rPr>
            <w:rStyle w:val="Hipervnculo"/>
            <w:noProof/>
          </w:rPr>
          <w:t>Cuellos de Botella Normativos</w:t>
        </w:r>
        <w:r w:rsidR="00B67D4F">
          <w:rPr>
            <w:noProof/>
            <w:webHidden/>
          </w:rPr>
          <w:tab/>
        </w:r>
        <w:r>
          <w:rPr>
            <w:noProof/>
            <w:webHidden/>
          </w:rPr>
          <w:fldChar w:fldCharType="begin"/>
        </w:r>
        <w:r w:rsidR="00B67D4F">
          <w:rPr>
            <w:noProof/>
            <w:webHidden/>
          </w:rPr>
          <w:instrText xml:space="preserve"> PAGEREF _Toc405992302 \h </w:instrText>
        </w:r>
        <w:r>
          <w:rPr>
            <w:noProof/>
            <w:webHidden/>
          </w:rPr>
        </w:r>
        <w:r>
          <w:rPr>
            <w:noProof/>
            <w:webHidden/>
          </w:rPr>
          <w:fldChar w:fldCharType="separate"/>
        </w:r>
        <w:r w:rsidR="00A85CA9">
          <w:rPr>
            <w:noProof/>
            <w:webHidden/>
          </w:rPr>
          <w:t>68</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03" w:history="1">
        <w:r w:rsidR="00B67D4F" w:rsidRPr="00CB641A">
          <w:rPr>
            <w:rStyle w:val="Hipervnculo"/>
            <w:rFonts w:cs="Times New Roman"/>
            <w:noProof/>
            <w:lang w:eastAsia="es-ES"/>
          </w:rPr>
          <w:t>Capítulo 4</w:t>
        </w:r>
        <w:r w:rsidR="00B67D4F">
          <w:rPr>
            <w:noProof/>
            <w:webHidden/>
          </w:rPr>
          <w:tab/>
        </w:r>
        <w:r>
          <w:rPr>
            <w:noProof/>
            <w:webHidden/>
          </w:rPr>
          <w:fldChar w:fldCharType="begin"/>
        </w:r>
        <w:r w:rsidR="00B67D4F">
          <w:rPr>
            <w:noProof/>
            <w:webHidden/>
          </w:rPr>
          <w:instrText xml:space="preserve"> PAGEREF _Toc405992303 \h </w:instrText>
        </w:r>
        <w:r>
          <w:rPr>
            <w:noProof/>
            <w:webHidden/>
          </w:rPr>
        </w:r>
        <w:r>
          <w:rPr>
            <w:noProof/>
            <w:webHidden/>
          </w:rPr>
          <w:fldChar w:fldCharType="separate"/>
        </w:r>
        <w:r w:rsidR="00A85CA9">
          <w:rPr>
            <w:noProof/>
            <w:webHidden/>
          </w:rPr>
          <w:t>71</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04" w:history="1">
        <w:r w:rsidR="00B67D4F" w:rsidRPr="00CB641A">
          <w:rPr>
            <w:rStyle w:val="Hipervnculo"/>
            <w:rFonts w:eastAsia="Times New Roman"/>
            <w:noProof/>
            <w:lang w:eastAsia="es-ES"/>
          </w:rPr>
          <w:t>Análisis de conformidad jurídica del Plan Vive Digital</w:t>
        </w:r>
        <w:r w:rsidR="00B67D4F">
          <w:rPr>
            <w:noProof/>
            <w:webHidden/>
          </w:rPr>
          <w:tab/>
        </w:r>
        <w:r>
          <w:rPr>
            <w:noProof/>
            <w:webHidden/>
          </w:rPr>
          <w:fldChar w:fldCharType="begin"/>
        </w:r>
        <w:r w:rsidR="00B67D4F">
          <w:rPr>
            <w:noProof/>
            <w:webHidden/>
          </w:rPr>
          <w:instrText xml:space="preserve"> PAGEREF _Toc405992304 \h </w:instrText>
        </w:r>
        <w:r>
          <w:rPr>
            <w:noProof/>
            <w:webHidden/>
          </w:rPr>
        </w:r>
        <w:r>
          <w:rPr>
            <w:noProof/>
            <w:webHidden/>
          </w:rPr>
          <w:fldChar w:fldCharType="separate"/>
        </w:r>
        <w:r w:rsidR="00A85CA9">
          <w:rPr>
            <w:noProof/>
            <w:webHidden/>
          </w:rPr>
          <w:t>71</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05" w:history="1">
        <w:r w:rsidR="00B67D4F" w:rsidRPr="00CB641A">
          <w:rPr>
            <w:rStyle w:val="Hipervnculo"/>
            <w:noProof/>
          </w:rPr>
          <w:t>4.1</w:t>
        </w:r>
        <w:r w:rsidR="00B67D4F">
          <w:rPr>
            <w:rFonts w:asciiTheme="minorHAnsi" w:hAnsiTheme="minorHAnsi"/>
            <w:noProof/>
            <w:szCs w:val="22"/>
            <w:lang w:val="es-CO" w:eastAsia="es-CO"/>
          </w:rPr>
          <w:tab/>
        </w:r>
        <w:r w:rsidR="00B67D4F" w:rsidRPr="00CB641A">
          <w:rPr>
            <w:rStyle w:val="Hipervnculo"/>
            <w:noProof/>
          </w:rPr>
          <w:t>Marco constitucional que fundamenta el Plan Vive Digital</w:t>
        </w:r>
        <w:r w:rsidR="00B67D4F">
          <w:rPr>
            <w:noProof/>
            <w:webHidden/>
          </w:rPr>
          <w:tab/>
        </w:r>
        <w:r>
          <w:rPr>
            <w:noProof/>
            <w:webHidden/>
          </w:rPr>
          <w:fldChar w:fldCharType="begin"/>
        </w:r>
        <w:r w:rsidR="00B67D4F">
          <w:rPr>
            <w:noProof/>
            <w:webHidden/>
          </w:rPr>
          <w:instrText xml:space="preserve"> PAGEREF _Toc405992305 \h </w:instrText>
        </w:r>
        <w:r>
          <w:rPr>
            <w:noProof/>
            <w:webHidden/>
          </w:rPr>
        </w:r>
        <w:r>
          <w:rPr>
            <w:noProof/>
            <w:webHidden/>
          </w:rPr>
          <w:fldChar w:fldCharType="separate"/>
        </w:r>
        <w:r w:rsidR="00A85CA9">
          <w:rPr>
            <w:noProof/>
            <w:webHidden/>
          </w:rPr>
          <w:t>71</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06" w:history="1">
        <w:r w:rsidR="00B67D4F" w:rsidRPr="00CB641A">
          <w:rPr>
            <w:rStyle w:val="Hipervnculo"/>
            <w:noProof/>
          </w:rPr>
          <w:t>4.2</w:t>
        </w:r>
        <w:r w:rsidR="00B67D4F">
          <w:rPr>
            <w:rFonts w:asciiTheme="minorHAnsi" w:hAnsiTheme="minorHAnsi"/>
            <w:noProof/>
            <w:szCs w:val="22"/>
            <w:lang w:val="es-CO" w:eastAsia="es-CO"/>
          </w:rPr>
          <w:tab/>
        </w:r>
        <w:r w:rsidR="00B67D4F" w:rsidRPr="00CB641A">
          <w:rPr>
            <w:rStyle w:val="Hipervnculo"/>
            <w:noProof/>
          </w:rPr>
          <w:t>Marco Legal del sector TIC</w:t>
        </w:r>
        <w:r w:rsidR="00B67D4F">
          <w:rPr>
            <w:noProof/>
            <w:webHidden/>
          </w:rPr>
          <w:tab/>
        </w:r>
        <w:r>
          <w:rPr>
            <w:noProof/>
            <w:webHidden/>
          </w:rPr>
          <w:fldChar w:fldCharType="begin"/>
        </w:r>
        <w:r w:rsidR="00B67D4F">
          <w:rPr>
            <w:noProof/>
            <w:webHidden/>
          </w:rPr>
          <w:instrText xml:space="preserve"> PAGEREF _Toc405992306 \h </w:instrText>
        </w:r>
        <w:r>
          <w:rPr>
            <w:noProof/>
            <w:webHidden/>
          </w:rPr>
        </w:r>
        <w:r>
          <w:rPr>
            <w:noProof/>
            <w:webHidden/>
          </w:rPr>
          <w:fldChar w:fldCharType="separate"/>
        </w:r>
        <w:r w:rsidR="00A85CA9">
          <w:rPr>
            <w:noProof/>
            <w:webHidden/>
          </w:rPr>
          <w:t>74</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07" w:history="1">
        <w:r w:rsidR="00B67D4F" w:rsidRPr="00CB641A">
          <w:rPr>
            <w:rStyle w:val="Hipervnculo"/>
            <w:noProof/>
          </w:rPr>
          <w:t>4.3</w:t>
        </w:r>
        <w:r w:rsidR="00B67D4F">
          <w:rPr>
            <w:rFonts w:asciiTheme="minorHAnsi" w:hAnsiTheme="minorHAnsi"/>
            <w:noProof/>
            <w:szCs w:val="22"/>
            <w:lang w:val="es-CO" w:eastAsia="es-CO"/>
          </w:rPr>
          <w:tab/>
        </w:r>
        <w:r w:rsidR="00B67D4F" w:rsidRPr="00CB641A">
          <w:rPr>
            <w:rStyle w:val="Hipervnculo"/>
            <w:noProof/>
          </w:rPr>
          <w:t>Normas que han desarrollado los objetivos del Plan Vive Digital</w:t>
        </w:r>
        <w:r w:rsidR="00B67D4F">
          <w:rPr>
            <w:noProof/>
            <w:webHidden/>
          </w:rPr>
          <w:tab/>
        </w:r>
        <w:r>
          <w:rPr>
            <w:noProof/>
            <w:webHidden/>
          </w:rPr>
          <w:fldChar w:fldCharType="begin"/>
        </w:r>
        <w:r w:rsidR="00B67D4F">
          <w:rPr>
            <w:noProof/>
            <w:webHidden/>
          </w:rPr>
          <w:instrText xml:space="preserve"> PAGEREF _Toc405992307 \h </w:instrText>
        </w:r>
        <w:r>
          <w:rPr>
            <w:noProof/>
            <w:webHidden/>
          </w:rPr>
        </w:r>
        <w:r>
          <w:rPr>
            <w:noProof/>
            <w:webHidden/>
          </w:rPr>
          <w:fldChar w:fldCharType="separate"/>
        </w:r>
        <w:r w:rsidR="00A85CA9">
          <w:rPr>
            <w:noProof/>
            <w:webHidden/>
          </w:rPr>
          <w:t>83</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08" w:history="1">
        <w:r w:rsidR="00B67D4F" w:rsidRPr="00CB641A">
          <w:rPr>
            <w:rStyle w:val="Hipervnculo"/>
            <w:rFonts w:cs="Times New Roman"/>
            <w:noProof/>
          </w:rPr>
          <w:t>Capítulo 5</w:t>
        </w:r>
        <w:r w:rsidR="00B67D4F">
          <w:rPr>
            <w:noProof/>
            <w:webHidden/>
          </w:rPr>
          <w:tab/>
        </w:r>
        <w:r>
          <w:rPr>
            <w:noProof/>
            <w:webHidden/>
          </w:rPr>
          <w:fldChar w:fldCharType="begin"/>
        </w:r>
        <w:r w:rsidR="00B67D4F">
          <w:rPr>
            <w:noProof/>
            <w:webHidden/>
          </w:rPr>
          <w:instrText xml:space="preserve"> PAGEREF _Toc405992308 \h </w:instrText>
        </w:r>
        <w:r>
          <w:rPr>
            <w:noProof/>
            <w:webHidden/>
          </w:rPr>
        </w:r>
        <w:r>
          <w:rPr>
            <w:noProof/>
            <w:webHidden/>
          </w:rPr>
          <w:fldChar w:fldCharType="separate"/>
        </w:r>
        <w:r w:rsidR="00A85CA9">
          <w:rPr>
            <w:noProof/>
            <w:webHidden/>
          </w:rPr>
          <w:t>92</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09" w:history="1">
        <w:r w:rsidR="00B67D4F" w:rsidRPr="00CB641A">
          <w:rPr>
            <w:rStyle w:val="Hipervnculo"/>
            <w:rFonts w:eastAsia="Times New Roman"/>
            <w:noProof/>
            <w:lang w:eastAsia="es-ES"/>
          </w:rPr>
          <w:t>Fortalezas y Debilidades del Plan Vive Digital</w:t>
        </w:r>
        <w:r w:rsidR="00B67D4F">
          <w:rPr>
            <w:noProof/>
            <w:webHidden/>
          </w:rPr>
          <w:tab/>
        </w:r>
        <w:r>
          <w:rPr>
            <w:noProof/>
            <w:webHidden/>
          </w:rPr>
          <w:fldChar w:fldCharType="begin"/>
        </w:r>
        <w:r w:rsidR="00B67D4F">
          <w:rPr>
            <w:noProof/>
            <w:webHidden/>
          </w:rPr>
          <w:instrText xml:space="preserve"> PAGEREF _Toc405992309 \h </w:instrText>
        </w:r>
        <w:r>
          <w:rPr>
            <w:noProof/>
            <w:webHidden/>
          </w:rPr>
        </w:r>
        <w:r>
          <w:rPr>
            <w:noProof/>
            <w:webHidden/>
          </w:rPr>
          <w:fldChar w:fldCharType="separate"/>
        </w:r>
        <w:r w:rsidR="00A85CA9">
          <w:rPr>
            <w:noProof/>
            <w:webHidden/>
          </w:rPr>
          <w:t>92</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10" w:history="1">
        <w:r w:rsidR="00B67D4F" w:rsidRPr="00CB641A">
          <w:rPr>
            <w:rStyle w:val="Hipervnculo"/>
            <w:noProof/>
          </w:rPr>
          <w:t>5.1</w:t>
        </w:r>
        <w:r w:rsidR="00B67D4F">
          <w:rPr>
            <w:rFonts w:asciiTheme="minorHAnsi" w:hAnsiTheme="minorHAnsi"/>
            <w:noProof/>
            <w:szCs w:val="22"/>
            <w:lang w:val="es-CO" w:eastAsia="es-CO"/>
          </w:rPr>
          <w:tab/>
        </w:r>
        <w:r w:rsidR="00B67D4F" w:rsidRPr="00CB641A">
          <w:rPr>
            <w:rStyle w:val="Hipervnculo"/>
            <w:noProof/>
          </w:rPr>
          <w:t>Debilidades</w:t>
        </w:r>
        <w:r w:rsidR="00B67D4F">
          <w:rPr>
            <w:noProof/>
            <w:webHidden/>
          </w:rPr>
          <w:tab/>
        </w:r>
        <w:r>
          <w:rPr>
            <w:noProof/>
            <w:webHidden/>
          </w:rPr>
          <w:fldChar w:fldCharType="begin"/>
        </w:r>
        <w:r w:rsidR="00B67D4F">
          <w:rPr>
            <w:noProof/>
            <w:webHidden/>
          </w:rPr>
          <w:instrText xml:space="preserve"> PAGEREF _Toc405992310 \h </w:instrText>
        </w:r>
        <w:r>
          <w:rPr>
            <w:noProof/>
            <w:webHidden/>
          </w:rPr>
        </w:r>
        <w:r>
          <w:rPr>
            <w:noProof/>
            <w:webHidden/>
          </w:rPr>
          <w:fldChar w:fldCharType="separate"/>
        </w:r>
        <w:r w:rsidR="00A85CA9">
          <w:rPr>
            <w:noProof/>
            <w:webHidden/>
          </w:rPr>
          <w:t>92</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11" w:history="1">
        <w:r w:rsidR="00B67D4F" w:rsidRPr="00CB641A">
          <w:rPr>
            <w:rStyle w:val="Hipervnculo"/>
            <w:noProof/>
          </w:rPr>
          <w:t>5.2</w:t>
        </w:r>
        <w:r w:rsidR="00B67D4F">
          <w:rPr>
            <w:rFonts w:asciiTheme="minorHAnsi" w:hAnsiTheme="minorHAnsi"/>
            <w:noProof/>
            <w:szCs w:val="22"/>
            <w:lang w:val="es-CO" w:eastAsia="es-CO"/>
          </w:rPr>
          <w:tab/>
        </w:r>
        <w:r w:rsidR="00B67D4F" w:rsidRPr="00CB641A">
          <w:rPr>
            <w:rStyle w:val="Hipervnculo"/>
            <w:noProof/>
          </w:rPr>
          <w:t>Fortalezas</w:t>
        </w:r>
        <w:r w:rsidR="00B67D4F">
          <w:rPr>
            <w:noProof/>
            <w:webHidden/>
          </w:rPr>
          <w:tab/>
        </w:r>
        <w:r>
          <w:rPr>
            <w:noProof/>
            <w:webHidden/>
          </w:rPr>
          <w:fldChar w:fldCharType="begin"/>
        </w:r>
        <w:r w:rsidR="00B67D4F">
          <w:rPr>
            <w:noProof/>
            <w:webHidden/>
          </w:rPr>
          <w:instrText xml:space="preserve"> PAGEREF _Toc405992311 \h </w:instrText>
        </w:r>
        <w:r>
          <w:rPr>
            <w:noProof/>
            <w:webHidden/>
          </w:rPr>
        </w:r>
        <w:r>
          <w:rPr>
            <w:noProof/>
            <w:webHidden/>
          </w:rPr>
          <w:fldChar w:fldCharType="separate"/>
        </w:r>
        <w:r w:rsidR="00A85CA9">
          <w:rPr>
            <w:noProof/>
            <w:webHidden/>
          </w:rPr>
          <w:t>94</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12" w:history="1">
        <w:r w:rsidR="00B67D4F" w:rsidRPr="00CB641A">
          <w:rPr>
            <w:rStyle w:val="Hipervnculo"/>
            <w:noProof/>
          </w:rPr>
          <w:t>5.3</w:t>
        </w:r>
        <w:r w:rsidR="00B67D4F">
          <w:rPr>
            <w:rFonts w:asciiTheme="minorHAnsi" w:hAnsiTheme="minorHAnsi"/>
            <w:noProof/>
            <w:szCs w:val="22"/>
            <w:lang w:val="es-CO" w:eastAsia="es-CO"/>
          </w:rPr>
          <w:tab/>
        </w:r>
        <w:r w:rsidR="00B67D4F" w:rsidRPr="00CB641A">
          <w:rPr>
            <w:rStyle w:val="Hipervnculo"/>
            <w:noProof/>
          </w:rPr>
          <w:t>Amenazas</w:t>
        </w:r>
        <w:r w:rsidR="00B67D4F">
          <w:rPr>
            <w:noProof/>
            <w:webHidden/>
          </w:rPr>
          <w:tab/>
        </w:r>
        <w:r>
          <w:rPr>
            <w:noProof/>
            <w:webHidden/>
          </w:rPr>
          <w:fldChar w:fldCharType="begin"/>
        </w:r>
        <w:r w:rsidR="00B67D4F">
          <w:rPr>
            <w:noProof/>
            <w:webHidden/>
          </w:rPr>
          <w:instrText xml:space="preserve"> PAGEREF _Toc405992312 \h </w:instrText>
        </w:r>
        <w:r>
          <w:rPr>
            <w:noProof/>
            <w:webHidden/>
          </w:rPr>
        </w:r>
        <w:r>
          <w:rPr>
            <w:noProof/>
            <w:webHidden/>
          </w:rPr>
          <w:fldChar w:fldCharType="separate"/>
        </w:r>
        <w:r w:rsidR="00A85CA9">
          <w:rPr>
            <w:noProof/>
            <w:webHidden/>
          </w:rPr>
          <w:t>99</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13" w:history="1">
        <w:r w:rsidR="00B67D4F" w:rsidRPr="00CB641A">
          <w:rPr>
            <w:rStyle w:val="Hipervnculo"/>
            <w:noProof/>
          </w:rPr>
          <w:t>5.4</w:t>
        </w:r>
        <w:r w:rsidR="00B67D4F">
          <w:rPr>
            <w:rFonts w:asciiTheme="minorHAnsi" w:hAnsiTheme="minorHAnsi"/>
            <w:noProof/>
            <w:szCs w:val="22"/>
            <w:lang w:val="es-CO" w:eastAsia="es-CO"/>
          </w:rPr>
          <w:tab/>
        </w:r>
        <w:r w:rsidR="00B67D4F" w:rsidRPr="00CB641A">
          <w:rPr>
            <w:rStyle w:val="Hipervnculo"/>
            <w:noProof/>
          </w:rPr>
          <w:t>Oportunidades</w:t>
        </w:r>
        <w:r w:rsidR="00B67D4F">
          <w:rPr>
            <w:noProof/>
            <w:webHidden/>
          </w:rPr>
          <w:tab/>
        </w:r>
        <w:r>
          <w:rPr>
            <w:noProof/>
            <w:webHidden/>
          </w:rPr>
          <w:fldChar w:fldCharType="begin"/>
        </w:r>
        <w:r w:rsidR="00B67D4F">
          <w:rPr>
            <w:noProof/>
            <w:webHidden/>
          </w:rPr>
          <w:instrText xml:space="preserve"> PAGEREF _Toc405992313 \h </w:instrText>
        </w:r>
        <w:r>
          <w:rPr>
            <w:noProof/>
            <w:webHidden/>
          </w:rPr>
        </w:r>
        <w:r>
          <w:rPr>
            <w:noProof/>
            <w:webHidden/>
          </w:rPr>
          <w:fldChar w:fldCharType="separate"/>
        </w:r>
        <w:r w:rsidR="00A85CA9">
          <w:rPr>
            <w:noProof/>
            <w:webHidden/>
          </w:rPr>
          <w:t>100</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14" w:history="1">
        <w:r w:rsidR="00B67D4F" w:rsidRPr="00CB641A">
          <w:rPr>
            <w:rStyle w:val="Hipervnculo"/>
            <w:noProof/>
          </w:rPr>
          <w:t>5.5</w:t>
        </w:r>
        <w:r w:rsidR="00B67D4F">
          <w:rPr>
            <w:rFonts w:asciiTheme="minorHAnsi" w:hAnsiTheme="minorHAnsi"/>
            <w:noProof/>
            <w:szCs w:val="22"/>
            <w:lang w:val="es-CO" w:eastAsia="es-CO"/>
          </w:rPr>
          <w:tab/>
        </w:r>
        <w:r w:rsidR="00B67D4F" w:rsidRPr="00CB641A">
          <w:rPr>
            <w:rStyle w:val="Hipervnculo"/>
            <w:noProof/>
          </w:rPr>
          <w:t>Análisis integrado</w:t>
        </w:r>
        <w:r w:rsidR="00B67D4F">
          <w:rPr>
            <w:noProof/>
            <w:webHidden/>
          </w:rPr>
          <w:tab/>
        </w:r>
        <w:r>
          <w:rPr>
            <w:noProof/>
            <w:webHidden/>
          </w:rPr>
          <w:fldChar w:fldCharType="begin"/>
        </w:r>
        <w:r w:rsidR="00B67D4F">
          <w:rPr>
            <w:noProof/>
            <w:webHidden/>
          </w:rPr>
          <w:instrText xml:space="preserve"> PAGEREF _Toc405992314 \h </w:instrText>
        </w:r>
        <w:r>
          <w:rPr>
            <w:noProof/>
            <w:webHidden/>
          </w:rPr>
        </w:r>
        <w:r>
          <w:rPr>
            <w:noProof/>
            <w:webHidden/>
          </w:rPr>
          <w:fldChar w:fldCharType="separate"/>
        </w:r>
        <w:r w:rsidR="00A85CA9">
          <w:rPr>
            <w:noProof/>
            <w:webHidden/>
          </w:rPr>
          <w:t>103</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15" w:history="1">
        <w:r w:rsidR="00B67D4F" w:rsidRPr="00CB641A">
          <w:rPr>
            <w:rStyle w:val="Hipervnculo"/>
            <w:rFonts w:cs="Times New Roman"/>
            <w:noProof/>
            <w:lang w:eastAsia="es-ES"/>
          </w:rPr>
          <w:t>Capítulo 6</w:t>
        </w:r>
        <w:r w:rsidR="00B67D4F">
          <w:rPr>
            <w:noProof/>
            <w:webHidden/>
          </w:rPr>
          <w:tab/>
        </w:r>
        <w:r>
          <w:rPr>
            <w:noProof/>
            <w:webHidden/>
          </w:rPr>
          <w:fldChar w:fldCharType="begin"/>
        </w:r>
        <w:r w:rsidR="00B67D4F">
          <w:rPr>
            <w:noProof/>
            <w:webHidden/>
          </w:rPr>
          <w:instrText xml:space="preserve"> PAGEREF _Toc405992315 \h </w:instrText>
        </w:r>
        <w:r>
          <w:rPr>
            <w:noProof/>
            <w:webHidden/>
          </w:rPr>
        </w:r>
        <w:r>
          <w:rPr>
            <w:noProof/>
            <w:webHidden/>
          </w:rPr>
          <w:fldChar w:fldCharType="separate"/>
        </w:r>
        <w:r w:rsidR="00A85CA9">
          <w:rPr>
            <w:noProof/>
            <w:webHidden/>
          </w:rPr>
          <w:t>105</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16" w:history="1">
        <w:r w:rsidR="00B67D4F" w:rsidRPr="00CB641A">
          <w:rPr>
            <w:rStyle w:val="Hipervnculo"/>
            <w:rFonts w:eastAsia="Times New Roman"/>
            <w:noProof/>
            <w:lang w:eastAsia="es-ES"/>
          </w:rPr>
          <w:t>Metodología para futuras evaluaciones</w:t>
        </w:r>
        <w:r w:rsidR="00B67D4F">
          <w:rPr>
            <w:noProof/>
            <w:webHidden/>
          </w:rPr>
          <w:tab/>
        </w:r>
        <w:r>
          <w:rPr>
            <w:noProof/>
            <w:webHidden/>
          </w:rPr>
          <w:fldChar w:fldCharType="begin"/>
        </w:r>
        <w:r w:rsidR="00B67D4F">
          <w:rPr>
            <w:noProof/>
            <w:webHidden/>
          </w:rPr>
          <w:instrText xml:space="preserve"> PAGEREF _Toc405992316 \h </w:instrText>
        </w:r>
        <w:r>
          <w:rPr>
            <w:noProof/>
            <w:webHidden/>
          </w:rPr>
        </w:r>
        <w:r>
          <w:rPr>
            <w:noProof/>
            <w:webHidden/>
          </w:rPr>
          <w:fldChar w:fldCharType="separate"/>
        </w:r>
        <w:r w:rsidR="00A85CA9">
          <w:rPr>
            <w:noProof/>
            <w:webHidden/>
          </w:rPr>
          <w:t>105</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17" w:history="1">
        <w:r w:rsidR="00B67D4F" w:rsidRPr="00CB641A">
          <w:rPr>
            <w:rStyle w:val="Hipervnculo"/>
            <w:noProof/>
          </w:rPr>
          <w:t>6.1</w:t>
        </w:r>
        <w:r w:rsidR="00B67D4F">
          <w:rPr>
            <w:rFonts w:asciiTheme="minorHAnsi" w:hAnsiTheme="minorHAnsi"/>
            <w:noProof/>
            <w:szCs w:val="22"/>
            <w:lang w:val="es-CO" w:eastAsia="es-CO"/>
          </w:rPr>
          <w:tab/>
        </w:r>
        <w:r w:rsidR="00B67D4F" w:rsidRPr="00CB641A">
          <w:rPr>
            <w:rStyle w:val="Hipervnculo"/>
            <w:noProof/>
          </w:rPr>
          <w:t>La cadena de valor</w:t>
        </w:r>
        <w:r w:rsidR="00B67D4F">
          <w:rPr>
            <w:noProof/>
            <w:webHidden/>
          </w:rPr>
          <w:tab/>
        </w:r>
        <w:r>
          <w:rPr>
            <w:noProof/>
            <w:webHidden/>
          </w:rPr>
          <w:fldChar w:fldCharType="begin"/>
        </w:r>
        <w:r w:rsidR="00B67D4F">
          <w:rPr>
            <w:noProof/>
            <w:webHidden/>
          </w:rPr>
          <w:instrText xml:space="preserve"> PAGEREF _Toc405992317 \h </w:instrText>
        </w:r>
        <w:r>
          <w:rPr>
            <w:noProof/>
            <w:webHidden/>
          </w:rPr>
        </w:r>
        <w:r>
          <w:rPr>
            <w:noProof/>
            <w:webHidden/>
          </w:rPr>
          <w:fldChar w:fldCharType="separate"/>
        </w:r>
        <w:r w:rsidR="00A85CA9">
          <w:rPr>
            <w:noProof/>
            <w:webHidden/>
          </w:rPr>
          <w:t>105</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18" w:history="1">
        <w:r w:rsidR="00B67D4F" w:rsidRPr="00CB641A">
          <w:rPr>
            <w:rStyle w:val="Hipervnculo"/>
            <w:noProof/>
          </w:rPr>
          <w:t>6.2</w:t>
        </w:r>
        <w:r w:rsidR="00B67D4F">
          <w:rPr>
            <w:rFonts w:asciiTheme="minorHAnsi" w:hAnsiTheme="minorHAnsi"/>
            <w:noProof/>
            <w:szCs w:val="22"/>
            <w:lang w:val="es-CO" w:eastAsia="es-CO"/>
          </w:rPr>
          <w:tab/>
        </w:r>
        <w:r w:rsidR="00B67D4F" w:rsidRPr="00CB641A">
          <w:rPr>
            <w:rStyle w:val="Hipervnculo"/>
            <w:noProof/>
          </w:rPr>
          <w:t>Evaluación de resultados: información necesaria y procedimiento</w:t>
        </w:r>
        <w:r w:rsidR="00B67D4F">
          <w:rPr>
            <w:noProof/>
            <w:webHidden/>
          </w:rPr>
          <w:tab/>
        </w:r>
        <w:r>
          <w:rPr>
            <w:noProof/>
            <w:webHidden/>
          </w:rPr>
          <w:fldChar w:fldCharType="begin"/>
        </w:r>
        <w:r w:rsidR="00B67D4F">
          <w:rPr>
            <w:noProof/>
            <w:webHidden/>
          </w:rPr>
          <w:instrText xml:space="preserve"> PAGEREF _Toc405992318 \h </w:instrText>
        </w:r>
        <w:r>
          <w:rPr>
            <w:noProof/>
            <w:webHidden/>
          </w:rPr>
        </w:r>
        <w:r>
          <w:rPr>
            <w:noProof/>
            <w:webHidden/>
          </w:rPr>
          <w:fldChar w:fldCharType="separate"/>
        </w:r>
        <w:r w:rsidR="00A85CA9">
          <w:rPr>
            <w:noProof/>
            <w:webHidden/>
          </w:rPr>
          <w:t>107</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19" w:history="1">
        <w:r w:rsidR="00B67D4F" w:rsidRPr="00CB641A">
          <w:rPr>
            <w:rStyle w:val="Hipervnculo"/>
            <w:noProof/>
          </w:rPr>
          <w:t>6.3</w:t>
        </w:r>
        <w:r w:rsidR="00B67D4F">
          <w:rPr>
            <w:rFonts w:asciiTheme="minorHAnsi" w:hAnsiTheme="minorHAnsi"/>
            <w:noProof/>
            <w:szCs w:val="22"/>
            <w:lang w:val="es-CO" w:eastAsia="es-CO"/>
          </w:rPr>
          <w:tab/>
        </w:r>
        <w:r w:rsidR="00B67D4F" w:rsidRPr="00CB641A">
          <w:rPr>
            <w:rStyle w:val="Hipervnculo"/>
            <w:noProof/>
          </w:rPr>
          <w:t>Evaluación de impacto: información necesaria y procedimiento</w:t>
        </w:r>
        <w:r w:rsidR="00B67D4F">
          <w:rPr>
            <w:noProof/>
            <w:webHidden/>
          </w:rPr>
          <w:tab/>
        </w:r>
        <w:r>
          <w:rPr>
            <w:noProof/>
            <w:webHidden/>
          </w:rPr>
          <w:fldChar w:fldCharType="begin"/>
        </w:r>
        <w:r w:rsidR="00B67D4F">
          <w:rPr>
            <w:noProof/>
            <w:webHidden/>
          </w:rPr>
          <w:instrText xml:space="preserve"> PAGEREF _Toc405992319 \h </w:instrText>
        </w:r>
        <w:r>
          <w:rPr>
            <w:noProof/>
            <w:webHidden/>
          </w:rPr>
        </w:r>
        <w:r>
          <w:rPr>
            <w:noProof/>
            <w:webHidden/>
          </w:rPr>
          <w:fldChar w:fldCharType="separate"/>
        </w:r>
        <w:r w:rsidR="00A85CA9">
          <w:rPr>
            <w:noProof/>
            <w:webHidden/>
          </w:rPr>
          <w:t>110</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20" w:history="1">
        <w:r w:rsidR="00B67D4F" w:rsidRPr="00CB641A">
          <w:rPr>
            <w:rStyle w:val="Hipervnculo"/>
            <w:noProof/>
          </w:rPr>
          <w:t>6.4</w:t>
        </w:r>
        <w:r w:rsidR="00B67D4F">
          <w:rPr>
            <w:rFonts w:asciiTheme="minorHAnsi" w:hAnsiTheme="minorHAnsi"/>
            <w:noProof/>
            <w:szCs w:val="22"/>
            <w:lang w:val="es-CO" w:eastAsia="es-CO"/>
          </w:rPr>
          <w:tab/>
        </w:r>
        <w:r w:rsidR="00B67D4F" w:rsidRPr="00CB641A">
          <w:rPr>
            <w:rStyle w:val="Hipervnculo"/>
            <w:noProof/>
          </w:rPr>
          <w:t>Seguimiento</w:t>
        </w:r>
        <w:r w:rsidR="00B67D4F">
          <w:rPr>
            <w:noProof/>
            <w:webHidden/>
          </w:rPr>
          <w:tab/>
        </w:r>
        <w:r>
          <w:rPr>
            <w:noProof/>
            <w:webHidden/>
          </w:rPr>
          <w:fldChar w:fldCharType="begin"/>
        </w:r>
        <w:r w:rsidR="00B67D4F">
          <w:rPr>
            <w:noProof/>
            <w:webHidden/>
          </w:rPr>
          <w:instrText xml:space="preserve"> PAGEREF _Toc405992320 \h </w:instrText>
        </w:r>
        <w:r>
          <w:rPr>
            <w:noProof/>
            <w:webHidden/>
          </w:rPr>
        </w:r>
        <w:r>
          <w:rPr>
            <w:noProof/>
            <w:webHidden/>
          </w:rPr>
          <w:fldChar w:fldCharType="separate"/>
        </w:r>
        <w:r w:rsidR="00A85CA9">
          <w:rPr>
            <w:noProof/>
            <w:webHidden/>
          </w:rPr>
          <w:t>113</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21" w:history="1">
        <w:r w:rsidR="00B67D4F" w:rsidRPr="00CB641A">
          <w:rPr>
            <w:rStyle w:val="Hipervnculo"/>
            <w:rFonts w:cs="Times New Roman"/>
            <w:noProof/>
            <w:lang w:eastAsia="es-ES"/>
          </w:rPr>
          <w:t>Capítulo 7</w:t>
        </w:r>
        <w:r w:rsidR="00B67D4F">
          <w:rPr>
            <w:noProof/>
            <w:webHidden/>
          </w:rPr>
          <w:tab/>
        </w:r>
        <w:r>
          <w:rPr>
            <w:noProof/>
            <w:webHidden/>
          </w:rPr>
          <w:fldChar w:fldCharType="begin"/>
        </w:r>
        <w:r w:rsidR="00B67D4F">
          <w:rPr>
            <w:noProof/>
            <w:webHidden/>
          </w:rPr>
          <w:instrText xml:space="preserve"> PAGEREF _Toc405992321 \h </w:instrText>
        </w:r>
        <w:r>
          <w:rPr>
            <w:noProof/>
            <w:webHidden/>
          </w:rPr>
        </w:r>
        <w:r>
          <w:rPr>
            <w:noProof/>
            <w:webHidden/>
          </w:rPr>
          <w:fldChar w:fldCharType="separate"/>
        </w:r>
        <w:r w:rsidR="00A85CA9">
          <w:rPr>
            <w:noProof/>
            <w:webHidden/>
          </w:rPr>
          <w:t>114</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22" w:history="1">
        <w:r w:rsidR="00B67D4F" w:rsidRPr="00CB641A">
          <w:rPr>
            <w:rStyle w:val="Hipervnculo"/>
            <w:rFonts w:eastAsia="Times New Roman"/>
            <w:noProof/>
            <w:lang w:eastAsia="es-ES"/>
          </w:rPr>
          <w:t>Conclusiones y recomendaciones a nivel nacional</w:t>
        </w:r>
        <w:r w:rsidR="00B67D4F">
          <w:rPr>
            <w:noProof/>
            <w:webHidden/>
          </w:rPr>
          <w:tab/>
        </w:r>
        <w:r>
          <w:rPr>
            <w:noProof/>
            <w:webHidden/>
          </w:rPr>
          <w:fldChar w:fldCharType="begin"/>
        </w:r>
        <w:r w:rsidR="00B67D4F">
          <w:rPr>
            <w:noProof/>
            <w:webHidden/>
          </w:rPr>
          <w:instrText xml:space="preserve"> PAGEREF _Toc405992322 \h </w:instrText>
        </w:r>
        <w:r>
          <w:rPr>
            <w:noProof/>
            <w:webHidden/>
          </w:rPr>
        </w:r>
        <w:r>
          <w:rPr>
            <w:noProof/>
            <w:webHidden/>
          </w:rPr>
          <w:fldChar w:fldCharType="separate"/>
        </w:r>
        <w:r w:rsidR="00A85CA9">
          <w:rPr>
            <w:noProof/>
            <w:webHidden/>
          </w:rPr>
          <w:t>114</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23" w:history="1">
        <w:r w:rsidR="00B67D4F" w:rsidRPr="00CB641A">
          <w:rPr>
            <w:rStyle w:val="Hipervnculo"/>
            <w:noProof/>
          </w:rPr>
          <w:t>7.1</w:t>
        </w:r>
        <w:r w:rsidR="00B67D4F">
          <w:rPr>
            <w:rFonts w:asciiTheme="minorHAnsi" w:hAnsiTheme="minorHAnsi"/>
            <w:noProof/>
            <w:szCs w:val="22"/>
            <w:lang w:val="es-CO" w:eastAsia="es-CO"/>
          </w:rPr>
          <w:tab/>
        </w:r>
        <w:r w:rsidR="00B67D4F" w:rsidRPr="00CB641A">
          <w:rPr>
            <w:rStyle w:val="Hipervnculo"/>
            <w:noProof/>
          </w:rPr>
          <w:t>Conclusiones</w:t>
        </w:r>
        <w:r w:rsidR="00B67D4F">
          <w:rPr>
            <w:noProof/>
            <w:webHidden/>
          </w:rPr>
          <w:tab/>
        </w:r>
        <w:r>
          <w:rPr>
            <w:noProof/>
            <w:webHidden/>
          </w:rPr>
          <w:fldChar w:fldCharType="begin"/>
        </w:r>
        <w:r w:rsidR="00B67D4F">
          <w:rPr>
            <w:noProof/>
            <w:webHidden/>
          </w:rPr>
          <w:instrText xml:space="preserve"> PAGEREF _Toc405992323 \h </w:instrText>
        </w:r>
        <w:r>
          <w:rPr>
            <w:noProof/>
            <w:webHidden/>
          </w:rPr>
        </w:r>
        <w:r>
          <w:rPr>
            <w:noProof/>
            <w:webHidden/>
          </w:rPr>
          <w:fldChar w:fldCharType="separate"/>
        </w:r>
        <w:r w:rsidR="00A85CA9">
          <w:rPr>
            <w:noProof/>
            <w:webHidden/>
          </w:rPr>
          <w:t>114</w:t>
        </w:r>
        <w:r>
          <w:rPr>
            <w:noProof/>
            <w:webHidden/>
          </w:rPr>
          <w:fldChar w:fldCharType="end"/>
        </w:r>
      </w:hyperlink>
    </w:p>
    <w:p w:rsidR="00B67D4F" w:rsidRDefault="00C94AA3">
      <w:pPr>
        <w:pStyle w:val="TDC2"/>
        <w:rPr>
          <w:rFonts w:asciiTheme="minorHAnsi" w:hAnsiTheme="minorHAnsi"/>
          <w:noProof/>
          <w:szCs w:val="22"/>
          <w:lang w:val="es-CO" w:eastAsia="es-CO"/>
        </w:rPr>
      </w:pPr>
      <w:hyperlink w:anchor="_Toc405992324" w:history="1">
        <w:r w:rsidR="00B67D4F" w:rsidRPr="00CB641A">
          <w:rPr>
            <w:rStyle w:val="Hipervnculo"/>
            <w:noProof/>
          </w:rPr>
          <w:t>7.2</w:t>
        </w:r>
        <w:r w:rsidR="00B67D4F">
          <w:rPr>
            <w:rFonts w:asciiTheme="minorHAnsi" w:hAnsiTheme="minorHAnsi"/>
            <w:noProof/>
            <w:szCs w:val="22"/>
            <w:lang w:val="es-CO" w:eastAsia="es-CO"/>
          </w:rPr>
          <w:tab/>
        </w:r>
        <w:r w:rsidR="00B67D4F" w:rsidRPr="00CB641A">
          <w:rPr>
            <w:rStyle w:val="Hipervnculo"/>
            <w:noProof/>
          </w:rPr>
          <w:t>Recomendaciones</w:t>
        </w:r>
        <w:r w:rsidR="00B67D4F">
          <w:rPr>
            <w:noProof/>
            <w:webHidden/>
          </w:rPr>
          <w:tab/>
        </w:r>
        <w:r>
          <w:rPr>
            <w:noProof/>
            <w:webHidden/>
          </w:rPr>
          <w:fldChar w:fldCharType="begin"/>
        </w:r>
        <w:r w:rsidR="00B67D4F">
          <w:rPr>
            <w:noProof/>
            <w:webHidden/>
          </w:rPr>
          <w:instrText xml:space="preserve"> PAGEREF _Toc405992324 \h </w:instrText>
        </w:r>
        <w:r>
          <w:rPr>
            <w:noProof/>
            <w:webHidden/>
          </w:rPr>
        </w:r>
        <w:r>
          <w:rPr>
            <w:noProof/>
            <w:webHidden/>
          </w:rPr>
          <w:fldChar w:fldCharType="separate"/>
        </w:r>
        <w:r w:rsidR="00A85CA9">
          <w:rPr>
            <w:noProof/>
            <w:webHidden/>
          </w:rPr>
          <w:t>117</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25" w:history="1">
        <w:r w:rsidR="00B67D4F" w:rsidRPr="00CB641A">
          <w:rPr>
            <w:rStyle w:val="Hipervnculo"/>
            <w:noProof/>
          </w:rPr>
          <w:t>ANEXOS</w:t>
        </w:r>
        <w:r w:rsidR="00B67D4F">
          <w:rPr>
            <w:noProof/>
            <w:webHidden/>
          </w:rPr>
          <w:tab/>
        </w:r>
        <w:r>
          <w:rPr>
            <w:noProof/>
            <w:webHidden/>
          </w:rPr>
          <w:fldChar w:fldCharType="begin"/>
        </w:r>
        <w:r w:rsidR="00B67D4F">
          <w:rPr>
            <w:noProof/>
            <w:webHidden/>
          </w:rPr>
          <w:instrText xml:space="preserve"> PAGEREF _Toc405992325 \h </w:instrText>
        </w:r>
        <w:r>
          <w:rPr>
            <w:noProof/>
            <w:webHidden/>
          </w:rPr>
        </w:r>
        <w:r>
          <w:rPr>
            <w:noProof/>
            <w:webHidden/>
          </w:rPr>
          <w:fldChar w:fldCharType="separate"/>
        </w:r>
        <w:r w:rsidR="00A85CA9">
          <w:rPr>
            <w:noProof/>
            <w:webHidden/>
          </w:rPr>
          <w:t>118</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26" w:history="1">
        <w:r w:rsidR="00B67D4F" w:rsidRPr="00CB641A">
          <w:rPr>
            <w:rStyle w:val="Hipervnculo"/>
            <w:rFonts w:eastAsia="Times New Roman"/>
            <w:noProof/>
            <w:lang w:eastAsia="es-ES"/>
          </w:rPr>
          <w:t>Anexo A1</w:t>
        </w:r>
        <w:r w:rsidR="00B67D4F">
          <w:rPr>
            <w:noProof/>
            <w:webHidden/>
          </w:rPr>
          <w:tab/>
        </w:r>
        <w:r>
          <w:rPr>
            <w:noProof/>
            <w:webHidden/>
          </w:rPr>
          <w:fldChar w:fldCharType="begin"/>
        </w:r>
        <w:r w:rsidR="00B67D4F">
          <w:rPr>
            <w:noProof/>
            <w:webHidden/>
          </w:rPr>
          <w:instrText xml:space="preserve"> PAGEREF _Toc405992326 \h </w:instrText>
        </w:r>
        <w:r>
          <w:rPr>
            <w:noProof/>
            <w:webHidden/>
          </w:rPr>
        </w:r>
        <w:r>
          <w:rPr>
            <w:noProof/>
            <w:webHidden/>
          </w:rPr>
          <w:fldChar w:fldCharType="separate"/>
        </w:r>
        <w:r w:rsidR="00A85CA9">
          <w:rPr>
            <w:noProof/>
            <w:webHidden/>
          </w:rPr>
          <w:t>119</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28" w:history="1">
        <w:r w:rsidR="00B67D4F" w:rsidRPr="00CB641A">
          <w:rPr>
            <w:rStyle w:val="Hipervnculo"/>
            <w:rFonts w:eastAsia="Times New Roman"/>
            <w:noProof/>
            <w:lang w:eastAsia="es-ES"/>
          </w:rPr>
          <w:t>Anexo A2</w:t>
        </w:r>
        <w:r w:rsidR="00B67D4F">
          <w:rPr>
            <w:noProof/>
            <w:webHidden/>
          </w:rPr>
          <w:tab/>
        </w:r>
        <w:r>
          <w:rPr>
            <w:noProof/>
            <w:webHidden/>
          </w:rPr>
          <w:fldChar w:fldCharType="begin"/>
        </w:r>
        <w:r w:rsidR="00B67D4F">
          <w:rPr>
            <w:noProof/>
            <w:webHidden/>
          </w:rPr>
          <w:instrText xml:space="preserve"> PAGEREF _Toc405992328 \h </w:instrText>
        </w:r>
        <w:r>
          <w:rPr>
            <w:noProof/>
            <w:webHidden/>
          </w:rPr>
        </w:r>
        <w:r>
          <w:rPr>
            <w:noProof/>
            <w:webHidden/>
          </w:rPr>
          <w:fldChar w:fldCharType="separate"/>
        </w:r>
        <w:r w:rsidR="00A85CA9">
          <w:rPr>
            <w:noProof/>
            <w:webHidden/>
          </w:rPr>
          <w:t>133</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30" w:history="1">
        <w:r w:rsidR="00B67D4F" w:rsidRPr="00CB641A">
          <w:rPr>
            <w:rStyle w:val="Hipervnculo"/>
            <w:noProof/>
          </w:rPr>
          <w:t>Anexo A3</w:t>
        </w:r>
        <w:r w:rsidR="00B67D4F">
          <w:rPr>
            <w:noProof/>
            <w:webHidden/>
          </w:rPr>
          <w:tab/>
        </w:r>
        <w:r>
          <w:rPr>
            <w:noProof/>
            <w:webHidden/>
          </w:rPr>
          <w:fldChar w:fldCharType="begin"/>
        </w:r>
        <w:r w:rsidR="00B67D4F">
          <w:rPr>
            <w:noProof/>
            <w:webHidden/>
          </w:rPr>
          <w:instrText xml:space="preserve"> PAGEREF _Toc405992330 \h </w:instrText>
        </w:r>
        <w:r>
          <w:rPr>
            <w:noProof/>
            <w:webHidden/>
          </w:rPr>
        </w:r>
        <w:r>
          <w:rPr>
            <w:noProof/>
            <w:webHidden/>
          </w:rPr>
          <w:fldChar w:fldCharType="separate"/>
        </w:r>
        <w:r w:rsidR="00A85CA9">
          <w:rPr>
            <w:noProof/>
            <w:webHidden/>
          </w:rPr>
          <w:t>142</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32" w:history="1">
        <w:r w:rsidR="00B67D4F" w:rsidRPr="00CB641A">
          <w:rPr>
            <w:rStyle w:val="Hipervnculo"/>
            <w:noProof/>
          </w:rPr>
          <w:t>Anexo A4</w:t>
        </w:r>
        <w:r w:rsidR="00B67D4F">
          <w:rPr>
            <w:noProof/>
            <w:webHidden/>
          </w:rPr>
          <w:tab/>
        </w:r>
        <w:r>
          <w:rPr>
            <w:noProof/>
            <w:webHidden/>
          </w:rPr>
          <w:fldChar w:fldCharType="begin"/>
        </w:r>
        <w:r w:rsidR="00B67D4F">
          <w:rPr>
            <w:noProof/>
            <w:webHidden/>
          </w:rPr>
          <w:instrText xml:space="preserve"> PAGEREF _Toc405992332 \h </w:instrText>
        </w:r>
        <w:r>
          <w:rPr>
            <w:noProof/>
            <w:webHidden/>
          </w:rPr>
        </w:r>
        <w:r>
          <w:rPr>
            <w:noProof/>
            <w:webHidden/>
          </w:rPr>
          <w:fldChar w:fldCharType="separate"/>
        </w:r>
        <w:r w:rsidR="00A85CA9">
          <w:rPr>
            <w:noProof/>
            <w:webHidden/>
          </w:rPr>
          <w:t>156</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37" w:history="1">
        <w:r w:rsidR="00B67D4F" w:rsidRPr="00CB641A">
          <w:rPr>
            <w:rStyle w:val="Hipervnculo"/>
            <w:rFonts w:eastAsia="Times New Roman"/>
            <w:noProof/>
            <w:lang w:val="es-CO" w:eastAsia="es-ES"/>
          </w:rPr>
          <w:t>Anexo A5</w:t>
        </w:r>
        <w:r w:rsidR="00B67D4F">
          <w:rPr>
            <w:noProof/>
            <w:webHidden/>
          </w:rPr>
          <w:tab/>
        </w:r>
        <w:r>
          <w:rPr>
            <w:noProof/>
            <w:webHidden/>
          </w:rPr>
          <w:fldChar w:fldCharType="begin"/>
        </w:r>
        <w:r w:rsidR="00B67D4F">
          <w:rPr>
            <w:noProof/>
            <w:webHidden/>
          </w:rPr>
          <w:instrText xml:space="preserve"> PAGEREF _Toc405992337 \h </w:instrText>
        </w:r>
        <w:r>
          <w:rPr>
            <w:noProof/>
            <w:webHidden/>
          </w:rPr>
        </w:r>
        <w:r>
          <w:rPr>
            <w:noProof/>
            <w:webHidden/>
          </w:rPr>
          <w:fldChar w:fldCharType="separate"/>
        </w:r>
        <w:r w:rsidR="00A85CA9">
          <w:rPr>
            <w:noProof/>
            <w:webHidden/>
          </w:rPr>
          <w:t>166</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39" w:history="1">
        <w:r w:rsidR="00B67D4F" w:rsidRPr="00CB641A">
          <w:rPr>
            <w:rStyle w:val="Hipervnculo"/>
            <w:rFonts w:eastAsia="Times New Roman"/>
            <w:noProof/>
            <w:lang w:val="es-CO" w:eastAsia="es-ES"/>
          </w:rPr>
          <w:t>Anexo A6</w:t>
        </w:r>
        <w:r w:rsidR="00B67D4F">
          <w:rPr>
            <w:noProof/>
            <w:webHidden/>
          </w:rPr>
          <w:tab/>
        </w:r>
        <w:r>
          <w:rPr>
            <w:noProof/>
            <w:webHidden/>
          </w:rPr>
          <w:fldChar w:fldCharType="begin"/>
        </w:r>
        <w:r w:rsidR="00B67D4F">
          <w:rPr>
            <w:noProof/>
            <w:webHidden/>
          </w:rPr>
          <w:instrText xml:space="preserve"> PAGEREF _Toc405992339 \h </w:instrText>
        </w:r>
        <w:r>
          <w:rPr>
            <w:noProof/>
            <w:webHidden/>
          </w:rPr>
        </w:r>
        <w:r>
          <w:rPr>
            <w:noProof/>
            <w:webHidden/>
          </w:rPr>
          <w:fldChar w:fldCharType="separate"/>
        </w:r>
        <w:r w:rsidR="00A85CA9">
          <w:rPr>
            <w:noProof/>
            <w:webHidden/>
          </w:rPr>
          <w:t>170</w:t>
        </w:r>
        <w:r>
          <w:rPr>
            <w:noProof/>
            <w:webHidden/>
          </w:rPr>
          <w:fldChar w:fldCharType="end"/>
        </w:r>
      </w:hyperlink>
    </w:p>
    <w:p w:rsidR="00B67D4F" w:rsidRDefault="00C94AA3">
      <w:pPr>
        <w:pStyle w:val="TDC1"/>
        <w:rPr>
          <w:rFonts w:asciiTheme="minorHAnsi" w:hAnsiTheme="minorHAnsi"/>
          <w:smallCaps w:val="0"/>
          <w:noProof/>
          <w:color w:val="auto"/>
          <w:szCs w:val="22"/>
          <w:lang w:val="es-CO" w:eastAsia="es-CO"/>
        </w:rPr>
      </w:pPr>
      <w:hyperlink w:anchor="_Toc405992341" w:history="1">
        <w:r w:rsidR="00B67D4F" w:rsidRPr="00CB641A">
          <w:rPr>
            <w:rStyle w:val="Hipervnculo"/>
            <w:rFonts w:eastAsia="Times New Roman"/>
            <w:noProof/>
            <w:lang w:val="es-CO" w:eastAsia="es-ES"/>
          </w:rPr>
          <w:t>Bibliografía</w:t>
        </w:r>
        <w:r w:rsidR="00B67D4F">
          <w:rPr>
            <w:noProof/>
            <w:webHidden/>
          </w:rPr>
          <w:tab/>
        </w:r>
        <w:r>
          <w:rPr>
            <w:noProof/>
            <w:webHidden/>
          </w:rPr>
          <w:fldChar w:fldCharType="begin"/>
        </w:r>
        <w:r w:rsidR="00B67D4F">
          <w:rPr>
            <w:noProof/>
            <w:webHidden/>
          </w:rPr>
          <w:instrText xml:space="preserve"> PAGEREF _Toc405992341 \h </w:instrText>
        </w:r>
        <w:r>
          <w:rPr>
            <w:noProof/>
            <w:webHidden/>
          </w:rPr>
        </w:r>
        <w:r>
          <w:rPr>
            <w:noProof/>
            <w:webHidden/>
          </w:rPr>
          <w:fldChar w:fldCharType="separate"/>
        </w:r>
        <w:r w:rsidR="00A85CA9">
          <w:rPr>
            <w:noProof/>
            <w:webHidden/>
          </w:rPr>
          <w:t>178</w:t>
        </w:r>
        <w:r>
          <w:rPr>
            <w:noProof/>
            <w:webHidden/>
          </w:rPr>
          <w:fldChar w:fldCharType="end"/>
        </w:r>
      </w:hyperlink>
    </w:p>
    <w:p w:rsidR="007700A9" w:rsidRPr="007700A9" w:rsidRDefault="00C94AA3" w:rsidP="009263AA">
      <w:pPr>
        <w:keepNext/>
        <w:spacing w:before="0"/>
        <w:outlineLvl w:val="0"/>
        <w:rPr>
          <w:rFonts w:ascii="Century Gothic" w:eastAsia="Calibri" w:hAnsi="Century Gothic" w:cs="Times New Roman"/>
          <w:smallCaps/>
          <w:noProof/>
          <w:color w:val="C00000"/>
        </w:rPr>
        <w:sectPr w:rsidR="007700A9" w:rsidRPr="007700A9" w:rsidSect="003A2765">
          <w:footerReference w:type="default" r:id="rId14"/>
          <w:pgSz w:w="12240" w:h="15840" w:code="1"/>
          <w:pgMar w:top="1417" w:right="1701" w:bottom="1417" w:left="1701" w:header="706" w:footer="706" w:gutter="0"/>
          <w:pgNumType w:fmt="lowerRoman" w:start="1"/>
          <w:cols w:space="708"/>
          <w:docGrid w:linePitch="360"/>
        </w:sectPr>
      </w:pPr>
      <w:r>
        <w:rPr>
          <w:rFonts w:ascii="Century Gothic" w:eastAsia="Calibri" w:hAnsi="Century Gothic"/>
          <w:smallCaps/>
          <w:noProof/>
          <w:color w:val="0000FF"/>
          <w:sz w:val="22"/>
          <w:szCs w:val="22"/>
          <w:highlight w:val="yellow"/>
          <w:u w:val="single"/>
          <w:lang w:val="es-CO"/>
        </w:rPr>
        <w:fldChar w:fldCharType="end"/>
      </w:r>
      <w:r w:rsidR="007700A9" w:rsidRPr="00C51694">
        <w:rPr>
          <w:rFonts w:ascii="Century Gothic" w:eastAsia="Calibri" w:hAnsi="Century Gothic" w:cs="Times New Roman"/>
          <w:smallCaps/>
          <w:noProof/>
          <w:webHidden/>
        </w:rPr>
        <w:tab/>
      </w:r>
    </w:p>
    <w:p w:rsidR="007700A9" w:rsidRPr="007700A9" w:rsidRDefault="007700A9" w:rsidP="00B03A48">
      <w:pPr>
        <w:pStyle w:val="Titulocaptulo-Econometra"/>
        <w:rPr>
          <w:rFonts w:eastAsia="Times New Roman"/>
          <w:lang w:eastAsia="es-ES"/>
        </w:rPr>
      </w:pPr>
      <w:bookmarkStart w:id="30" w:name="_Toc405992287"/>
      <w:r w:rsidRPr="007700A9">
        <w:rPr>
          <w:rFonts w:eastAsia="Times New Roman"/>
          <w:lang w:eastAsia="es-ES"/>
        </w:rPr>
        <w:lastRenderedPageBreak/>
        <w:t>Abreviaturas</w:t>
      </w:r>
      <w:bookmarkEnd w:id="30"/>
    </w:p>
    <w:p w:rsidR="007700A9" w:rsidRPr="007700A9" w:rsidRDefault="007700A9" w:rsidP="007700A9">
      <w:pPr>
        <w:spacing w:before="120" w:after="120"/>
        <w:rPr>
          <w:rFonts w:eastAsia="Calibri" w:cs="Times New Roman"/>
        </w:rPr>
      </w:pPr>
      <w:r w:rsidRPr="007700A9">
        <w:rPr>
          <w:rFonts w:eastAsia="Calibri" w:cs="Times New Roman"/>
        </w:rPr>
        <w:t>ANE</w:t>
      </w:r>
      <w:r w:rsidRPr="007700A9">
        <w:rPr>
          <w:rFonts w:eastAsia="Calibri" w:cs="Times New Roman"/>
        </w:rPr>
        <w:tab/>
      </w:r>
      <w:r w:rsidRPr="007700A9">
        <w:rPr>
          <w:rFonts w:eastAsia="Calibri" w:cs="Times New Roman"/>
        </w:rPr>
        <w:tab/>
        <w:t>Agencia Nacional del Espectro</w:t>
      </w:r>
    </w:p>
    <w:p w:rsidR="007700A9" w:rsidRPr="007700A9" w:rsidRDefault="007700A9" w:rsidP="007700A9">
      <w:pPr>
        <w:spacing w:before="120" w:after="120"/>
        <w:rPr>
          <w:rFonts w:eastAsia="Calibri" w:cs="Times New Roman"/>
        </w:rPr>
      </w:pPr>
      <w:r w:rsidRPr="007700A9">
        <w:rPr>
          <w:rFonts w:eastAsia="Calibri" w:cs="Times New Roman"/>
        </w:rPr>
        <w:t>ANTV</w:t>
      </w:r>
      <w:r w:rsidRPr="007700A9">
        <w:rPr>
          <w:rFonts w:eastAsia="Calibri" w:cs="Times New Roman"/>
        </w:rPr>
        <w:tab/>
        <w:t>Autoridad Nacional de Televisión</w:t>
      </w:r>
    </w:p>
    <w:p w:rsidR="007700A9" w:rsidRPr="007700A9" w:rsidRDefault="007700A9" w:rsidP="007700A9">
      <w:pPr>
        <w:spacing w:before="120" w:after="120"/>
        <w:rPr>
          <w:rFonts w:eastAsia="Calibri" w:cs="Times New Roman"/>
        </w:rPr>
      </w:pPr>
      <w:r w:rsidRPr="007700A9">
        <w:rPr>
          <w:rFonts w:eastAsia="Calibri" w:cs="Times New Roman"/>
        </w:rPr>
        <w:t>CCNP</w:t>
      </w:r>
      <w:r w:rsidRPr="007700A9">
        <w:rPr>
          <w:rFonts w:eastAsia="Calibri" w:cs="Times New Roman"/>
        </w:rPr>
        <w:tab/>
      </w:r>
      <w:r w:rsidRPr="007700A9">
        <w:rPr>
          <w:rFonts w:eastAsia="Calibri" w:cs="Times New Roman"/>
        </w:rPr>
        <w:tab/>
        <w:t>Consorcio de Canales Nacionales Privados</w:t>
      </w:r>
    </w:p>
    <w:p w:rsidR="007700A9" w:rsidRPr="007700A9" w:rsidRDefault="007700A9" w:rsidP="007700A9">
      <w:pPr>
        <w:spacing w:before="120" w:after="120"/>
        <w:rPr>
          <w:rFonts w:eastAsia="Calibri" w:cs="Times New Roman"/>
        </w:rPr>
      </w:pPr>
      <w:r w:rsidRPr="007700A9">
        <w:rPr>
          <w:rFonts w:eastAsia="Calibri" w:cs="Times New Roman"/>
        </w:rPr>
        <w:t>CNTV</w:t>
      </w:r>
      <w:r w:rsidRPr="007700A9">
        <w:rPr>
          <w:rFonts w:eastAsia="Calibri" w:cs="Times New Roman"/>
        </w:rPr>
        <w:tab/>
      </w:r>
      <w:r w:rsidRPr="007700A9">
        <w:rPr>
          <w:rFonts w:eastAsia="Calibri" w:cs="Times New Roman"/>
        </w:rPr>
        <w:tab/>
        <w:t>Comisión Nacional de Televisión</w:t>
      </w:r>
    </w:p>
    <w:p w:rsidR="007700A9" w:rsidRPr="007700A9" w:rsidRDefault="007700A9" w:rsidP="007700A9">
      <w:pPr>
        <w:spacing w:before="120" w:after="120"/>
        <w:rPr>
          <w:rFonts w:eastAsia="Calibri" w:cs="Times New Roman"/>
        </w:rPr>
      </w:pPr>
      <w:r w:rsidRPr="007700A9">
        <w:rPr>
          <w:rFonts w:eastAsia="Calibri" w:cs="Times New Roman"/>
        </w:rPr>
        <w:t>CRC</w:t>
      </w:r>
      <w:r w:rsidRPr="007700A9">
        <w:rPr>
          <w:rFonts w:eastAsia="Calibri" w:cs="Times New Roman"/>
        </w:rPr>
        <w:tab/>
      </w:r>
      <w:r w:rsidRPr="007700A9">
        <w:rPr>
          <w:rFonts w:eastAsia="Calibri" w:cs="Times New Roman"/>
        </w:rPr>
        <w:tab/>
        <w:t>Comisión de Regulación de Comunicaciones</w:t>
      </w:r>
    </w:p>
    <w:p w:rsidR="007700A9" w:rsidRPr="007700A9" w:rsidRDefault="007700A9" w:rsidP="007700A9">
      <w:pPr>
        <w:spacing w:before="120" w:after="120"/>
        <w:rPr>
          <w:rFonts w:eastAsia="Calibri" w:cs="Times New Roman"/>
        </w:rPr>
      </w:pPr>
      <w:r w:rsidRPr="007700A9">
        <w:rPr>
          <w:rFonts w:eastAsia="Calibri" w:cs="Times New Roman"/>
        </w:rPr>
        <w:t>DANE</w:t>
      </w:r>
      <w:r w:rsidRPr="007700A9">
        <w:rPr>
          <w:rFonts w:eastAsia="Calibri" w:cs="Times New Roman"/>
        </w:rPr>
        <w:tab/>
        <w:t>Departamento Administrativo Nacional de Estadística</w:t>
      </w:r>
    </w:p>
    <w:p w:rsidR="00415A55" w:rsidRDefault="00415A55" w:rsidP="007700A9">
      <w:pPr>
        <w:spacing w:before="120" w:after="120"/>
        <w:rPr>
          <w:rFonts w:eastAsia="Calibri" w:cs="Times New Roman"/>
        </w:rPr>
      </w:pPr>
      <w:r>
        <w:rPr>
          <w:rFonts w:eastAsia="Calibri" w:cs="Times New Roman"/>
        </w:rPr>
        <w:t xml:space="preserve">DNP </w:t>
      </w:r>
      <w:r>
        <w:rPr>
          <w:rFonts w:eastAsia="Calibri" w:cs="Times New Roman"/>
        </w:rPr>
        <w:tab/>
      </w:r>
      <w:r>
        <w:rPr>
          <w:rFonts w:eastAsia="Calibri" w:cs="Times New Roman"/>
        </w:rPr>
        <w:tab/>
        <w:t>Departamento Nacional de Planeación</w:t>
      </w:r>
    </w:p>
    <w:p w:rsidR="007700A9" w:rsidRPr="007700A9" w:rsidRDefault="007700A9" w:rsidP="007700A9">
      <w:pPr>
        <w:spacing w:before="120" w:after="120"/>
        <w:rPr>
          <w:rFonts w:eastAsia="Calibri" w:cs="Times New Roman"/>
        </w:rPr>
      </w:pPr>
      <w:r w:rsidRPr="007700A9">
        <w:rPr>
          <w:rFonts w:eastAsia="Calibri" w:cs="Times New Roman"/>
        </w:rPr>
        <w:t>DOFA</w:t>
      </w:r>
      <w:r w:rsidRPr="007700A9">
        <w:rPr>
          <w:rFonts w:eastAsia="Calibri" w:cs="Times New Roman"/>
        </w:rPr>
        <w:tab/>
        <w:t xml:space="preserve">Debilidades, Oportunidades, Fortalezas y Amenazas </w:t>
      </w:r>
    </w:p>
    <w:p w:rsidR="007700A9" w:rsidRPr="007700A9" w:rsidRDefault="007700A9" w:rsidP="007700A9">
      <w:pPr>
        <w:spacing w:before="120" w:after="120"/>
        <w:rPr>
          <w:rFonts w:eastAsia="Calibri" w:cs="Times New Roman"/>
        </w:rPr>
      </w:pPr>
      <w:r w:rsidRPr="007700A9">
        <w:rPr>
          <w:rFonts w:eastAsia="Calibri" w:cs="Times New Roman"/>
        </w:rPr>
        <w:t>DVB-T</w:t>
      </w:r>
      <w:r w:rsidRPr="007700A9">
        <w:rPr>
          <w:rFonts w:eastAsia="Calibri" w:cs="Times New Roman"/>
        </w:rPr>
        <w:tab/>
        <w:t xml:space="preserve">Digital Video </w:t>
      </w:r>
      <w:proofErr w:type="spellStart"/>
      <w:r w:rsidRPr="007700A9">
        <w:rPr>
          <w:rFonts w:eastAsia="Calibri" w:cs="Times New Roman"/>
        </w:rPr>
        <w:t>Broadcasting</w:t>
      </w:r>
      <w:proofErr w:type="spellEnd"/>
      <w:r w:rsidRPr="007700A9">
        <w:rPr>
          <w:rFonts w:eastAsia="Calibri" w:cs="Times New Roman"/>
        </w:rPr>
        <w:t xml:space="preserve"> – </w:t>
      </w:r>
      <w:proofErr w:type="spellStart"/>
      <w:r w:rsidRPr="007700A9">
        <w:rPr>
          <w:rFonts w:eastAsia="Calibri" w:cs="Times New Roman"/>
        </w:rPr>
        <w:t>Terrestrial</w:t>
      </w:r>
      <w:proofErr w:type="spellEnd"/>
      <w:r w:rsidRPr="007700A9">
        <w:rPr>
          <w:rFonts w:eastAsia="Calibri" w:cs="Times New Roman"/>
        </w:rPr>
        <w:t xml:space="preserve"> </w:t>
      </w:r>
    </w:p>
    <w:p w:rsidR="005F2C2C" w:rsidRDefault="005F2C2C" w:rsidP="007700A9">
      <w:pPr>
        <w:spacing w:before="120" w:after="120"/>
        <w:rPr>
          <w:rFonts w:eastAsia="Calibri" w:cs="Times New Roman"/>
        </w:rPr>
      </w:pPr>
      <w:r w:rsidRPr="002F513B">
        <w:t xml:space="preserve">ECV </w:t>
      </w:r>
      <w:r>
        <w:tab/>
      </w:r>
      <w:r>
        <w:tab/>
      </w:r>
      <w:r w:rsidRPr="002F513B">
        <w:t xml:space="preserve">Encuesta de Calidad de Vida </w:t>
      </w:r>
    </w:p>
    <w:p w:rsidR="007700A9" w:rsidRPr="007700A9" w:rsidRDefault="007700A9" w:rsidP="007700A9">
      <w:pPr>
        <w:spacing w:before="120" w:after="120"/>
        <w:rPr>
          <w:rFonts w:eastAsia="Calibri" w:cs="Times New Roman"/>
        </w:rPr>
      </w:pPr>
      <w:r w:rsidRPr="007700A9">
        <w:rPr>
          <w:rFonts w:eastAsia="Calibri" w:cs="Times New Roman"/>
        </w:rPr>
        <w:t>FONTIC</w:t>
      </w:r>
      <w:r w:rsidRPr="007700A9">
        <w:rPr>
          <w:rFonts w:eastAsia="Calibri" w:cs="Times New Roman"/>
        </w:rPr>
        <w:tab/>
        <w:t xml:space="preserve">Fondo de Tecnologías de la Información y las Comunicaciones </w:t>
      </w:r>
    </w:p>
    <w:p w:rsidR="00BA2179" w:rsidRDefault="00BA2179" w:rsidP="007700A9">
      <w:pPr>
        <w:spacing w:before="120" w:after="120"/>
        <w:rPr>
          <w:rFonts w:eastAsia="Calibri" w:cs="Times New Roman"/>
        </w:rPr>
      </w:pPr>
      <w:r>
        <w:rPr>
          <w:rFonts w:eastAsia="Calibri" w:cs="Times New Roman"/>
        </w:rPr>
        <w:t>GEL</w:t>
      </w:r>
      <w:r>
        <w:rPr>
          <w:rFonts w:eastAsia="Calibri" w:cs="Times New Roman"/>
        </w:rPr>
        <w:tab/>
      </w:r>
      <w:r>
        <w:rPr>
          <w:rFonts w:eastAsia="Calibri" w:cs="Times New Roman"/>
        </w:rPr>
        <w:tab/>
        <w:t>Gobierno en Línea</w:t>
      </w:r>
    </w:p>
    <w:p w:rsidR="007700A9" w:rsidRDefault="007700A9" w:rsidP="007700A9">
      <w:pPr>
        <w:spacing w:before="120" w:after="120"/>
        <w:rPr>
          <w:rFonts w:eastAsia="Calibri" w:cs="Times New Roman"/>
        </w:rPr>
      </w:pPr>
      <w:r w:rsidRPr="007700A9">
        <w:rPr>
          <w:rFonts w:eastAsia="Calibri" w:cs="Times New Roman"/>
        </w:rPr>
        <w:t>IMT</w:t>
      </w:r>
      <w:r w:rsidRPr="007700A9">
        <w:rPr>
          <w:rFonts w:eastAsia="Calibri" w:cs="Times New Roman"/>
        </w:rPr>
        <w:tab/>
      </w:r>
      <w:r w:rsidRPr="007700A9">
        <w:rPr>
          <w:rFonts w:eastAsia="Calibri" w:cs="Times New Roman"/>
        </w:rPr>
        <w:tab/>
        <w:t xml:space="preserve">International Mobile </w:t>
      </w:r>
      <w:proofErr w:type="spellStart"/>
      <w:r w:rsidRPr="007700A9">
        <w:rPr>
          <w:rFonts w:eastAsia="Calibri" w:cs="Times New Roman"/>
        </w:rPr>
        <w:t>Telecommunications</w:t>
      </w:r>
      <w:proofErr w:type="spellEnd"/>
      <w:r w:rsidRPr="007700A9">
        <w:rPr>
          <w:rFonts w:eastAsia="Calibri" w:cs="Times New Roman"/>
        </w:rPr>
        <w:t xml:space="preserve"> </w:t>
      </w:r>
    </w:p>
    <w:p w:rsidR="0036330C" w:rsidRPr="007700A9" w:rsidRDefault="0036330C" w:rsidP="007700A9">
      <w:pPr>
        <w:spacing w:before="120" w:after="120"/>
        <w:rPr>
          <w:rFonts w:eastAsia="Calibri" w:cs="Times New Roman"/>
        </w:rPr>
      </w:pPr>
      <w:r>
        <w:rPr>
          <w:rFonts w:eastAsia="Calibri" w:cs="Times New Roman"/>
        </w:rPr>
        <w:t>KVD</w:t>
      </w:r>
      <w:r>
        <w:rPr>
          <w:rFonts w:eastAsia="Calibri" w:cs="Times New Roman"/>
        </w:rPr>
        <w:tab/>
      </w:r>
      <w:r>
        <w:rPr>
          <w:rFonts w:eastAsia="Calibri" w:cs="Times New Roman"/>
        </w:rPr>
        <w:tab/>
        <w:t>Kiosco(s) Vive Digital</w:t>
      </w:r>
    </w:p>
    <w:p w:rsidR="007700A9" w:rsidRPr="007700A9" w:rsidRDefault="007700A9" w:rsidP="007700A9">
      <w:pPr>
        <w:spacing w:before="120" w:after="120"/>
        <w:rPr>
          <w:rFonts w:eastAsia="Calibri" w:cs="Times New Roman"/>
        </w:rPr>
      </w:pPr>
      <w:r w:rsidRPr="007700A9">
        <w:rPr>
          <w:rFonts w:eastAsia="Calibri" w:cs="Times New Roman"/>
        </w:rPr>
        <w:t>MINTIC</w:t>
      </w:r>
      <w:r w:rsidRPr="007700A9">
        <w:rPr>
          <w:rFonts w:eastAsia="Calibri" w:cs="Times New Roman"/>
        </w:rPr>
        <w:tab/>
        <w:t>Ministerio de las Tecnologías de la Información y las Comunicaciones</w:t>
      </w:r>
    </w:p>
    <w:p w:rsidR="007700A9" w:rsidRPr="007700A9" w:rsidRDefault="0051230C" w:rsidP="007700A9">
      <w:pPr>
        <w:spacing w:before="120" w:after="120"/>
        <w:rPr>
          <w:rFonts w:eastAsia="Calibri" w:cs="Times New Roman"/>
        </w:rPr>
      </w:pPr>
      <w:r>
        <w:rPr>
          <w:rFonts w:eastAsia="Calibri" w:cs="Times New Roman"/>
        </w:rPr>
        <w:t>NRI</w:t>
      </w:r>
      <w:r>
        <w:rPr>
          <w:rFonts w:eastAsia="Calibri" w:cs="Times New Roman"/>
        </w:rPr>
        <w:tab/>
      </w:r>
      <w:r>
        <w:rPr>
          <w:rFonts w:eastAsia="Calibri" w:cs="Times New Roman"/>
        </w:rPr>
        <w:tab/>
        <w:t>N</w:t>
      </w:r>
      <w:r w:rsidR="007700A9" w:rsidRPr="007700A9">
        <w:rPr>
          <w:rFonts w:eastAsia="Calibri" w:cs="Times New Roman"/>
        </w:rPr>
        <w:t xml:space="preserve">etwork </w:t>
      </w:r>
      <w:proofErr w:type="spellStart"/>
      <w:r w:rsidR="007700A9" w:rsidRPr="007700A9">
        <w:rPr>
          <w:rFonts w:eastAsia="Calibri" w:cs="Times New Roman"/>
        </w:rPr>
        <w:t>Readiness</w:t>
      </w:r>
      <w:proofErr w:type="spellEnd"/>
      <w:r w:rsidR="007700A9" w:rsidRPr="007700A9">
        <w:rPr>
          <w:rFonts w:eastAsia="Calibri" w:cs="Times New Roman"/>
        </w:rPr>
        <w:t xml:space="preserve"> </w:t>
      </w:r>
      <w:proofErr w:type="spellStart"/>
      <w:r w:rsidR="007700A9" w:rsidRPr="007700A9">
        <w:rPr>
          <w:rFonts w:eastAsia="Calibri" w:cs="Times New Roman"/>
        </w:rPr>
        <w:t>Index</w:t>
      </w:r>
      <w:proofErr w:type="spellEnd"/>
    </w:p>
    <w:p w:rsidR="007700A9" w:rsidRPr="007700A9" w:rsidRDefault="007700A9" w:rsidP="007700A9">
      <w:pPr>
        <w:spacing w:before="120" w:after="120"/>
        <w:rPr>
          <w:rFonts w:eastAsia="Calibri" w:cs="Times New Roman"/>
        </w:rPr>
      </w:pPr>
      <w:r w:rsidRPr="007700A9">
        <w:rPr>
          <w:rFonts w:eastAsia="Calibri" w:cs="Times New Roman"/>
        </w:rPr>
        <w:t>PAC</w:t>
      </w:r>
      <w:r w:rsidRPr="007700A9">
        <w:rPr>
          <w:rFonts w:eastAsia="Calibri" w:cs="Times New Roman"/>
        </w:rPr>
        <w:tab/>
      </w:r>
      <w:r w:rsidRPr="007700A9">
        <w:rPr>
          <w:rFonts w:eastAsia="Calibri" w:cs="Times New Roman"/>
        </w:rPr>
        <w:tab/>
        <w:t>Proveedor de Aplicaciones y Contenidos</w:t>
      </w:r>
    </w:p>
    <w:p w:rsidR="007700A9" w:rsidRDefault="007700A9" w:rsidP="007700A9">
      <w:pPr>
        <w:spacing w:before="120" w:after="120"/>
        <w:rPr>
          <w:rFonts w:eastAsia="Calibri" w:cs="Times New Roman"/>
        </w:rPr>
      </w:pPr>
      <w:r w:rsidRPr="007700A9">
        <w:rPr>
          <w:rFonts w:eastAsia="Calibri" w:cs="Times New Roman"/>
        </w:rPr>
        <w:t>PRST</w:t>
      </w:r>
      <w:r w:rsidRPr="007700A9">
        <w:rPr>
          <w:rFonts w:eastAsia="Calibri" w:cs="Times New Roman"/>
        </w:rPr>
        <w:tab/>
      </w:r>
      <w:r w:rsidRPr="007700A9">
        <w:rPr>
          <w:rFonts w:eastAsia="Calibri" w:cs="Times New Roman"/>
        </w:rPr>
        <w:tab/>
        <w:t>Proveedor de Redes y Servicios de Telecomunicaciones</w:t>
      </w:r>
    </w:p>
    <w:p w:rsidR="0036330C" w:rsidRPr="007700A9" w:rsidRDefault="0036330C" w:rsidP="0080179E">
      <w:pPr>
        <w:spacing w:before="120" w:after="120"/>
        <w:ind w:left="708" w:hanging="708"/>
        <w:rPr>
          <w:rFonts w:eastAsia="Calibri" w:cs="Times New Roman"/>
        </w:rPr>
      </w:pPr>
      <w:r>
        <w:rPr>
          <w:rFonts w:eastAsia="Calibri" w:cs="Times New Roman"/>
        </w:rPr>
        <w:t>PVD</w:t>
      </w:r>
      <w:r>
        <w:rPr>
          <w:rFonts w:eastAsia="Calibri" w:cs="Times New Roman"/>
        </w:rPr>
        <w:tab/>
      </w:r>
      <w:r>
        <w:rPr>
          <w:rFonts w:eastAsia="Calibri" w:cs="Times New Roman"/>
        </w:rPr>
        <w:tab/>
        <w:t>Punto(s) Vive Digital</w:t>
      </w:r>
    </w:p>
    <w:p w:rsidR="007700A9" w:rsidRPr="007700A9" w:rsidRDefault="007700A9" w:rsidP="007700A9">
      <w:pPr>
        <w:spacing w:before="120" w:after="120"/>
        <w:rPr>
          <w:rFonts w:eastAsia="Calibri" w:cs="Times New Roman"/>
        </w:rPr>
      </w:pPr>
      <w:r w:rsidRPr="007700A9">
        <w:rPr>
          <w:rFonts w:eastAsia="Calibri" w:cs="Times New Roman"/>
        </w:rPr>
        <w:t>SIC</w:t>
      </w:r>
      <w:r w:rsidRPr="007700A9">
        <w:rPr>
          <w:rFonts w:eastAsia="Calibri" w:cs="Times New Roman"/>
        </w:rPr>
        <w:tab/>
      </w:r>
      <w:r w:rsidRPr="007700A9">
        <w:rPr>
          <w:rFonts w:eastAsia="Calibri" w:cs="Times New Roman"/>
        </w:rPr>
        <w:tab/>
        <w:t>Superintendencia de Industria y Comercio</w:t>
      </w:r>
    </w:p>
    <w:p w:rsidR="007700A9" w:rsidRPr="007700A9" w:rsidRDefault="007700A9" w:rsidP="007700A9">
      <w:pPr>
        <w:spacing w:before="120" w:after="120"/>
        <w:rPr>
          <w:rFonts w:eastAsia="Calibri" w:cs="Times New Roman"/>
        </w:rPr>
      </w:pPr>
      <w:r w:rsidRPr="007700A9">
        <w:rPr>
          <w:rFonts w:eastAsia="Calibri" w:cs="Times New Roman"/>
        </w:rPr>
        <w:t>TDT</w:t>
      </w:r>
      <w:r w:rsidRPr="007700A9">
        <w:rPr>
          <w:rFonts w:eastAsia="Calibri" w:cs="Times New Roman"/>
        </w:rPr>
        <w:tab/>
      </w:r>
      <w:r w:rsidRPr="007700A9">
        <w:rPr>
          <w:rFonts w:eastAsia="Calibri" w:cs="Times New Roman"/>
        </w:rPr>
        <w:tab/>
        <w:t>Televisión Digital Terrestre</w:t>
      </w:r>
    </w:p>
    <w:p w:rsidR="007700A9" w:rsidRDefault="007700A9" w:rsidP="007700A9">
      <w:pPr>
        <w:spacing w:before="120" w:after="120"/>
        <w:rPr>
          <w:rFonts w:eastAsia="Calibri" w:cs="Times New Roman"/>
        </w:rPr>
      </w:pPr>
      <w:r w:rsidRPr="007700A9">
        <w:rPr>
          <w:rFonts w:eastAsia="Calibri" w:cs="Times New Roman"/>
        </w:rPr>
        <w:t>TIC</w:t>
      </w:r>
      <w:r w:rsidRPr="007700A9">
        <w:rPr>
          <w:rFonts w:eastAsia="Calibri" w:cs="Times New Roman"/>
        </w:rPr>
        <w:tab/>
      </w:r>
      <w:r w:rsidRPr="007700A9">
        <w:rPr>
          <w:rFonts w:eastAsia="Calibri" w:cs="Times New Roman"/>
        </w:rPr>
        <w:tab/>
        <w:t>Tecnologías de la Información y las Comunicaciones</w:t>
      </w:r>
    </w:p>
    <w:p w:rsidR="005F2C2C" w:rsidRDefault="005F2C2C" w:rsidP="007700A9">
      <w:pPr>
        <w:spacing w:before="120" w:after="120"/>
      </w:pPr>
      <w:r>
        <w:rPr>
          <w:rFonts w:eastAsia="Calibri" w:cs="Times New Roman"/>
        </w:rPr>
        <w:t>UIT</w:t>
      </w:r>
      <w:r>
        <w:rPr>
          <w:rFonts w:eastAsia="Calibri" w:cs="Times New Roman"/>
        </w:rPr>
        <w:tab/>
      </w:r>
      <w:r>
        <w:rPr>
          <w:rFonts w:eastAsia="Calibri" w:cs="Times New Roman"/>
        </w:rPr>
        <w:tab/>
      </w:r>
      <w:r w:rsidRPr="002F513B">
        <w:t>Unión Internacional de Telecomunicaciones</w:t>
      </w:r>
    </w:p>
    <w:p w:rsidR="007700A9" w:rsidRDefault="007700A9" w:rsidP="007700A9">
      <w:pPr>
        <w:keepNext/>
        <w:keepLines/>
        <w:spacing w:before="480" w:line="240" w:lineRule="auto"/>
        <w:outlineLvl w:val="0"/>
        <w:rPr>
          <w:rFonts w:ascii="Century Gothic" w:eastAsia="Times New Roman" w:hAnsi="Century Gothic" w:cs="Times New Roman"/>
          <w:bCs/>
          <w:smallCaps/>
          <w:color w:val="C00000"/>
          <w:sz w:val="36"/>
          <w:szCs w:val="36"/>
          <w:lang w:eastAsia="es-ES"/>
        </w:rPr>
      </w:pPr>
    </w:p>
    <w:p w:rsidR="005D5D9C" w:rsidRPr="007700A9" w:rsidRDefault="005D5D9C" w:rsidP="007700A9">
      <w:pPr>
        <w:keepNext/>
        <w:keepLines/>
        <w:spacing w:before="480" w:line="240" w:lineRule="auto"/>
        <w:outlineLvl w:val="0"/>
        <w:rPr>
          <w:rFonts w:ascii="Century Gothic" w:eastAsia="Times New Roman" w:hAnsi="Century Gothic" w:cs="Times New Roman"/>
          <w:bCs/>
          <w:smallCaps/>
          <w:color w:val="C00000"/>
          <w:sz w:val="36"/>
          <w:szCs w:val="36"/>
          <w:lang w:eastAsia="es-ES"/>
        </w:rPr>
        <w:sectPr w:rsidR="005D5D9C" w:rsidRPr="007700A9" w:rsidSect="003A7D74">
          <w:headerReference w:type="default" r:id="rId15"/>
          <w:footerReference w:type="default" r:id="rId16"/>
          <w:pgSz w:w="12240" w:h="15840"/>
          <w:pgMar w:top="1521" w:right="1701" w:bottom="1417" w:left="1701" w:header="708" w:footer="708" w:gutter="0"/>
          <w:cols w:space="708"/>
          <w:docGrid w:linePitch="360"/>
        </w:sectPr>
      </w:pPr>
    </w:p>
    <w:p w:rsidR="007700A9" w:rsidRPr="007700A9" w:rsidRDefault="007700A9" w:rsidP="00B03A48">
      <w:pPr>
        <w:pStyle w:val="Titulocaptulo-Econometra"/>
        <w:rPr>
          <w:rFonts w:eastAsia="Times New Roman"/>
          <w:lang w:eastAsia="es-ES"/>
        </w:rPr>
      </w:pPr>
      <w:bookmarkStart w:id="31" w:name="_Toc405992288"/>
      <w:r w:rsidRPr="00B03A48">
        <w:lastRenderedPageBreak/>
        <w:t>Presentación</w:t>
      </w:r>
      <w:bookmarkEnd w:id="31"/>
    </w:p>
    <w:p w:rsidR="004C5AA6" w:rsidRPr="00433757" w:rsidRDefault="00EB0F9E" w:rsidP="00433757">
      <w:pPr>
        <w:spacing w:after="240"/>
        <w:rPr>
          <w:rFonts w:eastAsia="Calibri" w:cs="Times New Roman"/>
        </w:rPr>
      </w:pPr>
      <w:r w:rsidRPr="00433757">
        <w:rPr>
          <w:rFonts w:eastAsia="Calibri" w:cs="Times New Roman"/>
        </w:rPr>
        <w:t xml:space="preserve">El </w:t>
      </w:r>
      <w:r w:rsidR="0070236F">
        <w:rPr>
          <w:rFonts w:eastAsia="Calibri" w:cs="Times New Roman"/>
        </w:rPr>
        <w:t>Informe</w:t>
      </w:r>
      <w:r w:rsidRPr="00433757">
        <w:rPr>
          <w:rFonts w:eastAsia="Calibri" w:cs="Times New Roman"/>
        </w:rPr>
        <w:t xml:space="preserve"> III contiene el </w:t>
      </w:r>
      <w:r w:rsidR="0070236F">
        <w:rPr>
          <w:rFonts w:eastAsia="Calibri" w:cs="Times New Roman"/>
        </w:rPr>
        <w:t xml:space="preserve">Producto </w:t>
      </w:r>
      <w:r w:rsidRPr="00433757">
        <w:rPr>
          <w:rFonts w:eastAsia="Calibri" w:cs="Times New Roman"/>
        </w:rPr>
        <w:t xml:space="preserve"> Final de l</w:t>
      </w:r>
      <w:r w:rsidR="004C5AA6" w:rsidRPr="00433757">
        <w:rPr>
          <w:rFonts w:eastAsia="Calibri" w:cs="Times New Roman"/>
        </w:rPr>
        <w:t>a evaluación de resultados del P</w:t>
      </w:r>
      <w:r w:rsidR="009E7A7B" w:rsidRPr="00433757">
        <w:rPr>
          <w:rFonts w:eastAsia="Calibri" w:cs="Times New Roman"/>
        </w:rPr>
        <w:t xml:space="preserve">lan </w:t>
      </w:r>
      <w:r w:rsidR="00103956" w:rsidRPr="00433757">
        <w:rPr>
          <w:rFonts w:eastAsia="Calibri" w:cs="Times New Roman"/>
        </w:rPr>
        <w:t>Vive Digital</w:t>
      </w:r>
      <w:r w:rsidR="004C5AA6" w:rsidRPr="00433757">
        <w:rPr>
          <w:rFonts w:eastAsia="Calibri" w:cs="Times New Roman"/>
        </w:rPr>
        <w:t xml:space="preserve"> desde la perspectiva</w:t>
      </w:r>
      <w:r w:rsidRPr="00433757">
        <w:rPr>
          <w:rFonts w:eastAsia="Calibri" w:cs="Times New Roman"/>
        </w:rPr>
        <w:t xml:space="preserve"> de la masificación, apropiación y uso de las tec</w:t>
      </w:r>
      <w:r w:rsidR="005D5D9C">
        <w:rPr>
          <w:rFonts w:eastAsia="Calibri" w:cs="Times New Roman"/>
        </w:rPr>
        <w:t>nologías de la información. Esta</w:t>
      </w:r>
      <w:r w:rsidRPr="00433757">
        <w:rPr>
          <w:rFonts w:eastAsia="Calibri" w:cs="Times New Roman"/>
        </w:rPr>
        <w:t xml:space="preserve"> </w:t>
      </w:r>
      <w:r w:rsidR="00C905AD">
        <w:rPr>
          <w:rFonts w:eastAsia="Calibri" w:cs="Times New Roman"/>
        </w:rPr>
        <w:t>p</w:t>
      </w:r>
      <w:r w:rsidRPr="00433757">
        <w:rPr>
          <w:rFonts w:eastAsia="Calibri" w:cs="Times New Roman"/>
        </w:rPr>
        <w:t>arte A</w:t>
      </w:r>
      <w:r w:rsidR="007700A9" w:rsidRPr="00433757">
        <w:rPr>
          <w:rFonts w:eastAsia="Calibri" w:cs="Times New Roman"/>
        </w:rPr>
        <w:t xml:space="preserve"> contiene los resultados finales</w:t>
      </w:r>
      <w:r w:rsidRPr="00433757">
        <w:rPr>
          <w:rFonts w:eastAsia="Calibri" w:cs="Times New Roman"/>
        </w:rPr>
        <w:t xml:space="preserve"> obtenidos desde</w:t>
      </w:r>
      <w:r w:rsidR="004C5AA6" w:rsidRPr="00433757">
        <w:rPr>
          <w:rFonts w:eastAsia="Calibri" w:cs="Times New Roman"/>
        </w:rPr>
        <w:t xml:space="preserve"> el punto de vista Nacional y la parte B contiene los resultados obtenidos desde el punto de vista </w:t>
      </w:r>
      <w:r w:rsidR="00CC64F6">
        <w:rPr>
          <w:rFonts w:eastAsia="Calibri" w:cs="Times New Roman"/>
        </w:rPr>
        <w:t>Regional</w:t>
      </w:r>
      <w:r w:rsidR="004C5AA6" w:rsidRPr="00433757">
        <w:rPr>
          <w:rFonts w:eastAsia="Calibri" w:cs="Times New Roman"/>
        </w:rPr>
        <w:t>.</w:t>
      </w:r>
    </w:p>
    <w:p w:rsidR="005F28A5" w:rsidRPr="00433757" w:rsidRDefault="004C5AA6" w:rsidP="00433757">
      <w:pPr>
        <w:spacing w:after="240"/>
        <w:rPr>
          <w:rFonts w:eastAsia="Calibri" w:cs="Times New Roman"/>
        </w:rPr>
      </w:pPr>
      <w:r w:rsidRPr="00433757">
        <w:rPr>
          <w:rFonts w:eastAsia="Calibri" w:cs="Times New Roman"/>
        </w:rPr>
        <w:t>El Capítulo 1 de esta parte A presenta el avance</w:t>
      </w:r>
      <w:r w:rsidR="005F28A5" w:rsidRPr="00433757">
        <w:rPr>
          <w:rFonts w:eastAsia="Calibri" w:cs="Times New Roman"/>
        </w:rPr>
        <w:t xml:space="preserve"> al año 2013 de los indicadores propuestos y su relación con las metas que se quieren lograr para el último año del Plan (2014). Se analizan tres grupos de indicadores, ordenados de mayor a menor importancia estratégica: (i</w:t>
      </w:r>
      <w:r w:rsidR="00D673E8" w:rsidRPr="00433757">
        <w:rPr>
          <w:rFonts w:eastAsia="Calibri" w:cs="Times New Roman"/>
        </w:rPr>
        <w:t>) La</w:t>
      </w:r>
      <w:r w:rsidR="005F28A5" w:rsidRPr="00433757">
        <w:rPr>
          <w:rFonts w:eastAsia="Calibri" w:cs="Times New Roman"/>
        </w:rPr>
        <w:t>s tres metas principales del Plan Vive Digital</w:t>
      </w:r>
      <w:r w:rsidR="00D673E8" w:rsidRPr="00433757">
        <w:rPr>
          <w:rFonts w:eastAsia="Calibri" w:cs="Times New Roman"/>
        </w:rPr>
        <w:t xml:space="preserve"> relacionadas con el acceso a Internet</w:t>
      </w:r>
      <w:r w:rsidR="005F28A5" w:rsidRPr="00433757">
        <w:rPr>
          <w:rFonts w:eastAsia="Calibri" w:cs="Times New Roman"/>
        </w:rPr>
        <w:t xml:space="preserve">; (ii) los 12  indicadores adicionales propuestos por el </w:t>
      </w:r>
      <w:r w:rsidR="00103956" w:rsidRPr="00433757">
        <w:rPr>
          <w:rFonts w:eastAsia="Calibri" w:cs="Times New Roman"/>
        </w:rPr>
        <w:t xml:space="preserve">MINTIC </w:t>
      </w:r>
      <w:r w:rsidR="00D673E8" w:rsidRPr="00433757">
        <w:rPr>
          <w:rFonts w:eastAsia="Calibri" w:cs="Times New Roman"/>
        </w:rPr>
        <w:t>que complementan a los tres primeros en términos del desarrollo general del Ecosistema Digital, y (iii) Los 18 indicadores adicionales propuestos por SINERGIA (DNP) para la evaluación de los impactos sociales y económicos del Plan. Estos tres conjuntos incluyen en total 33 indicadores de se</w:t>
      </w:r>
      <w:r w:rsidR="009E7A7B" w:rsidRPr="00433757">
        <w:rPr>
          <w:rFonts w:eastAsia="Calibri" w:cs="Times New Roman"/>
        </w:rPr>
        <w:t>guimiento. Adicionalmente el capítulo analiza los avances de estos indicadores con el uso de información secundaria disponible en las bases de datos del DANE,</w:t>
      </w:r>
      <w:r w:rsidR="00CE0559" w:rsidRPr="00433757">
        <w:rPr>
          <w:rFonts w:eastAsia="Calibri" w:cs="Times New Roman"/>
        </w:rPr>
        <w:t xml:space="preserve"> del MIN</w:t>
      </w:r>
      <w:r w:rsidR="009E7A7B" w:rsidRPr="00433757">
        <w:rPr>
          <w:rFonts w:eastAsia="Calibri" w:cs="Times New Roman"/>
        </w:rPr>
        <w:t>TIC y de otras fuentes.</w:t>
      </w:r>
    </w:p>
    <w:p w:rsidR="00DE5E03" w:rsidRPr="00433757" w:rsidRDefault="009E7A7B" w:rsidP="00433757">
      <w:pPr>
        <w:spacing w:after="240"/>
        <w:rPr>
          <w:rFonts w:eastAsia="Calibri" w:cs="Times New Roman"/>
        </w:rPr>
      </w:pPr>
      <w:r w:rsidRPr="00433757">
        <w:rPr>
          <w:rFonts w:eastAsia="Calibri" w:cs="Times New Roman"/>
        </w:rPr>
        <w:t xml:space="preserve">El Capítulo 2 presenta las estimaciones de los resultados de las intervenciones del Plan </w:t>
      </w:r>
      <w:r w:rsidR="005D5D9C" w:rsidRPr="00433757">
        <w:rPr>
          <w:rFonts w:eastAsia="Calibri" w:cs="Times New Roman"/>
        </w:rPr>
        <w:t xml:space="preserve">Vive Digital  </w:t>
      </w:r>
      <w:r w:rsidR="00DE5E03" w:rsidRPr="00433757">
        <w:rPr>
          <w:rFonts w:eastAsia="Calibri" w:cs="Times New Roman"/>
        </w:rPr>
        <w:t xml:space="preserve">a nivel social y económico. Se examina tres grandes temas: (i) Las relaciones de causalidad por el lado de </w:t>
      </w:r>
      <w:r w:rsidR="00103956">
        <w:rPr>
          <w:rFonts w:eastAsia="Calibri" w:cs="Times New Roman"/>
        </w:rPr>
        <w:t>la demanda final de los hogares</w:t>
      </w:r>
      <w:r w:rsidR="00ED625E" w:rsidRPr="00433757">
        <w:rPr>
          <w:rFonts w:eastAsia="Calibri" w:cs="Times New Roman"/>
        </w:rPr>
        <w:t xml:space="preserve"> entre el uso de las TIC, como variables discretas (si/no), y sus determinantes socioeconómicos a nivel de hogares. Se examina la demanda por cuatro servicios del sector (telefonía fija, telefonía móvil, televisión por suscripción e Internet)</w:t>
      </w:r>
      <w:r w:rsidR="00B4202D" w:rsidRPr="00433757">
        <w:rPr>
          <w:rFonts w:eastAsia="Calibri" w:cs="Times New Roman"/>
        </w:rPr>
        <w:t xml:space="preserve"> y se correlacionan</w:t>
      </w:r>
      <w:r w:rsidR="00ED625E" w:rsidRPr="00433757">
        <w:rPr>
          <w:rFonts w:eastAsia="Calibri" w:cs="Times New Roman"/>
        </w:rPr>
        <w:t xml:space="preserve"> con el ingreso del hogar, la educ</w:t>
      </w:r>
      <w:r w:rsidR="00B4202D" w:rsidRPr="00433757">
        <w:rPr>
          <w:rFonts w:eastAsia="Calibri" w:cs="Times New Roman"/>
        </w:rPr>
        <w:t>a</w:t>
      </w:r>
      <w:r w:rsidR="00ED625E" w:rsidRPr="00433757">
        <w:rPr>
          <w:rFonts w:eastAsia="Calibri" w:cs="Times New Roman"/>
        </w:rPr>
        <w:t xml:space="preserve">ción y composición </w:t>
      </w:r>
      <w:r w:rsidR="005D5D9C" w:rsidRPr="00433757">
        <w:rPr>
          <w:rFonts w:eastAsia="Calibri" w:cs="Times New Roman"/>
        </w:rPr>
        <w:t>etaria</w:t>
      </w:r>
      <w:r w:rsidR="00ED625E" w:rsidRPr="00433757">
        <w:rPr>
          <w:rFonts w:eastAsia="Calibri" w:cs="Times New Roman"/>
        </w:rPr>
        <w:t xml:space="preserve"> de los miembros del hogar y la región donde vive el hogar, bajo el supuesto de que las demanda</w:t>
      </w:r>
      <w:r w:rsidR="00B4202D" w:rsidRPr="00433757">
        <w:rPr>
          <w:rFonts w:eastAsia="Calibri" w:cs="Times New Roman"/>
        </w:rPr>
        <w:t>s</w:t>
      </w:r>
      <w:r w:rsidR="00ED625E" w:rsidRPr="00433757">
        <w:rPr>
          <w:rFonts w:eastAsia="Calibri" w:cs="Times New Roman"/>
        </w:rPr>
        <w:t xml:space="preserve"> regionales, por las culturas digitales que se han creado, muestran efectos fijos regionales en las funciones de demanda</w:t>
      </w:r>
      <w:r w:rsidR="00B4202D" w:rsidRPr="00433757">
        <w:rPr>
          <w:rFonts w:eastAsia="Calibri" w:cs="Times New Roman"/>
        </w:rPr>
        <w:t xml:space="preserve"> global;</w:t>
      </w:r>
      <w:r w:rsidR="00ED625E" w:rsidRPr="00433757">
        <w:rPr>
          <w:rFonts w:eastAsia="Calibri" w:cs="Times New Roman"/>
        </w:rPr>
        <w:t xml:space="preserve"> (ii) La correlaci</w:t>
      </w:r>
      <w:r w:rsidR="00B4202D" w:rsidRPr="00433757">
        <w:rPr>
          <w:rFonts w:eastAsia="Calibri" w:cs="Times New Roman"/>
        </w:rPr>
        <w:t>ón entre el uso d</w:t>
      </w:r>
      <w:r w:rsidR="00ED625E" w:rsidRPr="00433757">
        <w:rPr>
          <w:rFonts w:eastAsia="Calibri" w:cs="Times New Roman"/>
        </w:rPr>
        <w:t>e</w:t>
      </w:r>
      <w:r w:rsidR="00B4202D" w:rsidRPr="00433757">
        <w:rPr>
          <w:rFonts w:eastAsia="Calibri" w:cs="Times New Roman"/>
        </w:rPr>
        <w:t xml:space="preserve"> </w:t>
      </w:r>
      <w:r w:rsidR="00ED625E" w:rsidRPr="00433757">
        <w:rPr>
          <w:rFonts w:eastAsia="Calibri" w:cs="Times New Roman"/>
        </w:rPr>
        <w:t xml:space="preserve">Internet </w:t>
      </w:r>
      <w:r w:rsidR="00B4202D" w:rsidRPr="00433757">
        <w:rPr>
          <w:rFonts w:eastAsia="Calibri" w:cs="Times New Roman"/>
        </w:rPr>
        <w:t xml:space="preserve"> y la apropiación de las TIC con la generación directa e indirecta de empleo en la economía, mediante un análisis de insumo – producto para el período 2010-2012, con proyecciones al año 2014; Finalmente (iii) se examina la correlación entre el uso de Internet ya la apropiación de las TIC, con la reducción de la pobreza, mediante un análisis  de la distribución del ingreso familiar por niveles de urbanización del sitio de residencia (capitales, centros poblados menores y zona rural dispersa), bajo el supuesto de que existen efectos fijos asociados con estos niveles en la demanda. Este análisis se lleva a cabo con la ECV del DANE para los años 2010 y 2012.</w:t>
      </w:r>
    </w:p>
    <w:p w:rsidR="005400E7" w:rsidRPr="00433757" w:rsidRDefault="005400E7" w:rsidP="00433757">
      <w:pPr>
        <w:spacing w:after="240"/>
        <w:rPr>
          <w:rFonts w:eastAsia="Calibri" w:cs="Times New Roman"/>
        </w:rPr>
      </w:pPr>
      <w:r w:rsidRPr="00433757">
        <w:rPr>
          <w:rFonts w:eastAsia="Calibri" w:cs="Times New Roman"/>
        </w:rPr>
        <w:lastRenderedPageBreak/>
        <w:t>El Capítulo 3 señala y analiza los cuellos de botella encontrados a nivel socioeconómico, operacional o normativo que reducen la demanda por productos y servicios de TIC.</w:t>
      </w:r>
    </w:p>
    <w:p w:rsidR="005400E7" w:rsidRPr="00433757" w:rsidRDefault="005400E7" w:rsidP="00433757">
      <w:pPr>
        <w:spacing w:after="240"/>
        <w:rPr>
          <w:rFonts w:eastAsia="Calibri" w:cs="Times New Roman"/>
        </w:rPr>
      </w:pPr>
      <w:r w:rsidRPr="00433757">
        <w:rPr>
          <w:rFonts w:eastAsia="Calibri" w:cs="Times New Roman"/>
        </w:rPr>
        <w:t xml:space="preserve">El Capítulo 4 presenta un análisis de la conformidad jurídica de las normas legales que sustentan el Plan </w:t>
      </w:r>
      <w:r w:rsidR="00103956" w:rsidRPr="00433757">
        <w:rPr>
          <w:rFonts w:eastAsia="Calibri" w:cs="Times New Roman"/>
        </w:rPr>
        <w:t xml:space="preserve">Vive Digital  </w:t>
      </w:r>
      <w:r w:rsidRPr="00433757">
        <w:rPr>
          <w:rFonts w:eastAsia="Calibri" w:cs="Times New Roman"/>
        </w:rPr>
        <w:t>y  sus limitaciones.</w:t>
      </w:r>
    </w:p>
    <w:p w:rsidR="005400E7" w:rsidRPr="00433757" w:rsidRDefault="005400E7" w:rsidP="00433757">
      <w:pPr>
        <w:spacing w:after="240"/>
        <w:rPr>
          <w:rFonts w:eastAsia="Calibri" w:cs="Times New Roman"/>
        </w:rPr>
      </w:pPr>
      <w:r w:rsidRPr="00433757">
        <w:rPr>
          <w:rFonts w:eastAsia="Calibri" w:cs="Times New Roman"/>
        </w:rPr>
        <w:t xml:space="preserve">El Capítulo 5 analiza las fortalezas y debilidades del Plan </w:t>
      </w:r>
      <w:r w:rsidR="00103956" w:rsidRPr="00433757">
        <w:rPr>
          <w:rFonts w:eastAsia="Calibri" w:cs="Times New Roman"/>
        </w:rPr>
        <w:t xml:space="preserve">Vive Digital </w:t>
      </w:r>
      <w:r w:rsidRPr="00433757">
        <w:rPr>
          <w:rFonts w:eastAsia="Calibri" w:cs="Times New Roman"/>
        </w:rPr>
        <w:t>y, con base en él, señala las oportunidades de mejora y profundización de sus efectos sobre las poblaciones demandantes.</w:t>
      </w:r>
    </w:p>
    <w:p w:rsidR="003B12F4" w:rsidRPr="00433757" w:rsidRDefault="003B12F4" w:rsidP="00433757">
      <w:pPr>
        <w:spacing w:after="240"/>
        <w:rPr>
          <w:rFonts w:eastAsia="Calibri" w:cs="Times New Roman"/>
        </w:rPr>
      </w:pPr>
      <w:r w:rsidRPr="00433757">
        <w:rPr>
          <w:rFonts w:eastAsia="Calibri" w:cs="Times New Roman"/>
        </w:rPr>
        <w:t>El Capítulo 6 presenta algunas recomendaciones sobre la metodología que se debe emplear para futuras evaluaciones del Plan y, en particular sobre la evaluación final del Plan 2010-2014, que se debería realizar en el año 2016, con información hasta el año 2014.</w:t>
      </w:r>
    </w:p>
    <w:p w:rsidR="003B12F4" w:rsidRPr="00433757" w:rsidRDefault="00ED0E95" w:rsidP="00433757">
      <w:pPr>
        <w:spacing w:after="240"/>
        <w:rPr>
          <w:rFonts w:eastAsia="Calibri" w:cs="Times New Roman"/>
        </w:rPr>
      </w:pPr>
      <w:r w:rsidRPr="00433757">
        <w:rPr>
          <w:rFonts w:eastAsia="Calibri" w:cs="Times New Roman"/>
        </w:rPr>
        <w:t>Finalmente, el Capítulo 7</w:t>
      </w:r>
      <w:r w:rsidR="003B12F4" w:rsidRPr="00433757">
        <w:rPr>
          <w:rFonts w:eastAsia="Calibri" w:cs="Times New Roman"/>
        </w:rPr>
        <w:t xml:space="preserve"> presenta una serie de conclusiones y recomendaciones de este ejercicio a nivel nacional.</w:t>
      </w:r>
    </w:p>
    <w:p w:rsidR="007700A9" w:rsidRPr="00433757" w:rsidRDefault="007700A9" w:rsidP="00433757">
      <w:pPr>
        <w:spacing w:after="240"/>
        <w:rPr>
          <w:rFonts w:eastAsia="Calibri" w:cs="Times New Roman"/>
        </w:rPr>
      </w:pPr>
      <w:r w:rsidRPr="00433757">
        <w:rPr>
          <w:rFonts w:eastAsia="Calibri" w:cs="Times New Roman"/>
        </w:rPr>
        <w:t>Con base en estos resultados, y en los anális</w:t>
      </w:r>
      <w:r w:rsidR="00CA2DED" w:rsidRPr="00433757">
        <w:rPr>
          <w:rFonts w:eastAsia="Calibri" w:cs="Times New Roman"/>
        </w:rPr>
        <w:t>is previos desarrollados en el Informe 2</w:t>
      </w:r>
      <w:r w:rsidRPr="00433757">
        <w:rPr>
          <w:rFonts w:eastAsia="Calibri" w:cs="Times New Roman"/>
        </w:rPr>
        <w:t xml:space="preserve"> relacionados con el análisis de indicadores del Plan Vive Digital y de la evolución de los mismos internamente y en comparación con pares internacionales, y el modelamiento de la causalidad que se estima existe entre variables del sector TIC y variables de desarrollo socioeconómico; se desarrolla en este informe una etapa cuantitativa que apunta a estimar la correlación entre dichas variables. </w:t>
      </w:r>
    </w:p>
    <w:p w:rsidR="007700A9" w:rsidRPr="00433757" w:rsidRDefault="007700A9" w:rsidP="00433757">
      <w:pPr>
        <w:spacing w:after="240"/>
        <w:rPr>
          <w:rFonts w:eastAsia="Calibri" w:cs="Times New Roman"/>
        </w:rPr>
      </w:pPr>
      <w:r w:rsidRPr="00433757">
        <w:rPr>
          <w:rFonts w:eastAsia="Calibri" w:cs="Times New Roman"/>
        </w:rPr>
        <w:t xml:space="preserve">Producto de lo anterior, se realiza en este informe un análisis </w:t>
      </w:r>
      <w:r w:rsidR="005A1F16" w:rsidRPr="00433757">
        <w:rPr>
          <w:rFonts w:eastAsia="Calibri" w:cs="Times New Roman"/>
        </w:rPr>
        <w:t xml:space="preserve">econométrico del Plan, se presenta el método de estimación de usuarios de internet, se hace un análisis de </w:t>
      </w:r>
      <w:r w:rsidRPr="00433757">
        <w:rPr>
          <w:rFonts w:eastAsia="Calibri" w:cs="Times New Roman"/>
        </w:rPr>
        <w:t>tipo DOFA</w:t>
      </w:r>
      <w:r w:rsidRPr="00433757">
        <w:rPr>
          <w:rFonts w:eastAsia="Calibri" w:cs="Times New Roman"/>
          <w:vertAlign w:val="superscript"/>
        </w:rPr>
        <w:footnoteReference w:id="1"/>
      </w:r>
      <w:r w:rsidRPr="00433757">
        <w:rPr>
          <w:rFonts w:eastAsia="Calibri" w:cs="Times New Roman"/>
          <w:vertAlign w:val="superscript"/>
        </w:rPr>
        <w:t xml:space="preserve"> </w:t>
      </w:r>
      <w:r w:rsidRPr="00433757">
        <w:rPr>
          <w:rFonts w:eastAsia="Calibri" w:cs="Times New Roman"/>
        </w:rPr>
        <w:t xml:space="preserve">del Plan Vive Digital, se identifican así mismo posibles cuellos de botella del plan, </w:t>
      </w:r>
      <w:r w:rsidR="005A1F16" w:rsidRPr="00433757">
        <w:rPr>
          <w:rFonts w:eastAsia="Calibri" w:cs="Times New Roman"/>
        </w:rPr>
        <w:t xml:space="preserve">se incluye un análisis de conformidad jurídica y la evaluación de la estrategia de comunicaciones del Plan </w:t>
      </w:r>
      <w:r w:rsidRPr="00433757">
        <w:rPr>
          <w:rFonts w:eastAsia="Calibri" w:cs="Times New Roman"/>
        </w:rPr>
        <w:t>y se proponen las conclusiones y recomendaciones pertinentes incluyendo las relacionadas con la metodología de evaluación para posteriores ejercicios de esta naturaleza.</w:t>
      </w:r>
    </w:p>
    <w:p w:rsidR="007700A9" w:rsidRPr="00433757" w:rsidRDefault="007700A9" w:rsidP="00433757">
      <w:pPr>
        <w:spacing w:after="240"/>
        <w:rPr>
          <w:rFonts w:eastAsia="Calibri" w:cs="Times New Roman"/>
        </w:rPr>
      </w:pPr>
      <w:r w:rsidRPr="00433757">
        <w:rPr>
          <w:rFonts w:eastAsia="Calibri" w:cs="Times New Roman"/>
        </w:rPr>
        <w:t xml:space="preserve"> </w:t>
      </w:r>
    </w:p>
    <w:p w:rsidR="00BC64CF" w:rsidRDefault="00BC64CF" w:rsidP="009851CD">
      <w:pPr>
        <w:pStyle w:val="Ttulo1"/>
        <w:numPr>
          <w:ilvl w:val="0"/>
          <w:numId w:val="0"/>
        </w:numPr>
        <w:spacing w:after="240"/>
        <w:rPr>
          <w:rFonts w:eastAsia="Times New Roman"/>
          <w:lang w:eastAsia="es-ES"/>
        </w:rPr>
      </w:pPr>
      <w:bookmarkStart w:id="32" w:name="_Toc345407159"/>
      <w:bookmarkStart w:id="33" w:name="_Toc348103308"/>
    </w:p>
    <w:p w:rsidR="009851CD" w:rsidRPr="009851CD" w:rsidRDefault="009851CD" w:rsidP="009851CD">
      <w:pPr>
        <w:pStyle w:val="Ttulo1"/>
        <w:rPr>
          <w:lang w:eastAsia="es-ES"/>
        </w:rPr>
      </w:pPr>
      <w:bookmarkStart w:id="34" w:name="_Toc405992289"/>
      <w:bookmarkEnd w:id="34"/>
    </w:p>
    <w:p w:rsidR="00035879" w:rsidRPr="007700A9" w:rsidRDefault="00035879" w:rsidP="00035879">
      <w:pPr>
        <w:pStyle w:val="Titulocaptulo-Econometra"/>
        <w:rPr>
          <w:rFonts w:eastAsia="Times New Roman"/>
          <w:lang w:eastAsia="es-ES"/>
        </w:rPr>
      </w:pPr>
      <w:bookmarkStart w:id="35" w:name="_Toc405992290"/>
      <w:r>
        <w:rPr>
          <w:rFonts w:eastAsia="Times New Roman"/>
          <w:lang w:eastAsia="es-ES"/>
        </w:rPr>
        <w:t xml:space="preserve">Avance de los Indicadores con </w:t>
      </w:r>
      <w:r w:rsidR="00433757">
        <w:rPr>
          <w:rFonts w:eastAsia="Times New Roman"/>
          <w:lang w:eastAsia="es-ES"/>
        </w:rPr>
        <w:t>r</w:t>
      </w:r>
      <w:r>
        <w:rPr>
          <w:rFonts w:eastAsia="Times New Roman"/>
          <w:lang w:eastAsia="es-ES"/>
        </w:rPr>
        <w:t>especto a las Metas Propuestas</w:t>
      </w:r>
      <w:bookmarkEnd w:id="35"/>
    </w:p>
    <w:p w:rsidR="0062115B" w:rsidRDefault="00D11937" w:rsidP="0062115B">
      <w:pPr>
        <w:spacing w:before="120" w:after="120"/>
        <w:rPr>
          <w:rFonts w:eastAsia="Calibri" w:cs="Times New Roman"/>
        </w:rPr>
      </w:pPr>
      <w:r w:rsidRPr="005F2C2C">
        <w:rPr>
          <w:rFonts w:eastAsia="Calibri" w:cs="Times New Roman"/>
        </w:rPr>
        <w:t xml:space="preserve">En este capítulo se </w:t>
      </w:r>
      <w:r w:rsidR="0062115B">
        <w:rPr>
          <w:rFonts w:eastAsia="Calibri" w:cs="Times New Roman"/>
        </w:rPr>
        <w:t xml:space="preserve">presenta el avance al año 2013 de los indicadores propuestos y su relación con las metas que se quieren lograr para el último año del Plan (2014). Se analizan tres grupos de indicadores, ordenados de mayor a menor importancia estratégica: (i) Las tres metas principales del Plan Vive Digital relacionadas con el acceso a Internet; (ii) los 12  indicadores adicionales propuestos por el </w:t>
      </w:r>
      <w:r w:rsidR="008823A2">
        <w:rPr>
          <w:rFonts w:eastAsia="Calibri" w:cs="Times New Roman"/>
        </w:rPr>
        <w:t>MINTIC</w:t>
      </w:r>
      <w:r w:rsidR="0062115B">
        <w:rPr>
          <w:rFonts w:eastAsia="Calibri" w:cs="Times New Roman"/>
        </w:rPr>
        <w:t xml:space="preserve"> que complementan a los tres primeros en términos del desarrollo general del Ecosistema Digital, y (iii) Los 18 indicadores adicionales propuestos por SINERGIA (DNP) para la evaluación de los impactos sociales y económicos del Plan. Estos tres conjuntos incluyen en total 33 indicadores de seguimiento. Adicionalmente el capítulo analiza los avances de estos indicadores y su composición con el uso de información secundaria disponible en las bases de datos del DANE, del </w:t>
      </w:r>
      <w:r w:rsidR="008823A2">
        <w:rPr>
          <w:rFonts w:eastAsia="Calibri" w:cs="Times New Roman"/>
        </w:rPr>
        <w:t>MINTIC</w:t>
      </w:r>
      <w:r w:rsidR="0062115B">
        <w:rPr>
          <w:rFonts w:eastAsia="Calibri" w:cs="Times New Roman"/>
        </w:rPr>
        <w:t xml:space="preserve"> y de otras fuentes.</w:t>
      </w:r>
    </w:p>
    <w:p w:rsidR="00D11937" w:rsidRPr="007700A9" w:rsidRDefault="00D11937" w:rsidP="00D11937">
      <w:pPr>
        <w:widowControl w:val="0"/>
        <w:numPr>
          <w:ilvl w:val="0"/>
          <w:numId w:val="2"/>
        </w:numPr>
        <w:tabs>
          <w:tab w:val="left" w:pos="0"/>
        </w:tabs>
        <w:spacing w:before="200" w:line="240" w:lineRule="auto"/>
        <w:outlineLvl w:val="1"/>
        <w:rPr>
          <w:rFonts w:ascii="Century Gothic" w:eastAsia="Times New Roman" w:hAnsi="Century Gothic" w:cs="Times New Roman"/>
          <w:bCs/>
          <w:smallCaps/>
          <w:vanish/>
          <w:color w:val="C00000"/>
          <w:sz w:val="30"/>
          <w:szCs w:val="30"/>
        </w:rPr>
      </w:pPr>
      <w:bookmarkStart w:id="36" w:name="_Toc373251768"/>
      <w:bookmarkStart w:id="37" w:name="_Toc374780995"/>
      <w:bookmarkStart w:id="38" w:name="_Toc374781150"/>
      <w:bookmarkStart w:id="39" w:name="_Toc374822877"/>
      <w:bookmarkStart w:id="40" w:name="_Toc374828835"/>
      <w:bookmarkStart w:id="41" w:name="_Toc374847009"/>
      <w:bookmarkStart w:id="42" w:name="_Toc374973512"/>
      <w:bookmarkEnd w:id="36"/>
      <w:bookmarkEnd w:id="37"/>
      <w:bookmarkEnd w:id="38"/>
      <w:bookmarkEnd w:id="39"/>
      <w:bookmarkEnd w:id="40"/>
      <w:bookmarkEnd w:id="41"/>
      <w:bookmarkEnd w:id="42"/>
    </w:p>
    <w:p w:rsidR="00D11937" w:rsidRPr="007700A9" w:rsidRDefault="00D11937" w:rsidP="00D11937">
      <w:pPr>
        <w:widowControl w:val="0"/>
        <w:numPr>
          <w:ilvl w:val="0"/>
          <w:numId w:val="2"/>
        </w:numPr>
        <w:tabs>
          <w:tab w:val="left" w:pos="0"/>
        </w:tabs>
        <w:spacing w:before="200" w:line="240" w:lineRule="auto"/>
        <w:outlineLvl w:val="1"/>
        <w:rPr>
          <w:rFonts w:ascii="Century Gothic" w:eastAsia="Times New Roman" w:hAnsi="Century Gothic" w:cs="Times New Roman"/>
          <w:bCs/>
          <w:smallCaps/>
          <w:vanish/>
          <w:color w:val="C00000"/>
          <w:sz w:val="30"/>
          <w:szCs w:val="30"/>
        </w:rPr>
      </w:pPr>
      <w:bookmarkStart w:id="43" w:name="_Toc373251769"/>
      <w:bookmarkStart w:id="44" w:name="_Toc374780996"/>
      <w:bookmarkStart w:id="45" w:name="_Toc374781151"/>
      <w:bookmarkStart w:id="46" w:name="_Toc374822878"/>
      <w:bookmarkStart w:id="47" w:name="_Toc374828836"/>
      <w:bookmarkStart w:id="48" w:name="_Toc374847010"/>
      <w:bookmarkStart w:id="49" w:name="_Toc374973513"/>
      <w:bookmarkEnd w:id="43"/>
      <w:bookmarkEnd w:id="44"/>
      <w:bookmarkEnd w:id="45"/>
      <w:bookmarkEnd w:id="46"/>
      <w:bookmarkEnd w:id="47"/>
      <w:bookmarkEnd w:id="48"/>
      <w:bookmarkEnd w:id="49"/>
    </w:p>
    <w:p w:rsidR="00D11937" w:rsidRPr="007700A9" w:rsidRDefault="00D11937" w:rsidP="00D11937">
      <w:pPr>
        <w:widowControl w:val="0"/>
        <w:numPr>
          <w:ilvl w:val="0"/>
          <w:numId w:val="2"/>
        </w:numPr>
        <w:tabs>
          <w:tab w:val="left" w:pos="0"/>
        </w:tabs>
        <w:spacing w:before="200" w:line="240" w:lineRule="auto"/>
        <w:outlineLvl w:val="1"/>
        <w:rPr>
          <w:rFonts w:ascii="Century Gothic" w:eastAsia="Times New Roman" w:hAnsi="Century Gothic" w:cs="Times New Roman"/>
          <w:bCs/>
          <w:smallCaps/>
          <w:vanish/>
          <w:color w:val="C00000"/>
          <w:sz w:val="30"/>
          <w:szCs w:val="30"/>
        </w:rPr>
      </w:pPr>
      <w:bookmarkStart w:id="50" w:name="_Toc373251770"/>
      <w:bookmarkStart w:id="51" w:name="_Toc374780997"/>
      <w:bookmarkStart w:id="52" w:name="_Toc374781152"/>
      <w:bookmarkStart w:id="53" w:name="_Toc374822879"/>
      <w:bookmarkStart w:id="54" w:name="_Toc374828837"/>
      <w:bookmarkStart w:id="55" w:name="_Toc374847011"/>
      <w:bookmarkStart w:id="56" w:name="_Toc374973514"/>
      <w:bookmarkEnd w:id="50"/>
      <w:bookmarkEnd w:id="51"/>
      <w:bookmarkEnd w:id="52"/>
      <w:bookmarkEnd w:id="53"/>
      <w:bookmarkEnd w:id="54"/>
      <w:bookmarkEnd w:id="55"/>
      <w:bookmarkEnd w:id="56"/>
    </w:p>
    <w:p w:rsidR="00D11937" w:rsidRPr="002F3BCD" w:rsidRDefault="00D11937" w:rsidP="00E0029C">
      <w:pPr>
        <w:pStyle w:val="Prrafodelista"/>
        <w:keepNext/>
        <w:keepLines/>
        <w:numPr>
          <w:ilvl w:val="0"/>
          <w:numId w:val="9"/>
        </w:numPr>
        <w:tabs>
          <w:tab w:val="left" w:pos="0"/>
        </w:tabs>
        <w:spacing w:before="200" w:after="200" w:line="240" w:lineRule="auto"/>
        <w:contextualSpacing w:val="0"/>
        <w:jc w:val="left"/>
        <w:outlineLvl w:val="1"/>
        <w:rPr>
          <w:rFonts w:ascii="Century Gothic" w:hAnsi="Century Gothic"/>
          <w:bCs/>
          <w:smallCaps/>
          <w:vanish/>
          <w:color w:val="C00000"/>
          <w:sz w:val="30"/>
          <w:szCs w:val="30"/>
          <w:lang w:val="es-CO" w:eastAsia="es-ES"/>
        </w:rPr>
      </w:pPr>
      <w:bookmarkStart w:id="57" w:name="_Toc374780998"/>
      <w:bookmarkStart w:id="58" w:name="_Toc374781153"/>
      <w:bookmarkStart w:id="59" w:name="_Toc374822880"/>
      <w:bookmarkStart w:id="60" w:name="_Toc374828838"/>
      <w:bookmarkStart w:id="61" w:name="_Toc374847012"/>
      <w:bookmarkStart w:id="62" w:name="_Toc374973515"/>
      <w:bookmarkEnd w:id="57"/>
      <w:bookmarkEnd w:id="58"/>
      <w:bookmarkEnd w:id="59"/>
      <w:bookmarkEnd w:id="60"/>
      <w:bookmarkEnd w:id="61"/>
      <w:bookmarkEnd w:id="62"/>
    </w:p>
    <w:p w:rsidR="00D11937" w:rsidRPr="002F3BCD" w:rsidRDefault="00D11937" w:rsidP="00E0029C">
      <w:pPr>
        <w:pStyle w:val="Prrafodelista"/>
        <w:keepNext/>
        <w:keepLines/>
        <w:numPr>
          <w:ilvl w:val="0"/>
          <w:numId w:val="9"/>
        </w:numPr>
        <w:tabs>
          <w:tab w:val="left" w:pos="0"/>
        </w:tabs>
        <w:spacing w:before="200" w:after="200" w:line="240" w:lineRule="auto"/>
        <w:contextualSpacing w:val="0"/>
        <w:jc w:val="left"/>
        <w:outlineLvl w:val="1"/>
        <w:rPr>
          <w:rFonts w:ascii="Century Gothic" w:hAnsi="Century Gothic"/>
          <w:bCs/>
          <w:smallCaps/>
          <w:vanish/>
          <w:color w:val="C00000"/>
          <w:sz w:val="30"/>
          <w:szCs w:val="30"/>
          <w:lang w:val="es-CO" w:eastAsia="es-ES"/>
        </w:rPr>
      </w:pPr>
      <w:bookmarkStart w:id="63" w:name="_Toc374780999"/>
      <w:bookmarkStart w:id="64" w:name="_Toc374781154"/>
      <w:bookmarkStart w:id="65" w:name="_Toc374822881"/>
      <w:bookmarkStart w:id="66" w:name="_Toc374828839"/>
      <w:bookmarkStart w:id="67" w:name="_Toc374847013"/>
      <w:bookmarkStart w:id="68" w:name="_Toc374973516"/>
      <w:bookmarkEnd w:id="63"/>
      <w:bookmarkEnd w:id="64"/>
      <w:bookmarkEnd w:id="65"/>
      <w:bookmarkEnd w:id="66"/>
      <w:bookmarkEnd w:id="67"/>
      <w:bookmarkEnd w:id="68"/>
    </w:p>
    <w:p w:rsidR="00D11937" w:rsidRPr="002F3BCD" w:rsidRDefault="00D11937" w:rsidP="00E0029C">
      <w:pPr>
        <w:pStyle w:val="Prrafodelista"/>
        <w:keepNext/>
        <w:keepLines/>
        <w:numPr>
          <w:ilvl w:val="0"/>
          <w:numId w:val="9"/>
        </w:numPr>
        <w:tabs>
          <w:tab w:val="left" w:pos="0"/>
        </w:tabs>
        <w:spacing w:before="200" w:after="200" w:line="240" w:lineRule="auto"/>
        <w:contextualSpacing w:val="0"/>
        <w:jc w:val="left"/>
        <w:outlineLvl w:val="1"/>
        <w:rPr>
          <w:rFonts w:ascii="Century Gothic" w:hAnsi="Century Gothic"/>
          <w:bCs/>
          <w:smallCaps/>
          <w:vanish/>
          <w:color w:val="C00000"/>
          <w:sz w:val="30"/>
          <w:szCs w:val="30"/>
          <w:lang w:val="es-CO" w:eastAsia="es-ES"/>
        </w:rPr>
      </w:pPr>
      <w:bookmarkStart w:id="69" w:name="_Toc374781000"/>
      <w:bookmarkStart w:id="70" w:name="_Toc374781155"/>
      <w:bookmarkStart w:id="71" w:name="_Toc374822882"/>
      <w:bookmarkStart w:id="72" w:name="_Toc374828840"/>
      <w:bookmarkStart w:id="73" w:name="_Toc374847014"/>
      <w:bookmarkStart w:id="74" w:name="_Toc374973517"/>
      <w:bookmarkEnd w:id="69"/>
      <w:bookmarkEnd w:id="70"/>
      <w:bookmarkEnd w:id="71"/>
      <w:bookmarkEnd w:id="72"/>
      <w:bookmarkEnd w:id="73"/>
      <w:bookmarkEnd w:id="74"/>
    </w:p>
    <w:p w:rsidR="00D11937" w:rsidRPr="002F3BCD" w:rsidRDefault="00D11937" w:rsidP="00E0029C">
      <w:pPr>
        <w:pStyle w:val="Prrafodelista"/>
        <w:keepNext/>
        <w:keepLines/>
        <w:numPr>
          <w:ilvl w:val="0"/>
          <w:numId w:val="9"/>
        </w:numPr>
        <w:tabs>
          <w:tab w:val="left" w:pos="0"/>
        </w:tabs>
        <w:spacing w:before="200" w:after="200" w:line="240" w:lineRule="auto"/>
        <w:contextualSpacing w:val="0"/>
        <w:jc w:val="left"/>
        <w:outlineLvl w:val="1"/>
        <w:rPr>
          <w:rFonts w:ascii="Century Gothic" w:hAnsi="Century Gothic"/>
          <w:bCs/>
          <w:smallCaps/>
          <w:vanish/>
          <w:color w:val="C00000"/>
          <w:sz w:val="30"/>
          <w:szCs w:val="30"/>
          <w:lang w:val="es-CO" w:eastAsia="es-ES"/>
        </w:rPr>
      </w:pPr>
      <w:bookmarkStart w:id="75" w:name="_Toc374781001"/>
      <w:bookmarkStart w:id="76" w:name="_Toc374781156"/>
      <w:bookmarkStart w:id="77" w:name="_Toc374822883"/>
      <w:bookmarkStart w:id="78" w:name="_Toc374828841"/>
      <w:bookmarkStart w:id="79" w:name="_Toc374847015"/>
      <w:bookmarkStart w:id="80" w:name="_Toc374973518"/>
      <w:bookmarkEnd w:id="75"/>
      <w:bookmarkEnd w:id="76"/>
      <w:bookmarkEnd w:id="77"/>
      <w:bookmarkEnd w:id="78"/>
      <w:bookmarkEnd w:id="79"/>
      <w:bookmarkEnd w:id="80"/>
    </w:p>
    <w:p w:rsidR="00D11937" w:rsidRPr="00280D13" w:rsidRDefault="00D11937" w:rsidP="0020708C">
      <w:pPr>
        <w:pStyle w:val="Prrafodelista"/>
        <w:keepNext/>
        <w:keepLines/>
        <w:numPr>
          <w:ilvl w:val="0"/>
          <w:numId w:val="41"/>
        </w:numPr>
        <w:tabs>
          <w:tab w:val="left" w:pos="0"/>
        </w:tabs>
        <w:spacing w:before="200" w:line="240" w:lineRule="auto"/>
        <w:contextualSpacing w:val="0"/>
        <w:outlineLvl w:val="1"/>
        <w:rPr>
          <w:rFonts w:ascii="Century Gothic" w:eastAsia="Times New Roman" w:hAnsi="Century Gothic" w:cs="Times New Roman"/>
          <w:bCs/>
          <w:smallCaps/>
          <w:vanish/>
          <w:color w:val="C00000"/>
          <w:sz w:val="30"/>
          <w:szCs w:val="30"/>
          <w:lang w:eastAsia="es-ES"/>
        </w:rPr>
      </w:pPr>
      <w:bookmarkStart w:id="81" w:name="_Toc374973519"/>
      <w:bookmarkEnd w:id="81"/>
    </w:p>
    <w:p w:rsidR="00D11937" w:rsidRDefault="00D11937" w:rsidP="0020708C">
      <w:pPr>
        <w:pStyle w:val="Ttulo2"/>
        <w:numPr>
          <w:ilvl w:val="1"/>
          <w:numId w:val="42"/>
        </w:numPr>
      </w:pPr>
      <w:bookmarkStart w:id="82" w:name="_Toc405992291"/>
      <w:r>
        <w:t>Indicadores del Plan Vive Digital – Avance</w:t>
      </w:r>
      <w:bookmarkEnd w:id="82"/>
    </w:p>
    <w:p w:rsidR="00D11937" w:rsidRDefault="00D11937" w:rsidP="00912FF4">
      <w:pPr>
        <w:rPr>
          <w:lang w:eastAsia="es-ES"/>
        </w:rPr>
      </w:pPr>
      <w:r>
        <w:rPr>
          <w:lang w:eastAsia="es-ES"/>
        </w:rPr>
        <w:t xml:space="preserve">En este numeral se presenta </w:t>
      </w:r>
      <w:r w:rsidRPr="00824551">
        <w:rPr>
          <w:lang w:eastAsia="es-ES"/>
        </w:rPr>
        <w:t>un análisis cualitativo y descriptivo respecto de las grandes temáticas involucradas en los</w:t>
      </w:r>
      <w:r w:rsidRPr="00EC66F6">
        <w:rPr>
          <w:lang w:eastAsia="es-ES"/>
        </w:rPr>
        <w:t xml:space="preserve"> </w:t>
      </w:r>
      <w:r w:rsidRPr="00824551">
        <w:rPr>
          <w:lang w:eastAsia="es-ES"/>
        </w:rPr>
        <w:t xml:space="preserve">principales indicadores del </w:t>
      </w:r>
      <w:r w:rsidR="008823A2">
        <w:rPr>
          <w:lang w:eastAsia="es-ES"/>
        </w:rPr>
        <w:t>P</w:t>
      </w:r>
      <w:r w:rsidRPr="00824551">
        <w:rPr>
          <w:lang w:eastAsia="es-ES"/>
        </w:rPr>
        <w:t>lan Vive Digital</w:t>
      </w:r>
      <w:r w:rsidR="00DB2287">
        <w:rPr>
          <w:lang w:eastAsia="es-ES"/>
        </w:rPr>
        <w:t xml:space="preserve"> (de producto y de resultados), con los avances observados hasta el año 2013.</w:t>
      </w:r>
    </w:p>
    <w:p w:rsidR="00D11937" w:rsidRPr="00F02269" w:rsidRDefault="00D11937" w:rsidP="00D11937">
      <w:pPr>
        <w:rPr>
          <w:lang w:eastAsia="es-ES"/>
        </w:rPr>
      </w:pPr>
      <w:r>
        <w:rPr>
          <w:lang w:eastAsia="es-ES"/>
        </w:rPr>
        <w:t>Como</w:t>
      </w:r>
      <w:r w:rsidR="00DB2287">
        <w:rPr>
          <w:lang w:eastAsia="es-ES"/>
        </w:rPr>
        <w:t xml:space="preserve"> se planteó en el documento de enfoque metodológico (Informe 1)</w:t>
      </w:r>
      <w:r>
        <w:rPr>
          <w:lang w:eastAsia="es-ES"/>
        </w:rPr>
        <w:t xml:space="preserve">, para efectos de esta </w:t>
      </w:r>
      <w:r w:rsidRPr="00F02269">
        <w:rPr>
          <w:lang w:eastAsia="es-ES"/>
        </w:rPr>
        <w:t xml:space="preserve">consultoría, se toman como los principales indicadores de seguimiento </w:t>
      </w:r>
      <w:r w:rsidR="00DB2287">
        <w:rPr>
          <w:lang w:eastAsia="es-ES"/>
        </w:rPr>
        <w:t>las siguientes tres metas</w:t>
      </w:r>
      <w:r w:rsidRPr="00F02269">
        <w:rPr>
          <w:lang w:eastAsia="es-ES"/>
        </w:rPr>
        <w:t>:</w:t>
      </w:r>
    </w:p>
    <w:p w:rsidR="00D11937" w:rsidRPr="00F02269" w:rsidRDefault="00D11937" w:rsidP="0020708C">
      <w:pPr>
        <w:pStyle w:val="Prrafodelista"/>
        <w:numPr>
          <w:ilvl w:val="0"/>
          <w:numId w:val="28"/>
        </w:numPr>
        <w:spacing w:after="240"/>
        <w:contextualSpacing w:val="0"/>
      </w:pPr>
      <w:r w:rsidRPr="00F02269">
        <w:t>Multiplicar por 4 veces el número de conexiones a Internet.</w:t>
      </w:r>
    </w:p>
    <w:p w:rsidR="00D11937" w:rsidRPr="00F02269" w:rsidRDefault="00D11937" w:rsidP="0020708C">
      <w:pPr>
        <w:pStyle w:val="Prrafodelista"/>
        <w:numPr>
          <w:ilvl w:val="0"/>
          <w:numId w:val="28"/>
        </w:numPr>
        <w:spacing w:after="240"/>
        <w:contextualSpacing w:val="0"/>
      </w:pPr>
      <w:r w:rsidRPr="00F02269">
        <w:t>Triplicar el número de municipios conectados a redes de fibra óptica (autopista de la información).</w:t>
      </w:r>
    </w:p>
    <w:p w:rsidR="00D11937" w:rsidRPr="00F02269" w:rsidRDefault="00D11937" w:rsidP="0020708C">
      <w:pPr>
        <w:pStyle w:val="Prrafodelista"/>
        <w:numPr>
          <w:ilvl w:val="0"/>
          <w:numId w:val="28"/>
        </w:numPr>
        <w:spacing w:after="240"/>
        <w:contextualSpacing w:val="0"/>
      </w:pPr>
      <w:r w:rsidRPr="00F02269">
        <w:t>Alcanzar el 50% de hogares y el 50% de MIPYMES conectados a Internet.</w:t>
      </w:r>
    </w:p>
    <w:p w:rsidR="00D11937" w:rsidRPr="00F02269" w:rsidRDefault="00DB2287" w:rsidP="00D11937">
      <w:pPr>
        <w:spacing w:after="240"/>
      </w:pPr>
      <w:r>
        <w:t>Estos tres indicadores principales se complementan con los siguientes</w:t>
      </w:r>
      <w:r w:rsidR="00D11937" w:rsidRPr="00F02269">
        <w:t xml:space="preserve"> 12 indi</w:t>
      </w:r>
      <w:r>
        <w:t xml:space="preserve">cadores propuestos por el </w:t>
      </w:r>
      <w:r w:rsidR="008823A2">
        <w:rPr>
          <w:rFonts w:eastAsia="Calibri" w:cs="Times New Roman"/>
        </w:rPr>
        <w:t>MINTIC</w:t>
      </w:r>
      <w:r w:rsidR="008823A2">
        <w:t xml:space="preserve"> </w:t>
      </w:r>
      <w:r w:rsidR="004C04BA">
        <w:t>para hacer seguimiento al Eco</w:t>
      </w:r>
      <w:r w:rsidR="00632803">
        <w:t>sistema D</w:t>
      </w:r>
      <w:r>
        <w:t>igital</w:t>
      </w:r>
      <w:r w:rsidR="00D11937" w:rsidRPr="00F02269">
        <w:t>:</w:t>
      </w:r>
    </w:p>
    <w:p w:rsidR="00D11937" w:rsidRPr="00F02269" w:rsidRDefault="00D11937" w:rsidP="0020708C">
      <w:pPr>
        <w:pStyle w:val="Prrafodelista"/>
        <w:numPr>
          <w:ilvl w:val="0"/>
          <w:numId w:val="28"/>
        </w:numPr>
        <w:spacing w:after="240"/>
        <w:contextualSpacing w:val="0"/>
      </w:pPr>
      <w:r w:rsidRPr="00F02269">
        <w:lastRenderedPageBreak/>
        <w:t xml:space="preserve">El número de conexiones de banda ancha Vive Digital </w:t>
      </w:r>
    </w:p>
    <w:p w:rsidR="00D11937" w:rsidRPr="00F02269" w:rsidRDefault="005305B0" w:rsidP="0020708C">
      <w:pPr>
        <w:pStyle w:val="Prrafodelista"/>
        <w:numPr>
          <w:ilvl w:val="0"/>
          <w:numId w:val="28"/>
        </w:numPr>
        <w:spacing w:after="240"/>
        <w:contextualSpacing w:val="0"/>
      </w:pPr>
      <w:r>
        <w:t>A</w:t>
      </w:r>
      <w:r w:rsidR="00D11937" w:rsidRPr="00F02269">
        <w:t>mpliar y optimizar la conectividad internacional</w:t>
      </w:r>
    </w:p>
    <w:p w:rsidR="00D11937" w:rsidRPr="00F02269" w:rsidRDefault="00D11937" w:rsidP="0020708C">
      <w:pPr>
        <w:pStyle w:val="Prrafodelista"/>
        <w:numPr>
          <w:ilvl w:val="0"/>
          <w:numId w:val="28"/>
        </w:numPr>
        <w:spacing w:after="240"/>
        <w:contextualSpacing w:val="0"/>
      </w:pPr>
      <w:r w:rsidRPr="00F02269">
        <w:t>Expandir la cobertura de fibra óptica</w:t>
      </w:r>
    </w:p>
    <w:p w:rsidR="00D11937" w:rsidRPr="00F02269" w:rsidRDefault="005305B0" w:rsidP="0020708C">
      <w:pPr>
        <w:pStyle w:val="Prrafodelista"/>
        <w:numPr>
          <w:ilvl w:val="0"/>
          <w:numId w:val="28"/>
        </w:numPr>
        <w:spacing w:after="240"/>
        <w:contextualSpacing w:val="0"/>
      </w:pPr>
      <w:r>
        <w:t>V</w:t>
      </w:r>
      <w:r w:rsidR="00D11937" w:rsidRPr="00F02269">
        <w:t xml:space="preserve">inculación de las regiones a Vive Digital. </w:t>
      </w:r>
    </w:p>
    <w:p w:rsidR="00D11937" w:rsidRPr="00F02269" w:rsidRDefault="00D11937" w:rsidP="0020708C">
      <w:pPr>
        <w:pStyle w:val="Prrafodelista"/>
        <w:numPr>
          <w:ilvl w:val="0"/>
          <w:numId w:val="28"/>
        </w:numPr>
        <w:spacing w:after="240"/>
        <w:contextualSpacing w:val="0"/>
      </w:pPr>
      <w:r w:rsidRPr="00F02269">
        <w:t xml:space="preserve">Número de conexiones a Internet </w:t>
      </w:r>
    </w:p>
    <w:p w:rsidR="00D11937" w:rsidRPr="00F02269" w:rsidRDefault="00D11937" w:rsidP="0020708C">
      <w:pPr>
        <w:pStyle w:val="Prrafodelista"/>
        <w:numPr>
          <w:ilvl w:val="0"/>
          <w:numId w:val="28"/>
        </w:numPr>
        <w:spacing w:after="240"/>
        <w:contextualSpacing w:val="0"/>
      </w:pPr>
      <w:r w:rsidRPr="00F02269">
        <w:t xml:space="preserve">Cabeceras municipales con fibra óptica. </w:t>
      </w:r>
    </w:p>
    <w:p w:rsidR="00D11937" w:rsidRPr="00F02269" w:rsidRDefault="00D11937" w:rsidP="0020708C">
      <w:pPr>
        <w:pStyle w:val="Prrafodelista"/>
        <w:numPr>
          <w:ilvl w:val="0"/>
          <w:numId w:val="28"/>
        </w:numPr>
        <w:spacing w:after="240"/>
        <w:contextualSpacing w:val="0"/>
      </w:pPr>
      <w:r w:rsidRPr="00F02269">
        <w:t xml:space="preserve">Usuarios de Internet por cada 100 habitantes. </w:t>
      </w:r>
    </w:p>
    <w:p w:rsidR="00D11937" w:rsidRPr="00F02269" w:rsidRDefault="00D11937" w:rsidP="0020708C">
      <w:pPr>
        <w:pStyle w:val="Prrafodelista"/>
        <w:numPr>
          <w:ilvl w:val="0"/>
          <w:numId w:val="28"/>
        </w:numPr>
        <w:spacing w:after="240"/>
        <w:contextualSpacing w:val="0"/>
      </w:pPr>
      <w:r w:rsidRPr="00F02269">
        <w:t xml:space="preserve">Número de computadores entregados a sedes beneficiarias. </w:t>
      </w:r>
    </w:p>
    <w:p w:rsidR="00D11937" w:rsidRPr="003F6C5B" w:rsidRDefault="00D11937" w:rsidP="0020708C">
      <w:pPr>
        <w:pStyle w:val="Prrafodelista"/>
        <w:numPr>
          <w:ilvl w:val="0"/>
          <w:numId w:val="28"/>
        </w:numPr>
        <w:spacing w:after="240"/>
        <w:contextualSpacing w:val="0"/>
      </w:pPr>
      <w:r w:rsidRPr="003F6C5B">
        <w:t xml:space="preserve">Número de docentes formados en la incorporación de TIC en la educación. </w:t>
      </w:r>
    </w:p>
    <w:p w:rsidR="00D11937" w:rsidRPr="003F6C5B" w:rsidRDefault="00D11937" w:rsidP="0020708C">
      <w:pPr>
        <w:pStyle w:val="Prrafodelista"/>
        <w:numPr>
          <w:ilvl w:val="0"/>
          <w:numId w:val="28"/>
        </w:numPr>
        <w:spacing w:after="240"/>
        <w:contextualSpacing w:val="0"/>
      </w:pPr>
      <w:r w:rsidRPr="003F6C5B">
        <w:t xml:space="preserve">Servidores públicos certificados en el uso de TIC. </w:t>
      </w:r>
    </w:p>
    <w:p w:rsidR="00D11937" w:rsidRPr="003F6C5B" w:rsidRDefault="00D11937" w:rsidP="0020708C">
      <w:pPr>
        <w:pStyle w:val="Prrafodelista"/>
        <w:numPr>
          <w:ilvl w:val="0"/>
          <w:numId w:val="28"/>
        </w:numPr>
        <w:spacing w:after="240"/>
        <w:contextualSpacing w:val="0"/>
      </w:pPr>
      <w:r w:rsidRPr="003F6C5B">
        <w:t xml:space="preserve">Entes territoriales con código postal implementado. </w:t>
      </w:r>
    </w:p>
    <w:p w:rsidR="00D11937" w:rsidRDefault="00D11937" w:rsidP="0020708C">
      <w:pPr>
        <w:pStyle w:val="Prrafodelista"/>
        <w:numPr>
          <w:ilvl w:val="0"/>
          <w:numId w:val="28"/>
        </w:numPr>
        <w:spacing w:after="240"/>
        <w:contextualSpacing w:val="0"/>
      </w:pPr>
      <w:r w:rsidRPr="003F6C5B">
        <w:t xml:space="preserve">Instrumentos de política pública implementados (reducción de precios, reducción de IVA, entre otros). </w:t>
      </w:r>
    </w:p>
    <w:p w:rsidR="00D11937" w:rsidRDefault="00DB2287" w:rsidP="00D11937">
      <w:pPr>
        <w:spacing w:after="240"/>
        <w:rPr>
          <w:lang w:eastAsia="es-ES"/>
        </w:rPr>
      </w:pPr>
      <w:r>
        <w:rPr>
          <w:lang w:eastAsia="es-ES"/>
        </w:rPr>
        <w:t>Adicionalmente, SINERGIA, adscrito al DNP, ha propuesto los siguientes</w:t>
      </w:r>
      <w:r w:rsidR="00D11937">
        <w:rPr>
          <w:lang w:eastAsia="es-ES"/>
        </w:rPr>
        <w:t xml:space="preserve"> 18 indicadores de se</w:t>
      </w:r>
      <w:r>
        <w:rPr>
          <w:lang w:eastAsia="es-ES"/>
        </w:rPr>
        <w:t>guimiento  para l</w:t>
      </w:r>
      <w:r w:rsidR="00050472">
        <w:rPr>
          <w:lang w:eastAsia="es-ES"/>
        </w:rPr>
        <w:t>a</w:t>
      </w:r>
      <w:r>
        <w:rPr>
          <w:lang w:eastAsia="es-ES"/>
        </w:rPr>
        <w:t xml:space="preserve"> </w:t>
      </w:r>
      <w:r w:rsidR="00050472">
        <w:rPr>
          <w:lang w:eastAsia="es-ES"/>
        </w:rPr>
        <w:t>e</w:t>
      </w:r>
      <w:r>
        <w:rPr>
          <w:lang w:eastAsia="es-ES"/>
        </w:rPr>
        <w:t>valuación de impactos socioeconómicos del P</w:t>
      </w:r>
      <w:r w:rsidR="00050472">
        <w:rPr>
          <w:lang w:eastAsia="es-ES"/>
        </w:rPr>
        <w:t>lan</w:t>
      </w:r>
      <w:r w:rsidR="00D11937">
        <w:rPr>
          <w:rStyle w:val="Refdenotaalpie"/>
          <w:lang w:eastAsia="es-ES"/>
        </w:rPr>
        <w:footnoteReference w:id="2"/>
      </w:r>
      <w:r w:rsidR="00D11937">
        <w:rPr>
          <w:lang w:eastAsia="es-ES"/>
        </w:rPr>
        <w:t>:</w:t>
      </w:r>
    </w:p>
    <w:p w:rsidR="00D11937" w:rsidRDefault="00D11937" w:rsidP="0020708C">
      <w:pPr>
        <w:pStyle w:val="Prrafodelista"/>
        <w:numPr>
          <w:ilvl w:val="0"/>
          <w:numId w:val="28"/>
        </w:numPr>
        <w:spacing w:after="240"/>
        <w:contextualSpacing w:val="0"/>
      </w:pPr>
      <w:r>
        <w:t xml:space="preserve"> Municipios de Consolidación conectados a la Red de Fibra Óptica</w:t>
      </w:r>
    </w:p>
    <w:p w:rsidR="00D11937" w:rsidRDefault="00D11937" w:rsidP="0020708C">
      <w:pPr>
        <w:pStyle w:val="Prrafodelista"/>
        <w:numPr>
          <w:ilvl w:val="0"/>
          <w:numId w:val="28"/>
        </w:numPr>
        <w:spacing w:after="240"/>
        <w:contextualSpacing w:val="0"/>
      </w:pPr>
      <w:r>
        <w:t>Número de conexiones a internet (Móvil 3G y 4G)</w:t>
      </w:r>
    </w:p>
    <w:p w:rsidR="00D11937" w:rsidRDefault="00D11937" w:rsidP="0020708C">
      <w:pPr>
        <w:pStyle w:val="Prrafodelista"/>
        <w:numPr>
          <w:ilvl w:val="0"/>
          <w:numId w:val="28"/>
        </w:numPr>
        <w:spacing w:after="240"/>
        <w:contextualSpacing w:val="0"/>
      </w:pPr>
      <w:r>
        <w:t>Porcentaje de cabeceras municipales con cobertura 3G</w:t>
      </w:r>
    </w:p>
    <w:p w:rsidR="00D11937" w:rsidRDefault="00D11937" w:rsidP="0020708C">
      <w:pPr>
        <w:pStyle w:val="Prrafodelista"/>
        <w:numPr>
          <w:ilvl w:val="0"/>
          <w:numId w:val="28"/>
        </w:numPr>
        <w:spacing w:after="240"/>
        <w:contextualSpacing w:val="0"/>
      </w:pPr>
      <w:r>
        <w:t>Porcentaje de población con cobertura 4G</w:t>
      </w:r>
    </w:p>
    <w:p w:rsidR="00D11937" w:rsidRDefault="00D11937" w:rsidP="0020708C">
      <w:pPr>
        <w:pStyle w:val="Prrafodelista"/>
        <w:numPr>
          <w:ilvl w:val="0"/>
          <w:numId w:val="28"/>
        </w:numPr>
        <w:spacing w:after="240"/>
        <w:contextualSpacing w:val="0"/>
      </w:pPr>
      <w:r>
        <w:t>Centros poblados rurales de más de 100 habitantes con acceso público a internet</w:t>
      </w:r>
    </w:p>
    <w:p w:rsidR="00D11937" w:rsidRDefault="00D11937" w:rsidP="0020708C">
      <w:pPr>
        <w:pStyle w:val="Prrafodelista"/>
        <w:numPr>
          <w:ilvl w:val="0"/>
          <w:numId w:val="28"/>
        </w:numPr>
        <w:spacing w:after="240"/>
        <w:contextualSpacing w:val="0"/>
      </w:pPr>
      <w:r>
        <w:t>Terminales entregadas a sedes beneficiarias en los municipios de consolidación</w:t>
      </w:r>
    </w:p>
    <w:p w:rsidR="00D11937" w:rsidRDefault="00D11937" w:rsidP="0020708C">
      <w:pPr>
        <w:pStyle w:val="Prrafodelista"/>
        <w:numPr>
          <w:ilvl w:val="0"/>
          <w:numId w:val="28"/>
        </w:numPr>
        <w:spacing w:after="240"/>
        <w:contextualSpacing w:val="0"/>
      </w:pPr>
      <w:r>
        <w:t xml:space="preserve">Computadores por cada 100 habitantes </w:t>
      </w:r>
    </w:p>
    <w:p w:rsidR="00D11937" w:rsidRDefault="00D11937" w:rsidP="0020708C">
      <w:pPr>
        <w:pStyle w:val="Prrafodelista"/>
        <w:numPr>
          <w:ilvl w:val="0"/>
          <w:numId w:val="28"/>
        </w:numPr>
        <w:spacing w:after="240"/>
        <w:contextualSpacing w:val="0"/>
      </w:pPr>
      <w:r>
        <w:lastRenderedPageBreak/>
        <w:t>Acceso a televisión digital terrestre pública</w:t>
      </w:r>
    </w:p>
    <w:p w:rsidR="00D11937" w:rsidRDefault="00D11937" w:rsidP="0020708C">
      <w:pPr>
        <w:pStyle w:val="Prrafodelista"/>
        <w:numPr>
          <w:ilvl w:val="0"/>
          <w:numId w:val="28"/>
        </w:numPr>
        <w:spacing w:after="240"/>
        <w:contextualSpacing w:val="0"/>
      </w:pPr>
      <w:r>
        <w:t>Acceso a televisión pública</w:t>
      </w:r>
    </w:p>
    <w:p w:rsidR="00D11937" w:rsidRDefault="00D11937" w:rsidP="0020708C">
      <w:pPr>
        <w:pStyle w:val="Prrafodelista"/>
        <w:numPr>
          <w:ilvl w:val="0"/>
          <w:numId w:val="28"/>
        </w:numPr>
        <w:spacing w:after="240"/>
        <w:contextualSpacing w:val="0"/>
      </w:pPr>
      <w:r>
        <w:t>Abonados móviles por cada 100 habitantes</w:t>
      </w:r>
    </w:p>
    <w:p w:rsidR="00D11937" w:rsidRDefault="00D11937" w:rsidP="0020708C">
      <w:pPr>
        <w:pStyle w:val="Prrafodelista"/>
        <w:numPr>
          <w:ilvl w:val="0"/>
          <w:numId w:val="28"/>
        </w:numPr>
        <w:spacing w:after="240"/>
        <w:contextualSpacing w:val="0"/>
      </w:pPr>
      <w:r>
        <w:t>Kioscos Vive Digital instalados</w:t>
      </w:r>
    </w:p>
    <w:p w:rsidR="00D11937" w:rsidRDefault="00D11937" w:rsidP="0020708C">
      <w:pPr>
        <w:pStyle w:val="Prrafodelista"/>
        <w:numPr>
          <w:ilvl w:val="0"/>
          <w:numId w:val="28"/>
        </w:numPr>
        <w:spacing w:after="240"/>
        <w:contextualSpacing w:val="0"/>
      </w:pPr>
      <w:r>
        <w:t xml:space="preserve">Exportaciones de </w:t>
      </w:r>
      <w:proofErr w:type="spellStart"/>
      <w:r>
        <w:t>Mipyme</w:t>
      </w:r>
      <w:proofErr w:type="spellEnd"/>
      <w:r>
        <w:t xml:space="preserve"> realizadas a través de </w:t>
      </w:r>
      <w:proofErr w:type="spellStart"/>
      <w:r>
        <w:t>Exportafácil</w:t>
      </w:r>
      <w:proofErr w:type="spellEnd"/>
      <w:r>
        <w:t xml:space="preserve"> </w:t>
      </w:r>
    </w:p>
    <w:p w:rsidR="00D11937" w:rsidRDefault="00D11937" w:rsidP="0020708C">
      <w:pPr>
        <w:pStyle w:val="Prrafodelista"/>
        <w:numPr>
          <w:ilvl w:val="0"/>
          <w:numId w:val="28"/>
        </w:numPr>
        <w:spacing w:after="240"/>
        <w:contextualSpacing w:val="0"/>
      </w:pPr>
      <w:r>
        <w:t>Número de toneladas de residuos electrónicos procesadas para contribuir a la preservación del medio ambiente</w:t>
      </w:r>
    </w:p>
    <w:p w:rsidR="00D11937" w:rsidRDefault="00D11937" w:rsidP="0020708C">
      <w:pPr>
        <w:pStyle w:val="Prrafodelista"/>
        <w:numPr>
          <w:ilvl w:val="0"/>
          <w:numId w:val="28"/>
        </w:numPr>
        <w:spacing w:after="240"/>
        <w:contextualSpacing w:val="0"/>
      </w:pPr>
      <w:r>
        <w:t>Oficinas 472 que ofrecen servicios financieros</w:t>
      </w:r>
    </w:p>
    <w:p w:rsidR="00D11937" w:rsidRDefault="00D11937" w:rsidP="0020708C">
      <w:pPr>
        <w:pStyle w:val="Prrafodelista"/>
        <w:numPr>
          <w:ilvl w:val="0"/>
          <w:numId w:val="28"/>
        </w:numPr>
        <w:spacing w:after="240"/>
        <w:contextualSpacing w:val="0"/>
      </w:pPr>
      <w:r>
        <w:t>Disminuir las PQR para móviles</w:t>
      </w:r>
    </w:p>
    <w:p w:rsidR="00D11937" w:rsidRDefault="00D11937" w:rsidP="0020708C">
      <w:pPr>
        <w:pStyle w:val="Prrafodelista"/>
        <w:numPr>
          <w:ilvl w:val="0"/>
          <w:numId w:val="28"/>
        </w:numPr>
        <w:spacing w:after="240"/>
        <w:contextualSpacing w:val="0"/>
      </w:pPr>
      <w:r>
        <w:t>Porcentaje de entidades del orden nacional con nivel alto del índice de GEL</w:t>
      </w:r>
    </w:p>
    <w:p w:rsidR="00D11937" w:rsidRDefault="00D11937" w:rsidP="0020708C">
      <w:pPr>
        <w:pStyle w:val="Prrafodelista"/>
        <w:numPr>
          <w:ilvl w:val="0"/>
          <w:numId w:val="28"/>
        </w:numPr>
        <w:spacing w:after="240"/>
        <w:contextualSpacing w:val="0"/>
      </w:pPr>
      <w:r>
        <w:t>Porcentaje de entidades del orden territorial (alcaldías y gobernaciones) que tienen un nivel alto del índice de GEL</w:t>
      </w:r>
    </w:p>
    <w:p w:rsidR="00D11937" w:rsidRDefault="00D11937" w:rsidP="0020708C">
      <w:pPr>
        <w:pStyle w:val="Prrafodelista"/>
        <w:numPr>
          <w:ilvl w:val="0"/>
          <w:numId w:val="28"/>
        </w:numPr>
        <w:spacing w:after="240"/>
        <w:contextualSpacing w:val="0"/>
      </w:pPr>
      <w:r>
        <w:t>Puntos Vive Digital en operación</w:t>
      </w:r>
      <w:r w:rsidR="00DB2287">
        <w:t>.</w:t>
      </w:r>
    </w:p>
    <w:p w:rsidR="00D11937" w:rsidRDefault="00D11937" w:rsidP="00D11937">
      <w:pPr>
        <w:spacing w:after="240"/>
        <w:rPr>
          <w:lang w:eastAsia="es-ES"/>
        </w:rPr>
      </w:pPr>
      <w:r>
        <w:rPr>
          <w:lang w:eastAsia="es-ES"/>
        </w:rPr>
        <w:t>El siguiente cua</w:t>
      </w:r>
      <w:r w:rsidR="00F2483A">
        <w:rPr>
          <w:lang w:eastAsia="es-ES"/>
        </w:rPr>
        <w:t>dro muestra la evolución de 26</w:t>
      </w:r>
      <w:r w:rsidR="005305B0">
        <w:rPr>
          <w:lang w:eastAsia="es-ES"/>
        </w:rPr>
        <w:t xml:space="preserve"> de los</w:t>
      </w:r>
      <w:r>
        <w:rPr>
          <w:lang w:eastAsia="es-ES"/>
        </w:rPr>
        <w:t xml:space="preserve"> 33 indicadores mencionados</w:t>
      </w:r>
      <w:r w:rsidR="005305B0">
        <w:rPr>
          <w:lang w:eastAsia="es-ES"/>
        </w:rPr>
        <w:t>, para los cuales se cuenta con información</w:t>
      </w:r>
      <w:r>
        <w:rPr>
          <w:lang w:eastAsia="es-ES"/>
        </w:rPr>
        <w:t>:</w:t>
      </w:r>
    </w:p>
    <w:p w:rsidR="00F2483A" w:rsidRDefault="00F2483A" w:rsidP="00F2483A">
      <w:pPr>
        <w:pStyle w:val="T-Figura"/>
        <w:ind w:left="0"/>
      </w:pPr>
      <w:r>
        <w:t xml:space="preserve">Cuadro 1.1 </w:t>
      </w:r>
      <w:r w:rsidRPr="00053408">
        <w:t>Seguimiento a indicadores de la estrategia</w:t>
      </w:r>
      <w:r>
        <w:t xml:space="preserve"> de</w:t>
      </w:r>
      <w:r w:rsidRPr="00053408">
        <w:t xml:space="preserve"> “Infraestructura para la competitividad</w:t>
      </w:r>
      <w:r>
        <w:t>. DNP - Plan de Desarrollo 2010-2014</w:t>
      </w:r>
      <w:r w:rsidRPr="00053408">
        <w:t>"</w:t>
      </w:r>
    </w:p>
    <w:tbl>
      <w:tblPr>
        <w:tblW w:w="5000" w:type="pct"/>
        <w:tblLayout w:type="fixed"/>
        <w:tblCellMar>
          <w:left w:w="70" w:type="dxa"/>
          <w:right w:w="70" w:type="dxa"/>
        </w:tblCellMar>
        <w:tblLook w:val="04A0"/>
      </w:tblPr>
      <w:tblGrid>
        <w:gridCol w:w="410"/>
        <w:gridCol w:w="2956"/>
        <w:gridCol w:w="1253"/>
        <w:gridCol w:w="1235"/>
        <w:gridCol w:w="1165"/>
        <w:gridCol w:w="989"/>
        <w:gridCol w:w="970"/>
      </w:tblGrid>
      <w:tr w:rsidR="00F2483A" w:rsidRPr="00CD7D0F" w:rsidTr="009A7C0B">
        <w:trPr>
          <w:trHeight w:val="780"/>
          <w:tblHeader/>
        </w:trPr>
        <w:tc>
          <w:tcPr>
            <w:tcW w:w="228" w:type="pct"/>
            <w:tcBorders>
              <w:top w:val="nil"/>
              <w:left w:val="nil"/>
              <w:bottom w:val="nil"/>
              <w:right w:val="nil"/>
            </w:tcBorders>
            <w:shd w:val="clear" w:color="000000" w:fill="BFBFBF"/>
            <w:vAlign w:val="center"/>
            <w:hideMark/>
          </w:tcPr>
          <w:p w:rsidR="00F2483A" w:rsidRPr="00CD7D0F" w:rsidRDefault="00F2483A" w:rsidP="009A7C0B">
            <w:pPr>
              <w:spacing w:before="0" w:line="240" w:lineRule="auto"/>
              <w:jc w:val="center"/>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No.</w:t>
            </w:r>
          </w:p>
        </w:tc>
        <w:tc>
          <w:tcPr>
            <w:tcW w:w="1646" w:type="pct"/>
            <w:tcBorders>
              <w:top w:val="nil"/>
              <w:left w:val="nil"/>
              <w:bottom w:val="nil"/>
              <w:right w:val="nil"/>
            </w:tcBorders>
            <w:shd w:val="clear" w:color="000000" w:fill="BFBFBF"/>
            <w:vAlign w:val="center"/>
            <w:hideMark/>
          </w:tcPr>
          <w:p w:rsidR="00F2483A" w:rsidRPr="00CD7D0F" w:rsidRDefault="00F2483A" w:rsidP="009A7C0B">
            <w:pPr>
              <w:spacing w:before="0" w:line="240" w:lineRule="auto"/>
              <w:jc w:val="center"/>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Indicador</w:t>
            </w:r>
          </w:p>
        </w:tc>
        <w:tc>
          <w:tcPr>
            <w:tcW w:w="698" w:type="pct"/>
            <w:tcBorders>
              <w:top w:val="nil"/>
              <w:left w:val="nil"/>
              <w:bottom w:val="nil"/>
              <w:right w:val="nil"/>
            </w:tcBorders>
            <w:shd w:val="clear" w:color="000000" w:fill="BFBFBF"/>
            <w:vAlign w:val="center"/>
            <w:hideMark/>
          </w:tcPr>
          <w:p w:rsidR="00F2483A" w:rsidRPr="00CD7D0F" w:rsidRDefault="00F2483A" w:rsidP="009A7C0B">
            <w:pPr>
              <w:spacing w:before="0" w:line="240" w:lineRule="auto"/>
              <w:jc w:val="center"/>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 xml:space="preserve"> Línea de base - 2010 </w:t>
            </w:r>
          </w:p>
        </w:tc>
        <w:tc>
          <w:tcPr>
            <w:tcW w:w="688" w:type="pct"/>
            <w:tcBorders>
              <w:top w:val="nil"/>
              <w:left w:val="nil"/>
              <w:bottom w:val="nil"/>
              <w:right w:val="nil"/>
            </w:tcBorders>
            <w:shd w:val="clear" w:color="000000" w:fill="BFBFBF"/>
            <w:vAlign w:val="center"/>
            <w:hideMark/>
          </w:tcPr>
          <w:p w:rsidR="00F2483A" w:rsidRPr="00CD7D0F" w:rsidRDefault="00F2483A" w:rsidP="009A7C0B">
            <w:pPr>
              <w:spacing w:before="0" w:line="240" w:lineRule="auto"/>
              <w:jc w:val="center"/>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 xml:space="preserve"> Meta 2014 </w:t>
            </w:r>
          </w:p>
        </w:tc>
        <w:tc>
          <w:tcPr>
            <w:tcW w:w="649" w:type="pct"/>
            <w:tcBorders>
              <w:top w:val="nil"/>
              <w:left w:val="nil"/>
              <w:bottom w:val="nil"/>
              <w:right w:val="nil"/>
            </w:tcBorders>
            <w:shd w:val="clear" w:color="000000" w:fill="BFBFBF"/>
            <w:vAlign w:val="center"/>
            <w:hideMark/>
          </w:tcPr>
          <w:p w:rsidR="00F2483A" w:rsidRPr="00CD7D0F" w:rsidRDefault="00F2483A" w:rsidP="009A7C0B">
            <w:pPr>
              <w:spacing w:before="0" w:line="240" w:lineRule="auto"/>
              <w:jc w:val="center"/>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Resultado a 2013</w:t>
            </w:r>
          </w:p>
        </w:tc>
        <w:tc>
          <w:tcPr>
            <w:tcW w:w="551" w:type="pct"/>
            <w:tcBorders>
              <w:top w:val="nil"/>
              <w:left w:val="nil"/>
              <w:bottom w:val="nil"/>
              <w:right w:val="nil"/>
            </w:tcBorders>
            <w:shd w:val="clear" w:color="000000" w:fill="BFBFBF"/>
            <w:vAlign w:val="center"/>
            <w:hideMark/>
          </w:tcPr>
          <w:p w:rsidR="00F2483A" w:rsidRPr="00CD7D0F" w:rsidRDefault="00F2483A" w:rsidP="009A7C0B">
            <w:pPr>
              <w:spacing w:before="0" w:line="240" w:lineRule="auto"/>
              <w:jc w:val="center"/>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 de Avance</w:t>
            </w:r>
          </w:p>
        </w:tc>
        <w:tc>
          <w:tcPr>
            <w:tcW w:w="540" w:type="pct"/>
            <w:tcBorders>
              <w:top w:val="nil"/>
              <w:left w:val="nil"/>
              <w:bottom w:val="nil"/>
              <w:right w:val="nil"/>
            </w:tcBorders>
            <w:shd w:val="clear" w:color="000000" w:fill="BFBFBF"/>
            <w:vAlign w:val="center"/>
            <w:hideMark/>
          </w:tcPr>
          <w:p w:rsidR="00F2483A" w:rsidRPr="00CD7D0F" w:rsidRDefault="00F2483A" w:rsidP="009A7C0B">
            <w:pPr>
              <w:spacing w:before="0" w:line="240" w:lineRule="auto"/>
              <w:jc w:val="center"/>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Tipo de indicador</w:t>
            </w:r>
          </w:p>
        </w:tc>
      </w:tr>
      <w:tr w:rsidR="00F2483A" w:rsidRPr="00CD7D0F" w:rsidTr="00D603C3">
        <w:trPr>
          <w:trHeight w:val="1792"/>
        </w:trPr>
        <w:tc>
          <w:tcPr>
            <w:tcW w:w="228" w:type="pct"/>
            <w:tcBorders>
              <w:top w:val="single" w:sz="4" w:space="0" w:color="BFBFBF"/>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w:t>
            </w:r>
          </w:p>
        </w:tc>
        <w:tc>
          <w:tcPr>
            <w:tcW w:w="1646" w:type="pct"/>
            <w:tcBorders>
              <w:top w:val="single" w:sz="4" w:space="0" w:color="BFBFBF"/>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Computadores entregados a sedes beneficiarias (número de computadores y/o terminales entregados a sedes beneficiarias para incrementar el uso de las TIC en los procesos educativos)</w:t>
            </w:r>
          </w:p>
        </w:tc>
        <w:tc>
          <w:tcPr>
            <w:tcW w:w="698" w:type="pct"/>
            <w:tcBorders>
              <w:top w:val="single" w:sz="4" w:space="0" w:color="BFBFBF"/>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lef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 xml:space="preserve">          265,674 </w:t>
            </w:r>
          </w:p>
        </w:tc>
        <w:tc>
          <w:tcPr>
            <w:tcW w:w="688" w:type="pct"/>
            <w:tcBorders>
              <w:top w:val="single" w:sz="4" w:space="0" w:color="BFBFBF"/>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419,912</w:t>
            </w:r>
          </w:p>
        </w:tc>
        <w:tc>
          <w:tcPr>
            <w:tcW w:w="649" w:type="pct"/>
            <w:tcBorders>
              <w:top w:val="single" w:sz="4" w:space="0" w:color="BFBFBF"/>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b/>
                <w:bCs/>
                <w:color w:val="C00000"/>
                <w:sz w:val="20"/>
                <w:szCs w:val="20"/>
                <w:lang w:val="es-CO" w:eastAsia="es-CO"/>
              </w:rPr>
              <w:t>714,864</w:t>
            </w:r>
            <w:r>
              <w:rPr>
                <w:rFonts w:ascii="Arial Narrow" w:eastAsia="Times New Roman" w:hAnsi="Arial Narrow" w:cs="Times New Roman"/>
                <w:b/>
                <w:bCs/>
                <w:color w:val="C00000"/>
                <w:sz w:val="20"/>
                <w:szCs w:val="20"/>
                <w:lang w:val="es-CO" w:eastAsia="es-CO"/>
              </w:rPr>
              <w:t>*</w:t>
            </w:r>
          </w:p>
        </w:tc>
        <w:tc>
          <w:tcPr>
            <w:tcW w:w="551" w:type="pct"/>
            <w:tcBorders>
              <w:top w:val="single" w:sz="4" w:space="0" w:color="BFBFBF"/>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170.2</w:t>
            </w:r>
            <w:r w:rsidRPr="00CD7D0F">
              <w:rPr>
                <w:rFonts w:ascii="Arial Narrow" w:eastAsia="Times New Roman" w:hAnsi="Arial Narrow" w:cs="Times New Roman"/>
                <w:sz w:val="20"/>
                <w:szCs w:val="20"/>
                <w:lang w:val="es-CO" w:eastAsia="es-CO"/>
              </w:rPr>
              <w:t>%</w:t>
            </w:r>
          </w:p>
        </w:tc>
        <w:tc>
          <w:tcPr>
            <w:tcW w:w="540" w:type="pct"/>
            <w:tcBorders>
              <w:top w:val="single" w:sz="4" w:space="0" w:color="BFBFBF"/>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D603C3">
        <w:trPr>
          <w:trHeight w:val="2257"/>
        </w:trPr>
        <w:tc>
          <w:tcPr>
            <w:tcW w:w="228" w:type="pct"/>
            <w:tcBorders>
              <w:top w:val="single" w:sz="4" w:space="0" w:color="BFBFBF"/>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lastRenderedPageBreak/>
              <w:t>2</w:t>
            </w:r>
          </w:p>
        </w:tc>
        <w:tc>
          <w:tcPr>
            <w:tcW w:w="1646" w:type="pct"/>
            <w:tcBorders>
              <w:top w:val="single" w:sz="4" w:space="0" w:color="BFBFBF"/>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Número de toneladas de residuos electrónicos procesadas para contribuir a la preservación del medio ambiente (número de toneladas de residuos electrónicos que se procesan, lo que involucra manufactura y valorización a través de corrientes limpias que se incorporan nuevamente a la industria como materia prima)</w:t>
            </w:r>
          </w:p>
        </w:tc>
        <w:tc>
          <w:tcPr>
            <w:tcW w:w="698" w:type="pct"/>
            <w:tcBorders>
              <w:top w:val="single" w:sz="4" w:space="0" w:color="BFBFBF"/>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1,418 </w:t>
            </w:r>
          </w:p>
        </w:tc>
        <w:tc>
          <w:tcPr>
            <w:tcW w:w="688" w:type="pct"/>
            <w:tcBorders>
              <w:top w:val="single" w:sz="4" w:space="0" w:color="BFBFBF"/>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1,615 </w:t>
            </w:r>
          </w:p>
        </w:tc>
        <w:tc>
          <w:tcPr>
            <w:tcW w:w="649" w:type="pct"/>
            <w:tcBorders>
              <w:top w:val="single" w:sz="4" w:space="0" w:color="BFBFBF"/>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b/>
                <w:bCs/>
                <w:color w:val="C00000"/>
                <w:sz w:val="20"/>
                <w:szCs w:val="20"/>
                <w:lang w:val="es-CO" w:eastAsia="es-CO"/>
              </w:rPr>
            </w:pPr>
            <w:r w:rsidRPr="00CD7D0F">
              <w:rPr>
                <w:rFonts w:ascii="Arial Narrow" w:eastAsia="Times New Roman" w:hAnsi="Arial Narrow" w:cs="Times New Roman"/>
                <w:b/>
                <w:bCs/>
                <w:color w:val="C00000"/>
                <w:sz w:val="20"/>
                <w:szCs w:val="20"/>
                <w:lang w:val="es-CO" w:eastAsia="es-CO"/>
              </w:rPr>
              <w:t>2,463</w:t>
            </w:r>
            <w:r>
              <w:rPr>
                <w:rFonts w:ascii="Arial Narrow" w:eastAsia="Times New Roman" w:hAnsi="Arial Narrow" w:cs="Times New Roman"/>
                <w:b/>
                <w:bCs/>
                <w:color w:val="C00000"/>
                <w:sz w:val="20"/>
                <w:szCs w:val="20"/>
                <w:lang w:val="es-CO" w:eastAsia="es-CO"/>
              </w:rPr>
              <w:t>*</w:t>
            </w:r>
          </w:p>
        </w:tc>
        <w:tc>
          <w:tcPr>
            <w:tcW w:w="551" w:type="pct"/>
            <w:tcBorders>
              <w:top w:val="single" w:sz="4" w:space="0" w:color="BFBFBF"/>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152</w:t>
            </w:r>
            <w:r w:rsidRPr="00CD7D0F">
              <w:rPr>
                <w:rFonts w:ascii="Arial Narrow" w:eastAsia="Times New Roman" w:hAnsi="Arial Narrow" w:cs="Times New Roman"/>
                <w:sz w:val="20"/>
                <w:szCs w:val="20"/>
                <w:lang w:val="es-CO" w:eastAsia="es-CO"/>
              </w:rPr>
              <w:t>.5%</w:t>
            </w:r>
          </w:p>
        </w:tc>
        <w:tc>
          <w:tcPr>
            <w:tcW w:w="540" w:type="pct"/>
            <w:tcBorders>
              <w:top w:val="single" w:sz="4" w:space="0" w:color="BFBFBF"/>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246"/>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3</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Cabeceras municipales con cobertura de Fibra Óptica (número de cabeceras municipales con conectividad de fibra óptica)</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200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700 </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777</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111.0</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D603C3">
        <w:trPr>
          <w:trHeight w:val="1170"/>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4</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Usuarios de internet por cada 100 habitantes (porcentaje de usuarios de internet en Colombia)</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lef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 xml:space="preserve">              51.30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64.10</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D603C3">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66.07</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103.1</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224"/>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5</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Terminales entregadas a sedes beneficiarias en los municipios de consolidación (terminales entregadas)</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19,701 </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40,640 </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b/>
                <w:bCs/>
                <w:color w:val="C00000"/>
                <w:sz w:val="20"/>
                <w:szCs w:val="20"/>
                <w:lang w:val="es-CO" w:eastAsia="es-CO"/>
              </w:rPr>
            </w:pPr>
            <w:r w:rsidRPr="00CD7D0F">
              <w:rPr>
                <w:rFonts w:ascii="Arial Narrow" w:eastAsia="Times New Roman" w:hAnsi="Arial Narrow" w:cs="Times New Roman"/>
                <w:b/>
                <w:bCs/>
                <w:color w:val="C00000"/>
                <w:sz w:val="20"/>
                <w:szCs w:val="20"/>
                <w:lang w:val="es-CO" w:eastAsia="es-CO"/>
              </w:rPr>
              <w:t>41,038</w:t>
            </w:r>
            <w:r>
              <w:rPr>
                <w:rFonts w:ascii="Arial Narrow" w:eastAsia="Times New Roman" w:hAnsi="Arial Narrow" w:cs="Times New Roman"/>
                <w:b/>
                <w:bCs/>
                <w:color w:val="C00000"/>
                <w:sz w:val="20"/>
                <w:szCs w:val="20"/>
                <w:lang w:val="es-CO" w:eastAsia="es-CO"/>
              </w:rPr>
              <w:t>*</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101.0</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224"/>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6</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Abonados móviles por cada 100 habitantes (porcentaje de líneas móviles por habitante que existen en Colombia en un momento específico)</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93.8%</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100.0%</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100.4%</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100.4</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065"/>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7</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Cabeceras municipales con cobertura 3G (porcentaje de cabeceras municipales con cobertura 3G)</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lef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 xml:space="preserve">              46.00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100</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99</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99.0</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Resultado</w:t>
            </w:r>
          </w:p>
        </w:tc>
      </w:tr>
      <w:tr w:rsidR="00F2483A" w:rsidRPr="00CD7D0F" w:rsidTr="009A7C0B">
        <w:trPr>
          <w:trHeight w:val="960"/>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8</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Oficinas 4-72 que ofrecen servicios financieros (número de oficinas 4-72 que ofrecen servicios financieros)</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4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190 </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181</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95.3</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072"/>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9</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Servidores públicos certificados en el uso de TIC (número de servidores públicos capacitados y certificados en el uso de TIC)</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lef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 xml:space="preserve">              1,300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500,000</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458,005</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91.6%</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003"/>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color w:val="000000"/>
                <w:sz w:val="20"/>
                <w:szCs w:val="20"/>
                <w:lang w:val="es-CO" w:eastAsia="es-CO"/>
              </w:rPr>
            </w:pPr>
            <w:r>
              <w:rPr>
                <w:rFonts w:ascii="Arial Narrow" w:eastAsia="Times New Roman" w:hAnsi="Arial Narrow" w:cs="Times New Roman"/>
                <w:color w:val="000000"/>
                <w:sz w:val="20"/>
                <w:szCs w:val="20"/>
                <w:lang w:val="es-CO" w:eastAsia="es-CO"/>
              </w:rPr>
              <w:t>10</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Acceso a televisión pública (porcentaje de la población colombiana que cuenta con acceso a televisión pública)</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92.0%</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100.0%</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91.3%</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91.3</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cantSplit/>
          <w:trHeight w:val="835"/>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11</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Conexiones a internet (Millones - Fija mayores a 1MG, móvil 3G y 4G)</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2.2 </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8.8 </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7.2</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81.8</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845"/>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lastRenderedPageBreak/>
              <w:t>12</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Regiones vinculadas a la estrategia Vive Digital (número de regiones en el país)</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lef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 xml:space="preserve">                    -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32</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26 </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81.3%</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140"/>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1</w:t>
            </w:r>
            <w:r>
              <w:rPr>
                <w:rFonts w:ascii="Arial Narrow" w:eastAsia="Times New Roman" w:hAnsi="Arial Narrow" w:cs="Times New Roman"/>
                <w:sz w:val="20"/>
                <w:szCs w:val="20"/>
                <w:lang w:val="es-CO" w:eastAsia="es-CO"/>
              </w:rPr>
              <w:t>3</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Población con cobertura 4G (porcentaje de población ubicada en zonas que cuentan con cobertura 4G)</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lef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 xml:space="preserve">                    -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50</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40.46</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80.9%</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Resultado</w:t>
            </w:r>
          </w:p>
        </w:tc>
      </w:tr>
      <w:tr w:rsidR="00F2483A" w:rsidRPr="00CD7D0F" w:rsidTr="009A7C0B">
        <w:trPr>
          <w:trHeight w:val="659"/>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14</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Entidades del orden nacional con nivel alto del índice de Gobierno en línea (Porcentaje de entidades del orden nacional con nivel alto del índice de Gobierno en línea)</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50.0%</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100.0%</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80.6%</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80.6</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Resultado</w:t>
            </w:r>
          </w:p>
        </w:tc>
      </w:tr>
      <w:tr w:rsidR="00F2483A" w:rsidRPr="00CD7D0F" w:rsidTr="009A7C0B">
        <w:trPr>
          <w:trHeight w:val="1278"/>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15</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Docentes formados en incorporación de TIC en la educación (número de docentes formados en apropiación de TIC con el objetivo de promover el uso y aprovechamiento de estas tecnologías en procesos educativos)</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40,216 </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b/>
                <w:bCs/>
                <w:color w:val="C00000"/>
                <w:sz w:val="20"/>
                <w:szCs w:val="20"/>
                <w:lang w:val="es-CO" w:eastAsia="es-CO"/>
              </w:rPr>
            </w:pPr>
            <w:r w:rsidRPr="00CD7D0F">
              <w:rPr>
                <w:rFonts w:ascii="Arial Narrow" w:eastAsia="Times New Roman" w:hAnsi="Arial Narrow" w:cs="Times New Roman"/>
                <w:b/>
                <w:bCs/>
                <w:color w:val="C00000"/>
                <w:sz w:val="20"/>
                <w:szCs w:val="20"/>
                <w:lang w:val="es-CO" w:eastAsia="es-CO"/>
              </w:rPr>
              <w:t>68,859</w:t>
            </w:r>
            <w:r>
              <w:rPr>
                <w:rFonts w:ascii="Arial Narrow" w:eastAsia="Times New Roman" w:hAnsi="Arial Narrow" w:cs="Times New Roman"/>
                <w:b/>
                <w:bCs/>
                <w:color w:val="C00000"/>
                <w:sz w:val="20"/>
                <w:szCs w:val="20"/>
                <w:lang w:val="es-CO" w:eastAsia="es-CO"/>
              </w:rPr>
              <w:t>*</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b/>
                <w:bCs/>
                <w:color w:val="C00000"/>
                <w:sz w:val="20"/>
                <w:szCs w:val="20"/>
                <w:lang w:val="es-CO" w:eastAsia="es-CO"/>
              </w:rPr>
              <w:t>54</w:t>
            </w:r>
            <w:r w:rsidRPr="00CD7D0F">
              <w:rPr>
                <w:rFonts w:ascii="Arial Narrow" w:eastAsia="Times New Roman" w:hAnsi="Arial Narrow" w:cs="Times New Roman"/>
                <w:sz w:val="20"/>
                <w:szCs w:val="20"/>
                <w:lang w:val="es-CO" w:eastAsia="es-CO"/>
              </w:rPr>
              <w:t>,</w:t>
            </w:r>
            <w:r w:rsidRPr="00CD7D0F">
              <w:rPr>
                <w:rFonts w:ascii="Arial Narrow" w:eastAsia="Times New Roman" w:hAnsi="Arial Narrow" w:cs="Times New Roman"/>
                <w:b/>
                <w:bCs/>
                <w:color w:val="C00000"/>
                <w:sz w:val="20"/>
                <w:szCs w:val="20"/>
                <w:lang w:val="es-CO" w:eastAsia="es-CO"/>
              </w:rPr>
              <w:t>222</w:t>
            </w:r>
            <w:r>
              <w:rPr>
                <w:rFonts w:ascii="Arial Narrow" w:eastAsia="Times New Roman" w:hAnsi="Arial Narrow" w:cs="Times New Roman"/>
                <w:b/>
                <w:bCs/>
                <w:color w:val="C00000"/>
                <w:sz w:val="20"/>
                <w:szCs w:val="20"/>
                <w:lang w:val="es-CO" w:eastAsia="es-CO"/>
              </w:rPr>
              <w:t>*</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78.7</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072"/>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16</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Municipios de Consolidació</w:t>
            </w:r>
            <w:r>
              <w:rPr>
                <w:rFonts w:ascii="Arial Narrow" w:eastAsia="Times New Roman" w:hAnsi="Arial Narrow" w:cs="Times New Roman"/>
                <w:b/>
                <w:bCs/>
                <w:sz w:val="20"/>
                <w:szCs w:val="20"/>
                <w:lang w:val="es-CO" w:eastAsia="es-CO"/>
              </w:rPr>
              <w:t>n conectados a la Red de Fibra Ó</w:t>
            </w:r>
            <w:r w:rsidRPr="00CD7D0F">
              <w:rPr>
                <w:rFonts w:ascii="Arial Narrow" w:eastAsia="Times New Roman" w:hAnsi="Arial Narrow" w:cs="Times New Roman"/>
                <w:b/>
                <w:bCs/>
                <w:sz w:val="20"/>
                <w:szCs w:val="20"/>
                <w:lang w:val="es-CO" w:eastAsia="es-CO"/>
              </w:rPr>
              <w:t>ptica (número de municipios conectados)</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18 </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36 </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b/>
                <w:bCs/>
                <w:color w:val="C00000"/>
                <w:sz w:val="20"/>
                <w:szCs w:val="20"/>
                <w:lang w:val="es-CO" w:eastAsia="es-CO"/>
              </w:rPr>
            </w:pPr>
            <w:r w:rsidRPr="00CD7D0F">
              <w:rPr>
                <w:rFonts w:ascii="Arial Narrow" w:eastAsia="Times New Roman" w:hAnsi="Arial Narrow" w:cs="Times New Roman"/>
                <w:b/>
                <w:bCs/>
                <w:color w:val="C00000"/>
                <w:sz w:val="20"/>
                <w:szCs w:val="20"/>
                <w:lang w:val="es-CO" w:eastAsia="es-CO"/>
              </w:rPr>
              <w:t>28</w:t>
            </w:r>
            <w:r>
              <w:rPr>
                <w:rFonts w:ascii="Arial Narrow" w:eastAsia="Times New Roman" w:hAnsi="Arial Narrow" w:cs="Times New Roman"/>
                <w:b/>
                <w:bCs/>
                <w:color w:val="C00000"/>
                <w:sz w:val="20"/>
                <w:szCs w:val="20"/>
                <w:lang w:val="es-CO" w:eastAsia="es-CO"/>
              </w:rPr>
              <w:t>*</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77.8</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989"/>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17</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Entes territoriales con código postal implementado (número de entes territoriales con código postal implementado)</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 xml:space="preserve">                     4*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33</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b/>
                <w:bCs/>
                <w:color w:val="C00000"/>
                <w:sz w:val="20"/>
                <w:szCs w:val="20"/>
                <w:lang w:val="es-CO" w:eastAsia="es-CO"/>
              </w:rPr>
            </w:pPr>
            <w:r w:rsidRPr="00CD7D0F">
              <w:rPr>
                <w:rFonts w:ascii="Arial Narrow" w:eastAsia="Times New Roman" w:hAnsi="Arial Narrow" w:cs="Times New Roman"/>
                <w:b/>
                <w:bCs/>
                <w:color w:val="C00000"/>
                <w:sz w:val="20"/>
                <w:szCs w:val="20"/>
                <w:lang w:val="es-CO" w:eastAsia="es-CO"/>
              </w:rPr>
              <w:t>25</w:t>
            </w:r>
            <w:r>
              <w:rPr>
                <w:rFonts w:ascii="Arial Narrow" w:eastAsia="Times New Roman" w:hAnsi="Arial Narrow" w:cs="Times New Roman"/>
                <w:b/>
                <w:bCs/>
                <w:color w:val="C00000"/>
                <w:sz w:val="20"/>
                <w:szCs w:val="20"/>
                <w:lang w:val="es-CO" w:eastAsia="es-CO"/>
              </w:rPr>
              <w:t>*</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75.8</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059"/>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18</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Computadores por cada 100 habitantes (porcentaje de computadores por habitante en Colombia)</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16.8%</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34.0%</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23.0%</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67.6</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Resultado</w:t>
            </w:r>
          </w:p>
        </w:tc>
      </w:tr>
      <w:tr w:rsidR="00F2483A" w:rsidRPr="00CD7D0F" w:rsidTr="009A7C0B">
        <w:trPr>
          <w:trHeight w:val="1280"/>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19</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Centros poblados rurales de más de 100 habitantes con acceso público a internet (porcentaje de centros poblados rurales de más de 100 habitantes)</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60.0%</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100.0%</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65.0%</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65.0</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049"/>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20</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Entidades del orden territorial (porcentaje de alcaldías y gobernaciones) que tienen un nivel alto del índice de Gobierno en línea</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50%</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21.3%</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42.6%</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117"/>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color w:val="000000"/>
                <w:sz w:val="20"/>
                <w:szCs w:val="20"/>
                <w:lang w:val="es-CO" w:eastAsia="es-CO"/>
              </w:rPr>
            </w:pPr>
            <w:r>
              <w:rPr>
                <w:rFonts w:ascii="Arial Narrow" w:eastAsia="Times New Roman" w:hAnsi="Arial Narrow" w:cs="Times New Roman"/>
                <w:color w:val="000000"/>
                <w:sz w:val="20"/>
                <w:szCs w:val="20"/>
                <w:lang w:val="es-CO" w:eastAsia="es-CO"/>
              </w:rPr>
              <w:t>21</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 xml:space="preserve">Exportaciones de </w:t>
            </w:r>
            <w:proofErr w:type="spellStart"/>
            <w:r w:rsidRPr="00CD7D0F">
              <w:rPr>
                <w:rFonts w:ascii="Arial Narrow" w:eastAsia="Times New Roman" w:hAnsi="Arial Narrow" w:cs="Times New Roman"/>
                <w:b/>
                <w:bCs/>
                <w:sz w:val="20"/>
                <w:szCs w:val="20"/>
                <w:lang w:val="es-CO" w:eastAsia="es-CO"/>
              </w:rPr>
              <w:t>Mipyme</w:t>
            </w:r>
            <w:proofErr w:type="spellEnd"/>
            <w:r w:rsidRPr="00CD7D0F">
              <w:rPr>
                <w:rFonts w:ascii="Arial Narrow" w:eastAsia="Times New Roman" w:hAnsi="Arial Narrow" w:cs="Times New Roman"/>
                <w:b/>
                <w:bCs/>
                <w:sz w:val="20"/>
                <w:szCs w:val="20"/>
                <w:lang w:val="es-CO" w:eastAsia="es-CO"/>
              </w:rPr>
              <w:t xml:space="preserve"> realizadas a través de </w:t>
            </w:r>
            <w:proofErr w:type="spellStart"/>
            <w:r w:rsidRPr="00CD7D0F">
              <w:rPr>
                <w:rFonts w:ascii="Arial Narrow" w:eastAsia="Times New Roman" w:hAnsi="Arial Narrow" w:cs="Times New Roman"/>
                <w:b/>
                <w:bCs/>
                <w:sz w:val="20"/>
                <w:szCs w:val="20"/>
                <w:lang w:val="es-CO" w:eastAsia="es-CO"/>
              </w:rPr>
              <w:t>Exportafácil</w:t>
            </w:r>
            <w:proofErr w:type="spellEnd"/>
            <w:r w:rsidRPr="00CD7D0F">
              <w:rPr>
                <w:rFonts w:ascii="Arial Narrow" w:eastAsia="Times New Roman" w:hAnsi="Arial Narrow" w:cs="Times New Roman"/>
                <w:b/>
                <w:bCs/>
                <w:sz w:val="20"/>
                <w:szCs w:val="20"/>
                <w:lang w:val="es-CO" w:eastAsia="es-CO"/>
              </w:rPr>
              <w:t xml:space="preserve"> (número de exportaciones realizadas a través de la herramienta de </w:t>
            </w:r>
            <w:proofErr w:type="spellStart"/>
            <w:r w:rsidRPr="00CD7D0F">
              <w:rPr>
                <w:rFonts w:ascii="Arial Narrow" w:eastAsia="Times New Roman" w:hAnsi="Arial Narrow" w:cs="Times New Roman"/>
                <w:b/>
                <w:bCs/>
                <w:sz w:val="20"/>
                <w:szCs w:val="20"/>
                <w:lang w:val="es-CO" w:eastAsia="es-CO"/>
              </w:rPr>
              <w:t>Exportafácil</w:t>
            </w:r>
            <w:proofErr w:type="spellEnd"/>
            <w:r w:rsidRPr="00CD7D0F">
              <w:rPr>
                <w:rFonts w:ascii="Arial Narrow" w:eastAsia="Times New Roman" w:hAnsi="Arial Narrow" w:cs="Times New Roman"/>
                <w:b/>
                <w:bCs/>
                <w:sz w:val="20"/>
                <w:szCs w:val="20"/>
                <w:lang w:val="es-CO" w:eastAsia="es-CO"/>
              </w:rPr>
              <w:t>)</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44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7,179 </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2,609</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36.3</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095"/>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lastRenderedPageBreak/>
              <w:t>2</w:t>
            </w:r>
            <w:r>
              <w:rPr>
                <w:rFonts w:ascii="Arial Narrow" w:eastAsia="Times New Roman" w:hAnsi="Arial Narrow" w:cs="Times New Roman"/>
                <w:color w:val="000000"/>
                <w:sz w:val="20"/>
                <w:szCs w:val="20"/>
                <w:lang w:val="es-CO" w:eastAsia="es-CO"/>
              </w:rPr>
              <w:t>2</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Kioscos Vive Digital Instalados (número de kioscos Vive Digital instalados en los centros rurales de los municipios de consolidación)</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228 </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75 </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32.9%</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109"/>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color w:val="000000"/>
                <w:sz w:val="20"/>
                <w:szCs w:val="20"/>
                <w:lang w:val="es-CO" w:eastAsia="es-CO"/>
              </w:rPr>
            </w:pPr>
            <w:r>
              <w:rPr>
                <w:rFonts w:ascii="Arial Narrow" w:eastAsia="Times New Roman" w:hAnsi="Arial Narrow" w:cs="Times New Roman"/>
                <w:color w:val="000000"/>
                <w:sz w:val="20"/>
                <w:szCs w:val="20"/>
                <w:lang w:val="es-CO" w:eastAsia="es-CO"/>
              </w:rPr>
              <w:t>23</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Acceso a televisión digital terrestre pública (porcentaje de la población colombiana que cuenta con acceso a televisión digital)</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3.0%</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75.0%</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8.0%</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10.7</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856"/>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24</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 xml:space="preserve">Puntos Vive Digital en operación (números de Puntos Vive Digital - </w:t>
            </w:r>
            <w:proofErr w:type="spellStart"/>
            <w:r w:rsidRPr="00CD7D0F">
              <w:rPr>
                <w:rFonts w:ascii="Arial Narrow" w:eastAsia="Times New Roman" w:hAnsi="Arial Narrow" w:cs="Times New Roman"/>
                <w:b/>
                <w:bCs/>
                <w:sz w:val="20"/>
                <w:szCs w:val="20"/>
                <w:lang w:val="es-CO" w:eastAsia="es-CO"/>
              </w:rPr>
              <w:t>tecnocentros</w:t>
            </w:r>
            <w:proofErr w:type="spellEnd"/>
            <w:r w:rsidRPr="00CD7D0F">
              <w:rPr>
                <w:rFonts w:ascii="Arial Narrow" w:eastAsia="Times New Roman" w:hAnsi="Arial Narrow" w:cs="Times New Roman"/>
                <w:b/>
                <w:bCs/>
                <w:sz w:val="20"/>
                <w:szCs w:val="20"/>
                <w:lang w:val="es-CO" w:eastAsia="es-CO"/>
              </w:rPr>
              <w:t xml:space="preserve"> - en operación)</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800</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71</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8.9%</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Producto</w:t>
            </w:r>
          </w:p>
        </w:tc>
      </w:tr>
      <w:tr w:rsidR="00F2483A" w:rsidRPr="00CD7D0F" w:rsidTr="009A7C0B">
        <w:trPr>
          <w:trHeight w:val="1232"/>
        </w:trPr>
        <w:tc>
          <w:tcPr>
            <w:tcW w:w="22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center"/>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25</w:t>
            </w:r>
          </w:p>
        </w:tc>
        <w:tc>
          <w:tcPr>
            <w:tcW w:w="1646"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Capacidad internacional (número de terabytes por segundo; es la capacidad de tráfico de información en el país)</w:t>
            </w:r>
          </w:p>
        </w:tc>
        <w:tc>
          <w:tcPr>
            <w:tcW w:w="69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 xml:space="preserve">                0.13 </w:t>
            </w:r>
          </w:p>
        </w:tc>
        <w:tc>
          <w:tcPr>
            <w:tcW w:w="688"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color w:val="000000"/>
                <w:sz w:val="20"/>
                <w:szCs w:val="20"/>
                <w:lang w:val="es-CO" w:eastAsia="es-CO"/>
              </w:rPr>
            </w:pPr>
            <w:r w:rsidRPr="00CD7D0F">
              <w:rPr>
                <w:rFonts w:ascii="Arial Narrow" w:eastAsia="Times New Roman" w:hAnsi="Arial Narrow" w:cs="Times New Roman"/>
                <w:color w:val="000000"/>
                <w:sz w:val="20"/>
                <w:szCs w:val="20"/>
                <w:lang w:val="es-CO" w:eastAsia="es-CO"/>
              </w:rPr>
              <w:t>4</w:t>
            </w:r>
            <w:r>
              <w:rPr>
                <w:rFonts w:ascii="Arial Narrow" w:eastAsia="Times New Roman" w:hAnsi="Arial Narrow" w:cs="Times New Roman"/>
                <w:color w:val="000000"/>
                <w:sz w:val="20"/>
                <w:szCs w:val="20"/>
                <w:lang w:val="es-CO" w:eastAsia="es-CO"/>
              </w:rPr>
              <w:t>.0</w:t>
            </w:r>
          </w:p>
        </w:tc>
        <w:tc>
          <w:tcPr>
            <w:tcW w:w="649"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0.28</w:t>
            </w:r>
          </w:p>
        </w:tc>
        <w:tc>
          <w:tcPr>
            <w:tcW w:w="551" w:type="pct"/>
            <w:tcBorders>
              <w:top w:val="nil"/>
              <w:left w:val="nil"/>
              <w:bottom w:val="single" w:sz="4" w:space="0" w:color="BFBFBF"/>
              <w:right w:val="nil"/>
            </w:tcBorders>
            <w:shd w:val="clear" w:color="000000" w:fill="FFFFFF"/>
            <w:noWrap/>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7</w:t>
            </w:r>
            <w:r w:rsidRPr="00CD7D0F">
              <w:rPr>
                <w:rFonts w:ascii="Arial Narrow" w:eastAsia="Times New Roman" w:hAnsi="Arial Narrow" w:cs="Times New Roman"/>
                <w:sz w:val="20"/>
                <w:szCs w:val="20"/>
                <w:lang w:val="es-CO" w:eastAsia="es-CO"/>
              </w:rPr>
              <w:t>%</w:t>
            </w:r>
          </w:p>
        </w:tc>
        <w:tc>
          <w:tcPr>
            <w:tcW w:w="540" w:type="pct"/>
            <w:tcBorders>
              <w:top w:val="nil"/>
              <w:left w:val="nil"/>
              <w:bottom w:val="single" w:sz="4" w:space="0" w:color="BFBFBF"/>
              <w:right w:val="nil"/>
            </w:tcBorders>
            <w:shd w:val="clear" w:color="000000" w:fill="FFFFFF"/>
            <w:vAlign w:val="center"/>
            <w:hideMark/>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Resultado</w:t>
            </w:r>
          </w:p>
        </w:tc>
      </w:tr>
      <w:tr w:rsidR="00F2483A" w:rsidRPr="00CD7D0F" w:rsidTr="009A7C0B">
        <w:trPr>
          <w:trHeight w:val="1091"/>
        </w:trPr>
        <w:tc>
          <w:tcPr>
            <w:tcW w:w="22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Pr>
                <w:rFonts w:ascii="Arial Narrow" w:eastAsia="Times New Roman" w:hAnsi="Arial Narrow" w:cs="Times New Roman"/>
                <w:sz w:val="20"/>
                <w:szCs w:val="20"/>
                <w:lang w:val="es-CO" w:eastAsia="es-CO"/>
              </w:rPr>
              <w:t>26</w:t>
            </w:r>
          </w:p>
        </w:tc>
        <w:tc>
          <w:tcPr>
            <w:tcW w:w="1646"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left"/>
              <w:rPr>
                <w:rFonts w:ascii="Arial Narrow" w:eastAsia="Times New Roman" w:hAnsi="Arial Narrow" w:cs="Times New Roman"/>
                <w:b/>
                <w:bCs/>
                <w:sz w:val="20"/>
                <w:szCs w:val="20"/>
                <w:lang w:val="es-CO" w:eastAsia="es-CO"/>
              </w:rPr>
            </w:pPr>
            <w:r w:rsidRPr="00CD7D0F">
              <w:rPr>
                <w:rFonts w:ascii="Arial Narrow" w:eastAsia="Times New Roman" w:hAnsi="Arial Narrow" w:cs="Times New Roman"/>
                <w:b/>
                <w:bCs/>
                <w:sz w:val="20"/>
                <w:szCs w:val="20"/>
                <w:lang w:val="es-CO" w:eastAsia="es-CO"/>
              </w:rPr>
              <w:t>Disminuir las PQR - preguntas, quejas y reclamos - para móviles (porcentaje de quejas reportadas de usuarios de telefonía móvil)</w:t>
            </w:r>
          </w:p>
        </w:tc>
        <w:tc>
          <w:tcPr>
            <w:tcW w:w="69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110 </w:t>
            </w:r>
          </w:p>
        </w:tc>
        <w:tc>
          <w:tcPr>
            <w:tcW w:w="688"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 xml:space="preserve">                    40 </w:t>
            </w:r>
          </w:p>
        </w:tc>
        <w:tc>
          <w:tcPr>
            <w:tcW w:w="649"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87</w:t>
            </w:r>
          </w:p>
        </w:tc>
        <w:tc>
          <w:tcPr>
            <w:tcW w:w="551" w:type="pct"/>
            <w:tcBorders>
              <w:top w:val="nil"/>
              <w:left w:val="nil"/>
              <w:bottom w:val="single" w:sz="4" w:space="0" w:color="BFBFBF"/>
              <w:right w:val="nil"/>
            </w:tcBorders>
            <w:shd w:val="clear" w:color="000000" w:fill="FFFFFF"/>
            <w:noWrap/>
            <w:vAlign w:val="center"/>
          </w:tcPr>
          <w:p w:rsidR="00F2483A" w:rsidRPr="00CD7D0F" w:rsidRDefault="00F2483A" w:rsidP="009A7C0B">
            <w:pPr>
              <w:spacing w:before="0" w:line="240" w:lineRule="auto"/>
              <w:jc w:val="right"/>
              <w:rPr>
                <w:rFonts w:ascii="Arial Narrow" w:eastAsia="Times New Roman" w:hAnsi="Arial Narrow" w:cs="Times New Roman"/>
                <w:sz w:val="20"/>
                <w:szCs w:val="20"/>
                <w:lang w:val="es-CO" w:eastAsia="es-CO"/>
              </w:rPr>
            </w:pPr>
          </w:p>
        </w:tc>
        <w:tc>
          <w:tcPr>
            <w:tcW w:w="540" w:type="pct"/>
            <w:tcBorders>
              <w:top w:val="nil"/>
              <w:left w:val="nil"/>
              <w:bottom w:val="single" w:sz="4" w:space="0" w:color="BFBFBF"/>
              <w:right w:val="nil"/>
            </w:tcBorders>
            <w:shd w:val="clear" w:color="000000" w:fill="FFFFFF"/>
            <w:vAlign w:val="center"/>
          </w:tcPr>
          <w:p w:rsidR="00F2483A" w:rsidRPr="00CD7D0F" w:rsidRDefault="00F2483A" w:rsidP="009A7C0B">
            <w:pPr>
              <w:spacing w:before="0" w:line="240" w:lineRule="auto"/>
              <w:jc w:val="center"/>
              <w:rPr>
                <w:rFonts w:ascii="Arial Narrow" w:eastAsia="Times New Roman" w:hAnsi="Arial Narrow" w:cs="Times New Roman"/>
                <w:sz w:val="20"/>
                <w:szCs w:val="20"/>
                <w:lang w:val="es-CO" w:eastAsia="es-CO"/>
              </w:rPr>
            </w:pPr>
            <w:r w:rsidRPr="00CD7D0F">
              <w:rPr>
                <w:rFonts w:ascii="Arial Narrow" w:eastAsia="Times New Roman" w:hAnsi="Arial Narrow" w:cs="Times New Roman"/>
                <w:sz w:val="20"/>
                <w:szCs w:val="20"/>
                <w:lang w:val="es-CO" w:eastAsia="es-CO"/>
              </w:rPr>
              <w:t>Resultado</w:t>
            </w:r>
          </w:p>
        </w:tc>
      </w:tr>
    </w:tbl>
    <w:p w:rsidR="00F2483A" w:rsidRPr="00D72C10" w:rsidRDefault="00F2483A" w:rsidP="00B67D4F">
      <w:pPr>
        <w:pStyle w:val="PiedeCuadro"/>
        <w:rPr>
          <w:rFonts w:eastAsiaTheme="minorHAnsi"/>
          <w:lang w:val="es-CO"/>
        </w:rPr>
      </w:pPr>
      <w:r w:rsidRPr="00D72C10">
        <w:rPr>
          <w:rFonts w:eastAsiaTheme="minorHAnsi"/>
          <w:lang w:val="es-CO"/>
        </w:rPr>
        <w:t>Fuente: DNP – SINERGIA. Página web consultada el 23/dic/2013.  Los indicadores están ordenados de acuerdo con su porcentaje de avance de mayor  a menor.</w:t>
      </w:r>
    </w:p>
    <w:p w:rsidR="00F2483A" w:rsidRPr="00D72C10" w:rsidRDefault="00F2483A" w:rsidP="00B67D4F">
      <w:pPr>
        <w:pStyle w:val="PiedeCuadro"/>
        <w:spacing w:before="0"/>
        <w:rPr>
          <w:rFonts w:eastAsiaTheme="minorHAnsi"/>
          <w:lang w:val="es-CO"/>
        </w:rPr>
      </w:pPr>
      <w:r w:rsidRPr="00D72C10">
        <w:rPr>
          <w:rFonts w:eastAsiaTheme="minorHAnsi"/>
          <w:lang w:val="es-CO"/>
        </w:rPr>
        <w:t>*Los datos señalados con asterisco fueron ajustados para calcular  el porcentaje de cumplimiento con base en los totales acumulados.</w:t>
      </w:r>
    </w:p>
    <w:p w:rsidR="00F2483A" w:rsidRPr="00CB7D19" w:rsidRDefault="00F2483A" w:rsidP="0020708C">
      <w:pPr>
        <w:pStyle w:val="Ttulo3"/>
        <w:numPr>
          <w:ilvl w:val="1"/>
          <w:numId w:val="42"/>
        </w:numPr>
        <w:spacing w:before="200" w:after="120"/>
        <w:rPr>
          <w:rFonts w:cs="Times New Roman"/>
          <w:bCs/>
          <w:smallCaps/>
          <w:color w:val="C00000"/>
          <w:spacing w:val="0"/>
          <w:sz w:val="30"/>
          <w:szCs w:val="30"/>
        </w:rPr>
      </w:pPr>
      <w:r w:rsidRPr="00CB7D19">
        <w:rPr>
          <w:rFonts w:cs="Times New Roman"/>
          <w:bCs/>
          <w:smallCaps/>
          <w:color w:val="C00000"/>
          <w:spacing w:val="0"/>
          <w:sz w:val="30"/>
          <w:szCs w:val="30"/>
        </w:rPr>
        <w:t>Seguimiento de los indicadores de resultados de</w:t>
      </w:r>
      <w:r w:rsidRPr="00A11D6D">
        <w:rPr>
          <w:sz w:val="26"/>
          <w:szCs w:val="26"/>
        </w:rPr>
        <w:t xml:space="preserve"> </w:t>
      </w:r>
      <w:r w:rsidRPr="00CB7D19">
        <w:rPr>
          <w:rFonts w:cs="Times New Roman"/>
          <w:bCs/>
          <w:smallCaps/>
          <w:color w:val="C00000"/>
          <w:spacing w:val="0"/>
          <w:sz w:val="30"/>
          <w:szCs w:val="30"/>
        </w:rPr>
        <w:t xml:space="preserve">la estrategia </w:t>
      </w:r>
    </w:p>
    <w:p w:rsidR="00F2483A" w:rsidRDefault="00F2483A" w:rsidP="00D01968">
      <w:r>
        <w:t xml:space="preserve">Como parte de los mecanismos de seguimiento del Plan de Desarrollo 2010-2014 en el sub-componente de “Infraestructura para la competitividad”, el </w:t>
      </w:r>
      <w:r w:rsidR="00EA6B2E">
        <w:rPr>
          <w:rFonts w:eastAsia="Calibri" w:cs="Times New Roman"/>
        </w:rPr>
        <w:t>MINTIC</w:t>
      </w:r>
      <w:r w:rsidR="00EA6B2E">
        <w:t xml:space="preserve"> </w:t>
      </w:r>
      <w:r>
        <w:t xml:space="preserve">reporta al DNP, a través de SINERGIA, un conjunto de indicadores que dan información sobre el avance de los diferentes programas que integran la estrategia del Plan Vive Digital, que forma parte de esa sub-componente. El Cuadro 1.1 presenta para cada uno de los 26 indicadores complementarios a los tres (3) principales definidos en la estrategia, para los cuales se cuenta con información, los valores del indicador en línea de base (año 2010), las metas (año 2014), los resultados alcanzados  en el año 2013, estimados por el Ministerio, y el porcentaje de avance (%) en los primeros tres años. Los resultados se han ordenado de mayor a menor valor del % de avance. </w:t>
      </w:r>
    </w:p>
    <w:p w:rsidR="00F2483A" w:rsidRDefault="00F2483A" w:rsidP="00D01968">
      <w:r w:rsidRPr="0039553B">
        <w:lastRenderedPageBreak/>
        <w:t>Como puede observarse</w:t>
      </w:r>
      <w:r>
        <w:t>,</w:t>
      </w:r>
      <w:r w:rsidRPr="0039553B">
        <w:t xml:space="preserve"> hay un primer conjunto de seis indicadores donde ya se han superado las metas formuladas para el año 2014. Estos son: </w:t>
      </w:r>
    </w:p>
    <w:p w:rsidR="00F2483A" w:rsidRDefault="00F2483A" w:rsidP="00D01968">
      <w:r w:rsidRPr="0039553B">
        <w:t xml:space="preserve">1. </w:t>
      </w:r>
      <w:r>
        <w:t xml:space="preserve">Los computadores entregados a sedes beneficiarias, </w:t>
      </w:r>
    </w:p>
    <w:p w:rsidR="00F2483A" w:rsidRDefault="00F2483A" w:rsidP="00D01968">
      <w:r>
        <w:t>2. L</w:t>
      </w:r>
      <w:r w:rsidRPr="0039553B">
        <w:t>as toneladas de residuos</w:t>
      </w:r>
      <w:r>
        <w:t xml:space="preserve"> electrónicos procesados, </w:t>
      </w:r>
    </w:p>
    <w:p w:rsidR="00F2483A" w:rsidRDefault="00F2483A" w:rsidP="00D01968">
      <w:r>
        <w:t>3. Las cabeceras municipales con cobertura de fibra óptica,</w:t>
      </w:r>
    </w:p>
    <w:p w:rsidR="00F2483A" w:rsidRDefault="00F2483A" w:rsidP="00D01968">
      <w:r>
        <w:t>4. Los usuarios de Internet por cada 100 habitantes,</w:t>
      </w:r>
    </w:p>
    <w:p w:rsidR="00F2483A" w:rsidRDefault="00F2483A" w:rsidP="00D01968">
      <w:r>
        <w:t>5. Las terminales entregadas a sedes beneficiarias en municipios de consolidación, y</w:t>
      </w:r>
    </w:p>
    <w:p w:rsidR="00F2483A" w:rsidRDefault="00F2483A" w:rsidP="00D01968">
      <w:r>
        <w:t>6. Los abonados a telefonía móvil por cada 100 habitantes.</w:t>
      </w:r>
    </w:p>
    <w:p w:rsidR="00F2483A" w:rsidRDefault="00F2483A" w:rsidP="00D01968">
      <w:r>
        <w:t>Un séptimo indicador que se acerca mucho a la meta planteada es el:</w:t>
      </w:r>
    </w:p>
    <w:p w:rsidR="00F2483A" w:rsidRDefault="00F2483A" w:rsidP="00D01968">
      <w:r>
        <w:t>7. C</w:t>
      </w:r>
      <w:r w:rsidRPr="00230CD6">
        <w:t>abeceras municipales con cobertura 3G</w:t>
      </w:r>
      <w:r>
        <w:t>, que alcanzó en el año 2013 el 99% de la meta, con 99 cabeceras con 3G.</w:t>
      </w:r>
    </w:p>
    <w:p w:rsidR="00F2483A" w:rsidRDefault="00F2483A" w:rsidP="00D01968">
      <w:r>
        <w:t xml:space="preserve">Al otro extremo, hay cuatro indicadores para los cuales el % de avance es relativamente bajo por estar por debajo de 1/3. Estos indicadores son: </w:t>
      </w:r>
    </w:p>
    <w:p w:rsidR="00F2483A" w:rsidRDefault="00F2483A" w:rsidP="00D01968">
      <w:r>
        <w:t>22. Kioscos Vive Digital instalados con el 32.9% de avance,</w:t>
      </w:r>
    </w:p>
    <w:p w:rsidR="00F2483A" w:rsidRDefault="00F2483A" w:rsidP="00D01968">
      <w:r>
        <w:t>23. Acceso a televisión digital terrestre, con sólo el 10.7% de avance,</w:t>
      </w:r>
    </w:p>
    <w:p w:rsidR="00F2483A" w:rsidRDefault="00F2483A" w:rsidP="00D01968">
      <w:r>
        <w:t>24. Puntos Vive Digital en acción, con sólo el</w:t>
      </w:r>
      <w:r w:rsidR="008C7B1F">
        <w:t xml:space="preserve"> </w:t>
      </w:r>
      <w:r>
        <w:t>8.9% de avance, y</w:t>
      </w:r>
    </w:p>
    <w:p w:rsidR="00F2483A" w:rsidRDefault="00F2483A" w:rsidP="00D01968">
      <w:r>
        <w:t>25. Capacidad internacional de tráfico de información en el país, con un avance de 7% frente a la meta planteada.</w:t>
      </w:r>
    </w:p>
    <w:p w:rsidR="00F2483A" w:rsidRDefault="00F2483A" w:rsidP="00D01968">
      <w:r>
        <w:t>El muy bajo avance del acceso a televisión pública, (como se observó en los talleres Delphos con las autoridades del sector) se explica con el hecho de que</w:t>
      </w:r>
      <w:r w:rsidRPr="00733466">
        <w:t xml:space="preserve"> hace falta que el Plan Vive Digital profundice más en servicios distintos a internet: </w:t>
      </w:r>
      <w:r w:rsidRPr="00733466">
        <w:rPr>
          <w:i/>
        </w:rPr>
        <w:t>“El sector TIC es más que internet”</w:t>
      </w:r>
      <w:r>
        <w:rPr>
          <w:rStyle w:val="Refdenotaalpie"/>
          <w:i/>
        </w:rPr>
        <w:footnoteReference w:id="3"/>
      </w:r>
      <w:r w:rsidRPr="00733466">
        <w:t xml:space="preserve"> ; los temas de televisión, radio y servicio postal tienen aún oportunidades para avanzar.</w:t>
      </w:r>
      <w:r>
        <w:t xml:space="preserve"> </w:t>
      </w:r>
    </w:p>
    <w:p w:rsidR="00F2483A" w:rsidRDefault="00F2483A" w:rsidP="00D01968">
      <w:r>
        <w:t xml:space="preserve">En medio de estos dos grupos de rápido y lento avance hacia las metas fijadas, hay un grupo intermedio, donde el avance con respecto a las metas se sitúa entre 36.3% y </w:t>
      </w:r>
      <w:r>
        <w:lastRenderedPageBreak/>
        <w:t>95.3%. De estos indicadores hay un avance sobresaliente, dado que en tres años cumplen más del 80% de la meta,  en los siguientes siete indicadores:</w:t>
      </w:r>
    </w:p>
    <w:p w:rsidR="00F2483A" w:rsidRDefault="00F2483A" w:rsidP="00D01968">
      <w:r>
        <w:t>8. Oficinas de 472 que ofrecen servicios financieros, con un 95,3% de avance,</w:t>
      </w:r>
    </w:p>
    <w:p w:rsidR="00F2483A" w:rsidRDefault="00F2483A" w:rsidP="00D01968">
      <w:r>
        <w:t>9. Servidores públicos certificados en el uso de TIC, con 91,6% de avance,</w:t>
      </w:r>
    </w:p>
    <w:p w:rsidR="00F2483A" w:rsidRDefault="00F2483A" w:rsidP="00D01968">
      <w:r>
        <w:t>10. Acceso a televisión pública con 91.3% de cobertura,</w:t>
      </w:r>
    </w:p>
    <w:p w:rsidR="00F2483A" w:rsidRDefault="00F2483A" w:rsidP="00D01968">
      <w:r>
        <w:t>11. Conexiones a Internet, con 81.8% de avance,</w:t>
      </w:r>
    </w:p>
    <w:p w:rsidR="00F2483A" w:rsidRDefault="00F2483A" w:rsidP="00D01968">
      <w:r>
        <w:t>12. Regiones (departamentos) vinculadas a la estrategia Vive Digital, con un avance de 81.3%,</w:t>
      </w:r>
    </w:p>
    <w:p w:rsidR="00F2483A" w:rsidRDefault="00F2483A" w:rsidP="00D01968">
      <w:r>
        <w:t>13. Población con cobertura 4G, con un avance de 80.9%,  y</w:t>
      </w:r>
    </w:p>
    <w:p w:rsidR="00F2483A" w:rsidRDefault="00F2483A" w:rsidP="00D01968">
      <w:r>
        <w:t>14. Entidades del Gobierno Nacional con un índice alto de gobierno en línea, con el 80.6%.</w:t>
      </w:r>
    </w:p>
    <w:p w:rsidR="00CB7D19" w:rsidRPr="001F6281" w:rsidRDefault="00CB7D19" w:rsidP="00D01968">
      <w:bookmarkStart w:id="83" w:name="_Toc374109412"/>
      <w:r>
        <w:t>E</w:t>
      </w:r>
      <w:r w:rsidR="009A7C0B">
        <w:t>n conclusión, e</w:t>
      </w:r>
      <w:r>
        <w:t>stos resultados muestran ritmos muy diversos de avance a nivel nacional según el tipo de indicador.</w:t>
      </w:r>
      <w:r w:rsidR="009A7C0B">
        <w:t xml:space="preserve"> A continuación se profundiza en la situación observada hasta el año 2013 con las principales dimensiones relacionadas con los objetivos del </w:t>
      </w:r>
      <w:r w:rsidR="0054637E">
        <w:t>Plan</w:t>
      </w:r>
      <w:r w:rsidR="009A7C0B">
        <w:t xml:space="preserve"> </w:t>
      </w:r>
      <w:r w:rsidR="00845F87">
        <w:t>Vive Digital.</w:t>
      </w:r>
    </w:p>
    <w:p w:rsidR="00D11937" w:rsidRPr="00824551" w:rsidRDefault="00D11937" w:rsidP="00D01968">
      <w:pPr>
        <w:pStyle w:val="Ttulo3"/>
        <w:numPr>
          <w:ilvl w:val="2"/>
          <w:numId w:val="42"/>
        </w:numPr>
        <w:rPr>
          <w:sz w:val="26"/>
          <w:szCs w:val="26"/>
        </w:rPr>
      </w:pPr>
      <w:r w:rsidRPr="00824551">
        <w:rPr>
          <w:sz w:val="26"/>
          <w:szCs w:val="26"/>
        </w:rPr>
        <w:t>Evolución del acceso a internet</w:t>
      </w:r>
      <w:bookmarkEnd w:id="83"/>
      <w:r w:rsidRPr="00824551">
        <w:rPr>
          <w:sz w:val="26"/>
          <w:szCs w:val="26"/>
        </w:rPr>
        <w:t xml:space="preserve"> </w:t>
      </w:r>
    </w:p>
    <w:p w:rsidR="00D11937" w:rsidRDefault="00D11937" w:rsidP="00D01968">
      <w:r w:rsidRPr="00E75862">
        <w:t xml:space="preserve">Dos de los tres indicadores principales propuestos para el seguimiento del </w:t>
      </w:r>
      <w:r w:rsidR="00D72C10">
        <w:t>P</w:t>
      </w:r>
      <w:r w:rsidRPr="00E75862">
        <w:t>lan Vive Digital se refieren a la evolució</w:t>
      </w:r>
      <w:r>
        <w:t>n de la penetración de Internet; como se mencionó</w:t>
      </w:r>
      <w:r>
        <w:rPr>
          <w:rStyle w:val="Refdenotaalpie"/>
        </w:rPr>
        <w:footnoteReference w:id="4"/>
      </w:r>
      <w:r>
        <w:t>:</w:t>
      </w:r>
    </w:p>
    <w:p w:rsidR="00D11937" w:rsidRDefault="00D11937" w:rsidP="00D01968">
      <w:pPr>
        <w:pStyle w:val="Prrafodelista"/>
        <w:numPr>
          <w:ilvl w:val="0"/>
          <w:numId w:val="29"/>
        </w:numPr>
        <w:contextualSpacing w:val="0"/>
      </w:pPr>
      <w:r w:rsidRPr="00E75862">
        <w:t>Multiplicar por 4 el número de conexiones a Internet.</w:t>
      </w:r>
    </w:p>
    <w:p w:rsidR="00D11937" w:rsidRDefault="00D11937" w:rsidP="00D01968">
      <w:pPr>
        <w:pStyle w:val="Prrafodelista"/>
        <w:numPr>
          <w:ilvl w:val="0"/>
          <w:numId w:val="30"/>
        </w:numPr>
        <w:contextualSpacing w:val="0"/>
      </w:pPr>
      <w:r w:rsidRPr="00E75862">
        <w:t>Logra</w:t>
      </w:r>
      <w:r>
        <w:t>r que el 50% de hogares y Mipyme</w:t>
      </w:r>
      <w:r w:rsidRPr="00E75862">
        <w:t xml:space="preserve">s estén </w:t>
      </w:r>
      <w:r w:rsidR="00180154">
        <w:t>conectados a Internet.</w:t>
      </w:r>
    </w:p>
    <w:p w:rsidR="00D11937" w:rsidRDefault="00D11937" w:rsidP="00D01968">
      <w:r>
        <w:t>Así mismo, en cua</w:t>
      </w:r>
      <w:r w:rsidRPr="00E75862">
        <w:t xml:space="preserve">nto a indicadores complementarios relacionados, se </w:t>
      </w:r>
      <w:r w:rsidR="009A7C0B">
        <w:t>incluyen los siguientes</w:t>
      </w:r>
      <w:r w:rsidRPr="00E75862">
        <w:t xml:space="preserve">: </w:t>
      </w:r>
    </w:p>
    <w:p w:rsidR="00D11937" w:rsidRDefault="00D11937" w:rsidP="00D01968">
      <w:pPr>
        <w:pStyle w:val="Prrafodelista"/>
        <w:numPr>
          <w:ilvl w:val="0"/>
          <w:numId w:val="30"/>
        </w:numPr>
        <w:contextualSpacing w:val="0"/>
      </w:pPr>
      <w:r>
        <w:t>N</w:t>
      </w:r>
      <w:r w:rsidRPr="00E75862">
        <w:t xml:space="preserve">úmero de conexiones de banda ancha Vive Digital, </w:t>
      </w:r>
    </w:p>
    <w:p w:rsidR="00D11937" w:rsidRDefault="00D11937" w:rsidP="00D01968">
      <w:pPr>
        <w:pStyle w:val="Prrafodelista"/>
        <w:numPr>
          <w:ilvl w:val="0"/>
          <w:numId w:val="31"/>
        </w:numPr>
        <w:contextualSpacing w:val="0"/>
      </w:pPr>
      <w:r>
        <w:t>N</w:t>
      </w:r>
      <w:r w:rsidRPr="00E75862">
        <w:t xml:space="preserve">úmero de conexiones a Internet, y </w:t>
      </w:r>
    </w:p>
    <w:p w:rsidR="00D11937" w:rsidRPr="00E75862" w:rsidRDefault="00D11937" w:rsidP="00D01968">
      <w:pPr>
        <w:pStyle w:val="Prrafodelista"/>
        <w:numPr>
          <w:ilvl w:val="0"/>
          <w:numId w:val="32"/>
        </w:numPr>
        <w:contextualSpacing w:val="0"/>
      </w:pPr>
      <w:r>
        <w:t>U</w:t>
      </w:r>
      <w:r w:rsidRPr="00E75862">
        <w:t>suarios de Internet por cada 100 habitantes.</w:t>
      </w:r>
    </w:p>
    <w:p w:rsidR="00D11937" w:rsidRPr="00E75862" w:rsidRDefault="009A7C0B" w:rsidP="00D01968">
      <w:r>
        <w:lastRenderedPageBreak/>
        <w:t>Esta lista corta indica</w:t>
      </w:r>
      <w:r w:rsidR="00D11937" w:rsidRPr="00E75862">
        <w:t xml:space="preserve"> que</w:t>
      </w:r>
      <w:r>
        <w:t>,</w:t>
      </w:r>
      <w:r w:rsidR="00D11937" w:rsidRPr="00E75862">
        <w:t xml:space="preserve"> en últimas</w:t>
      </w:r>
      <w:r>
        <w:t>,</w:t>
      </w:r>
      <w:r w:rsidR="00D11937" w:rsidRPr="00E75862">
        <w:t xml:space="preserve"> existe un gran énfasis en el logro de metas relacionadas con el cubrimiento y penetración del servicio de acceso a Internet</w:t>
      </w:r>
      <w:r w:rsidR="00180154">
        <w:t>,</w:t>
      </w:r>
      <w:r w:rsidR="00D11937" w:rsidRPr="00E75862">
        <w:t xml:space="preserve"> tanto en su forma fija como móvil</w:t>
      </w:r>
      <w:r w:rsidR="00180154">
        <w:t xml:space="preserve"> y</w:t>
      </w:r>
      <w:r w:rsidR="00D11937" w:rsidRPr="00E75862">
        <w:t xml:space="preserve"> tanto en banda ancha como en banda angosta.</w:t>
      </w:r>
    </w:p>
    <w:p w:rsidR="00D11937" w:rsidRDefault="00D11937" w:rsidP="00D01968">
      <w:r w:rsidRPr="00E75862">
        <w:t>Considerando lo anterior, se presenta</w:t>
      </w:r>
      <w:r w:rsidR="00180154">
        <w:t>n,</w:t>
      </w:r>
      <w:r w:rsidRPr="00E75862">
        <w:t xml:space="preserve"> entonces</w:t>
      </w:r>
      <w:r w:rsidR="00180154">
        <w:t>, en este aparte</w:t>
      </w:r>
      <w:r w:rsidRPr="00E75862">
        <w:t xml:space="preserve"> los elementos más relevantes desagregados respecto del acceso a Internet</w:t>
      </w:r>
      <w:r w:rsidR="00180154">
        <w:t>,</w:t>
      </w:r>
      <w:r w:rsidRPr="00E75862">
        <w:t xml:space="preserve"> tanto</w:t>
      </w:r>
      <w:r w:rsidR="00180154">
        <w:t xml:space="preserve"> en lo</w:t>
      </w:r>
      <w:r w:rsidRPr="00E75862">
        <w:t xml:space="preserve"> referentes al análisis general del sector</w:t>
      </w:r>
      <w:r>
        <w:rPr>
          <w:rStyle w:val="Refdenotaalpie"/>
        </w:rPr>
        <w:footnoteReference w:id="5"/>
      </w:r>
      <w:r w:rsidRPr="00E75862">
        <w:t>, como a la desagregación de dicha información en cuanto a las formas de Internet.</w:t>
      </w:r>
    </w:p>
    <w:p w:rsidR="00D11937" w:rsidRDefault="00D11937" w:rsidP="00D01968">
      <w:r>
        <w:t xml:space="preserve">Al analizar la evolución de los accesos a Internet desde una línea base en el primer trimestre de 2010, hasta un corte al segundo trimestre de 2013, se evidencia un crecimiento sustancial de </w:t>
      </w:r>
      <w:r w:rsidR="00180154">
        <w:t>suscriptores tanto de Internet F</w:t>
      </w:r>
      <w:r>
        <w:t>ijo como Móvil, siendo esta última tecnología la de más alto crecimiento.</w:t>
      </w:r>
    </w:p>
    <w:p w:rsidR="00D11937" w:rsidRDefault="00D11937" w:rsidP="00D01968">
      <w:r>
        <w:t>Lo anterior resulta en un crecimiento muy importante del número de suscriptores de los accesos Vive Digital</w:t>
      </w:r>
      <w:r>
        <w:rPr>
          <w:rStyle w:val="Refdenotaalpie"/>
        </w:rPr>
        <w:footnoteReference w:id="6"/>
      </w:r>
      <w:r>
        <w:t>. Esta masa de suscriptores puede ser relacionada</w:t>
      </w:r>
      <w:r w:rsidR="00180154">
        <w:t>,</w:t>
      </w:r>
      <w:r>
        <w:t xml:space="preserve"> bien</w:t>
      </w:r>
      <w:r w:rsidR="00180154">
        <w:t xml:space="preserve"> con la masa total de población</w:t>
      </w:r>
      <w:r>
        <w:t xml:space="preserve"> o con la masa de hogares y/o de viviendas ocupadas</w:t>
      </w:r>
      <w:r>
        <w:rPr>
          <w:rStyle w:val="Refdenotaalpie"/>
        </w:rPr>
        <w:footnoteReference w:id="7"/>
      </w:r>
      <w:r>
        <w:t>, lo cual resulta en índices de penetración del servicio que para el caso de accesos fijos, al analizarlo sobre la unidad pertinente de hogares, resulta en un crecimiento de la penetración de Internet dedicado de un 17.5% de los hogares en 2010 a un 32.5% en 2013 I trimestre</w:t>
      </w:r>
      <w:r w:rsidR="00CB7D19">
        <w:t>. E</w:t>
      </w:r>
      <w:r>
        <w:t>ste es sin duda un avance significativo que permite evidenciar que cerca de la tercera parte de los hogares del país ya contarían con accesos de banda ancha fijos</w:t>
      </w:r>
      <w:r w:rsidR="00180154">
        <w:t xml:space="preserve"> en el año 2013</w:t>
      </w:r>
      <w:r>
        <w:t>. Cabe resaltar que al discriminar específicamente los accesos residenciales esta proporción se reduce ligeramente a cerca del 30%.</w:t>
      </w:r>
    </w:p>
    <w:p w:rsidR="00D11937" w:rsidRPr="009A7C0B" w:rsidRDefault="00D11937" w:rsidP="00D11937">
      <w:pPr>
        <w:pStyle w:val="T-Figura"/>
        <w:rPr>
          <w:sz w:val="18"/>
          <w:szCs w:val="18"/>
        </w:rPr>
      </w:pPr>
      <w:r w:rsidRPr="009A7C0B">
        <w:rPr>
          <w:sz w:val="18"/>
          <w:szCs w:val="18"/>
        </w:rPr>
        <w:t>Cuadro 1.2 – Evolución accesos</w:t>
      </w:r>
      <w:r w:rsidR="009A7C0B">
        <w:rPr>
          <w:sz w:val="18"/>
          <w:szCs w:val="18"/>
        </w:rPr>
        <w:t xml:space="preserve"> a</w:t>
      </w:r>
      <w:r w:rsidRPr="009A7C0B">
        <w:rPr>
          <w:sz w:val="18"/>
          <w:szCs w:val="18"/>
        </w:rPr>
        <w:t xml:space="preserve"> Internet fijos y móviles</w:t>
      </w:r>
    </w:p>
    <w:p w:rsidR="00D11937" w:rsidRPr="009A7C0B" w:rsidRDefault="00D11937" w:rsidP="00D11937">
      <w:pPr>
        <w:spacing w:before="120" w:after="120"/>
        <w:rPr>
          <w:sz w:val="28"/>
          <w:szCs w:val="28"/>
        </w:rPr>
      </w:pPr>
      <w:r w:rsidRPr="009A7C0B">
        <w:rPr>
          <w:noProof/>
          <w:sz w:val="28"/>
          <w:szCs w:val="28"/>
          <w:lang w:val="es-CO" w:eastAsia="es-CO"/>
        </w:rPr>
        <w:drawing>
          <wp:inline distT="0" distB="0" distL="0" distR="0">
            <wp:extent cx="5600700" cy="130492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0700" cy="1304925"/>
                    </a:xfrm>
                    <a:prstGeom prst="rect">
                      <a:avLst/>
                    </a:prstGeom>
                    <a:noFill/>
                    <a:ln>
                      <a:noFill/>
                    </a:ln>
                  </pic:spPr>
                </pic:pic>
              </a:graphicData>
            </a:graphic>
          </wp:inline>
        </w:drawing>
      </w:r>
    </w:p>
    <w:p w:rsidR="00D11937" w:rsidRPr="00D72C10" w:rsidRDefault="00D11937" w:rsidP="00B67D4F">
      <w:pPr>
        <w:pStyle w:val="PiedeCuadro"/>
        <w:rPr>
          <w:noProof/>
        </w:rPr>
      </w:pPr>
      <w:r w:rsidRPr="00D72C10">
        <w:rPr>
          <w:noProof/>
        </w:rPr>
        <w:t>Fuente: Cálculos propios basados en datos base de informes del MINTIC e información de población, viviendas y hogares del DANE</w:t>
      </w:r>
    </w:p>
    <w:p w:rsidR="00D11937" w:rsidRDefault="00D11937" w:rsidP="00D11937">
      <w:pPr>
        <w:spacing w:before="120" w:after="120"/>
      </w:pPr>
      <w:r>
        <w:lastRenderedPageBreak/>
        <w:t xml:space="preserve">En el análisis de tenencia del servicio de Internet en el hogar a través de las encuestas de calidad de vida (ECV) del DANE, el total nacional varía desde un 21.1% en 2010 a un 32.1% en 2012, en línea con el análisis anterior relacionado con la relación suscriptores – hogares. </w:t>
      </w:r>
    </w:p>
    <w:p w:rsidR="00D11937" w:rsidRDefault="00D11937" w:rsidP="00D11937">
      <w:pPr>
        <w:spacing w:before="120" w:after="120"/>
      </w:pPr>
      <w:r>
        <w:t>En las encuestas generales de hogares del DANE, donde se encuentran áreas discriminadas en el estudio, se evidencian diferencias regionales importantes, pero en todo caso se muestra un crecimiento sostenido de la penetración en la totalidad de mercados considerados, a excepción del departamento de Boyacá y el departamento de Chocó con una leve contracción en el semestre I de 2013.</w:t>
      </w:r>
    </w:p>
    <w:p w:rsidR="00D11937" w:rsidRPr="00847EBD" w:rsidRDefault="00D11937" w:rsidP="00D11937">
      <w:pPr>
        <w:pStyle w:val="T-Figura"/>
      </w:pPr>
      <w:r w:rsidRPr="00847EBD">
        <w:t xml:space="preserve">Figura </w:t>
      </w:r>
      <w:r>
        <w:t>1.</w:t>
      </w:r>
      <w:r w:rsidRPr="00847EBD">
        <w:t xml:space="preserve">1 </w:t>
      </w:r>
      <w:r>
        <w:t>–</w:t>
      </w:r>
      <w:r w:rsidRPr="00847EBD">
        <w:t xml:space="preserve"> </w:t>
      </w:r>
      <w:r>
        <w:t>Evolución tenencia servicio Internet en el hogar</w:t>
      </w:r>
    </w:p>
    <w:p w:rsidR="00D11937" w:rsidRDefault="00D11937" w:rsidP="00D11937">
      <w:pPr>
        <w:spacing w:before="120" w:after="120"/>
      </w:pPr>
      <w:r>
        <w:rPr>
          <w:noProof/>
          <w:lang w:val="es-CO" w:eastAsia="es-CO"/>
        </w:rPr>
        <w:drawing>
          <wp:inline distT="0" distB="0" distL="0" distR="0">
            <wp:extent cx="5592726" cy="3359888"/>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0700" cy="3364678"/>
                    </a:xfrm>
                    <a:prstGeom prst="rect">
                      <a:avLst/>
                    </a:prstGeom>
                    <a:noFill/>
                    <a:ln>
                      <a:noFill/>
                    </a:ln>
                  </pic:spPr>
                </pic:pic>
              </a:graphicData>
            </a:graphic>
          </wp:inline>
        </w:drawing>
      </w:r>
    </w:p>
    <w:p w:rsidR="00D11937" w:rsidRPr="00B67D4F" w:rsidRDefault="00D11937" w:rsidP="00B67D4F">
      <w:pPr>
        <w:pStyle w:val="PiedeCuadro"/>
      </w:pPr>
      <w:r w:rsidRPr="00B67D4F">
        <w:t>Fuente: DANE GEIH</w:t>
      </w:r>
    </w:p>
    <w:p w:rsidR="00D11937" w:rsidRDefault="00D11937" w:rsidP="00D11937">
      <w:pPr>
        <w:spacing w:before="120" w:after="120"/>
      </w:pPr>
      <w:r>
        <w:t>En cuanto a los accesos móviles por suscripción en tecnologías de 3G o superiores, la penetración de este tipo de servicios debiera ser considerada preferentemente sobre el total de la población, lo cual resulta en una incremento de penetración de 2.1% a un 8% en el mismo periodo</w:t>
      </w:r>
      <w:r w:rsidR="00180154">
        <w:t>,</w:t>
      </w:r>
      <w:r>
        <w:t xml:space="preserve"> cuando se consideran los datos reportados de suscriptores.</w:t>
      </w:r>
    </w:p>
    <w:p w:rsidR="00D11937" w:rsidRDefault="00D11937" w:rsidP="00D11937">
      <w:pPr>
        <w:spacing w:before="120" w:after="120"/>
      </w:pPr>
      <w:r>
        <w:t>Estos accesos, combinados con los accesos de banda ancha fija, se</w:t>
      </w:r>
      <w:r w:rsidR="00180154">
        <w:t xml:space="preserve"> agregan en la metodología del Plan Vive D</w:t>
      </w:r>
      <w:r>
        <w:t xml:space="preserve">igital como accesos Vive Digital, los cuales tienen una meta global de 8.8 millones de accesos al final del 2014, meta que al cierre del semestre I de 2013 supera ya el 80%, un año y medio antes de la fecha límite para su </w:t>
      </w:r>
      <w:r>
        <w:lastRenderedPageBreak/>
        <w:t>cumplimiento, lo cual es un logro significativo de uno de los tres parámetros</w:t>
      </w:r>
      <w:r w:rsidR="002B688D">
        <w:t xml:space="preserve"> base de la meta principal del P</w:t>
      </w:r>
      <w:r>
        <w:t>lan.</w:t>
      </w:r>
    </w:p>
    <w:p w:rsidR="00D11937" w:rsidRDefault="00180154" w:rsidP="00D11937">
      <w:pPr>
        <w:spacing w:before="120" w:after="120"/>
      </w:pPr>
      <w:r>
        <w:t>Ahora bien, des</w:t>
      </w:r>
      <w:r w:rsidR="00D11937">
        <w:t xml:space="preserve">de el punto de vista del impacto sobre población </w:t>
      </w:r>
      <w:r>
        <w:t>en cuanto al acceso a Internet</w:t>
      </w:r>
      <w:r w:rsidR="00D11937">
        <w:t>, se recomienda considerar que en el caso de servicios fijos y móviles existe un grupo de usuarios que pude ser simultáneamente suscriptor de servicios fijos y de servicios móviles (Según la ECV del DANE para 2012, de los hogares que cuentan con Internet, un 69.3% tenían solo acceso fijo, un 21.9% móvil, y un 8.8% ambos); con lo cual, a efectos de evaluar la penetración general en hogares se recomienda considerar el dato específico de suscriptores desagregados en estas tres categorías respecto al total de hogares, los cuales en su agregado muestran, como se dijo, un crecimiento importante y un alcance de una porción alta de la población.</w:t>
      </w:r>
    </w:p>
    <w:p w:rsidR="00D11937" w:rsidRDefault="00D11937" w:rsidP="00D11937">
      <w:pPr>
        <w:spacing w:before="120" w:after="120"/>
      </w:pPr>
      <w:r>
        <w:t xml:space="preserve">Debe resaltarse que, en todo caso, conforme a la información del DANE por regiones y </w:t>
      </w:r>
      <w:r w:rsidR="00180154">
        <w:t>al resultante del análisis del C</w:t>
      </w:r>
      <w:r>
        <w:t>apítulo 2,</w:t>
      </w:r>
      <w:r w:rsidR="00180154">
        <w:t xml:space="preserve"> más adelante,</w:t>
      </w:r>
      <w:r>
        <w:t xml:space="preserve"> existen diferencias regionales que es importante tener en cuenta en la aproximación hacia la periferia de las redes, con lo cual es importante entender que en zonas más apartadas y en grupos de población de menores ingresos, las dinámicas de costos de prestación del servicio, economías de escala y capacidad de pago promedio de la población implica un mayor énfasis en soluciones de acceso comunitario.</w:t>
      </w:r>
    </w:p>
    <w:p w:rsidR="00D11937" w:rsidRDefault="00D11937" w:rsidP="00D11937">
      <w:pPr>
        <w:spacing w:before="120" w:after="120"/>
      </w:pPr>
      <w:r>
        <w:t>Cabe destacar que la mayor porción de hogares que no tienen acceso a Internet en casa refieren como motivo su costo, con lo cual la barrera de capacidad de pago sigue siendo determinante (ECV 2012).</w:t>
      </w:r>
    </w:p>
    <w:p w:rsidR="00D11937" w:rsidRPr="00847EBD" w:rsidRDefault="00D11937" w:rsidP="00837847">
      <w:pPr>
        <w:pStyle w:val="T-Figura"/>
        <w:spacing w:after="0"/>
      </w:pPr>
      <w:r w:rsidRPr="00847EBD">
        <w:t xml:space="preserve">Figura </w:t>
      </w:r>
      <w:r>
        <w:t>1.2</w:t>
      </w:r>
      <w:r w:rsidRPr="00847EBD">
        <w:t xml:space="preserve"> </w:t>
      </w:r>
      <w:r>
        <w:t>–</w:t>
      </w:r>
      <w:r w:rsidRPr="00847EBD">
        <w:t xml:space="preserve"> </w:t>
      </w:r>
      <w:r>
        <w:t>Razones para no tenencia servicio Internet en el hogar</w:t>
      </w:r>
    </w:p>
    <w:p w:rsidR="00D11937" w:rsidRPr="00AA71FC" w:rsidRDefault="00D11937" w:rsidP="00837847">
      <w:pPr>
        <w:spacing w:before="0"/>
        <w:jc w:val="center"/>
      </w:pPr>
      <w:r>
        <w:rPr>
          <w:noProof/>
          <w:lang w:val="es-CO" w:eastAsia="es-CO"/>
        </w:rPr>
        <w:drawing>
          <wp:inline distT="0" distB="0" distL="0" distR="0">
            <wp:extent cx="4533900" cy="296227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042"/>
                    <a:stretch/>
                  </pic:blipFill>
                  <pic:spPr bwMode="auto">
                    <a:xfrm>
                      <a:off x="0" y="0"/>
                      <a:ext cx="4533900" cy="2962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11937" w:rsidRPr="00D72C10" w:rsidRDefault="00D11937" w:rsidP="00837847">
      <w:pPr>
        <w:pStyle w:val="PiedeCuadro"/>
        <w:spacing w:before="0"/>
        <w:rPr>
          <w:sz w:val="20"/>
        </w:rPr>
      </w:pPr>
      <w:r w:rsidRPr="00D72C10">
        <w:rPr>
          <w:sz w:val="20"/>
        </w:rPr>
        <w:t>Fuente: ECV 2012. DANE</w:t>
      </w:r>
    </w:p>
    <w:p w:rsidR="00D11937" w:rsidRPr="00D010C4" w:rsidRDefault="00D11937" w:rsidP="00D01968">
      <w:pPr>
        <w:pStyle w:val="Ttulo3"/>
        <w:numPr>
          <w:ilvl w:val="2"/>
          <w:numId w:val="42"/>
        </w:numPr>
        <w:rPr>
          <w:sz w:val="26"/>
          <w:szCs w:val="26"/>
        </w:rPr>
      </w:pPr>
      <w:bookmarkStart w:id="84" w:name="_Toc374109413"/>
      <w:r w:rsidRPr="00D010C4">
        <w:rPr>
          <w:sz w:val="26"/>
          <w:szCs w:val="26"/>
        </w:rPr>
        <w:lastRenderedPageBreak/>
        <w:t>Penetración del plan en las regiones</w:t>
      </w:r>
      <w:bookmarkEnd w:id="84"/>
    </w:p>
    <w:p w:rsidR="00D11937" w:rsidRDefault="00D11937" w:rsidP="00D01968">
      <w:r w:rsidRPr="00217C43">
        <w:t>Como se observa en el cuad</w:t>
      </w:r>
      <w:r>
        <w:t>ro 2</w:t>
      </w:r>
      <w:r w:rsidRPr="00217C43">
        <w:t>.1 de evolución de indicadores, este es uno de los 10 primeros en cumplimiento: en 2012, 26 de 32 regiones ya estaban vinculadas a la estrategia según el avance reportado en SINERGIA. En la presentación de rendición de cuentas actualizada al 15 de agosto de 2013</w:t>
      </w:r>
      <w:r w:rsidRPr="00217C43">
        <w:rPr>
          <w:rStyle w:val="Refdenotaalpie"/>
        </w:rPr>
        <w:footnoteReference w:id="8"/>
      </w:r>
      <w:r>
        <w:t>, sin embargo, se observa que la totalidad de los departamentos ya cuenta con planes de desarrollo de componente TIC.</w:t>
      </w:r>
    </w:p>
    <w:p w:rsidR="00202E90" w:rsidRDefault="00D11937" w:rsidP="00D01968">
      <w:pPr>
        <w:jc w:val="left"/>
        <w:sectPr w:rsidR="00202E90" w:rsidSect="000B0316">
          <w:footerReference w:type="default" r:id="rId20"/>
          <w:type w:val="continuous"/>
          <w:pgSz w:w="12240" w:h="15840"/>
          <w:pgMar w:top="1417" w:right="1701" w:bottom="1417" w:left="1701" w:header="708" w:footer="708" w:gutter="0"/>
          <w:pgNumType w:start="4"/>
          <w:cols w:space="708"/>
          <w:docGrid w:linePitch="360"/>
        </w:sectPr>
      </w:pPr>
      <w:r>
        <w:t>La siguiente figura muestra la presencia del plan en el país:</w:t>
      </w:r>
      <w:r w:rsidR="00D7551E">
        <w:br w:type="page"/>
      </w:r>
    </w:p>
    <w:p w:rsidR="00D11937" w:rsidRPr="00876AD1" w:rsidRDefault="00D11937" w:rsidP="00D11937">
      <w:pPr>
        <w:pStyle w:val="T-Figura"/>
      </w:pPr>
      <w:r w:rsidRPr="00847EBD">
        <w:lastRenderedPageBreak/>
        <w:t xml:space="preserve">Figura </w:t>
      </w:r>
      <w:r w:rsidR="00AE0D67">
        <w:t>1</w:t>
      </w:r>
      <w:r>
        <w:t>.3</w:t>
      </w:r>
      <w:r w:rsidR="00F552E6">
        <w:t>a</w:t>
      </w:r>
      <w:r w:rsidRPr="00847EBD">
        <w:t xml:space="preserve"> </w:t>
      </w:r>
      <w:r>
        <w:t>–</w:t>
      </w:r>
      <w:r w:rsidRPr="00847EBD">
        <w:t xml:space="preserve"> </w:t>
      </w:r>
      <w:r>
        <w:t>MINTIC en las regiones</w:t>
      </w:r>
    </w:p>
    <w:p w:rsidR="00202E90" w:rsidRDefault="00202E90" w:rsidP="00202E90">
      <w:pPr>
        <w:spacing w:before="120" w:after="120"/>
        <w:jc w:val="center"/>
        <w:rPr>
          <w:lang w:val="es-CO"/>
        </w:rPr>
      </w:pPr>
      <w:r w:rsidRPr="00202E90">
        <w:rPr>
          <w:noProof/>
          <w:lang w:val="es-CO" w:eastAsia="es-CO"/>
        </w:rPr>
        <w:drawing>
          <wp:inline distT="0" distB="0" distL="0" distR="0">
            <wp:extent cx="8244000" cy="4569739"/>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44000" cy="4569739"/>
                    </a:xfrm>
                    <a:prstGeom prst="rect">
                      <a:avLst/>
                    </a:prstGeom>
                    <a:noFill/>
                    <a:ln>
                      <a:noFill/>
                    </a:ln>
                    <a:effectLst/>
                    <a:extLst/>
                  </pic:spPr>
                </pic:pic>
              </a:graphicData>
            </a:graphic>
          </wp:inline>
        </w:drawing>
      </w:r>
    </w:p>
    <w:p w:rsidR="00F552E6" w:rsidRDefault="00F552E6" w:rsidP="00202E90">
      <w:pPr>
        <w:spacing w:before="120" w:after="120"/>
        <w:jc w:val="center"/>
        <w:rPr>
          <w:lang w:val="es-CO"/>
        </w:rPr>
      </w:pPr>
    </w:p>
    <w:p w:rsidR="00F552E6" w:rsidRDefault="00F552E6" w:rsidP="00202E90">
      <w:pPr>
        <w:spacing w:before="120" w:after="120"/>
        <w:jc w:val="center"/>
        <w:rPr>
          <w:lang w:val="es-CO"/>
        </w:rPr>
      </w:pPr>
    </w:p>
    <w:p w:rsidR="00F552E6" w:rsidRPr="00876AD1" w:rsidRDefault="00F552E6" w:rsidP="00F552E6">
      <w:pPr>
        <w:pStyle w:val="T-Figura"/>
      </w:pPr>
      <w:r w:rsidRPr="00847EBD">
        <w:lastRenderedPageBreak/>
        <w:t xml:space="preserve">Figura </w:t>
      </w:r>
      <w:r>
        <w:t>1.3b</w:t>
      </w:r>
      <w:r w:rsidRPr="00847EBD">
        <w:t xml:space="preserve"> </w:t>
      </w:r>
      <w:r>
        <w:t>–</w:t>
      </w:r>
      <w:r w:rsidRPr="00847EBD">
        <w:t xml:space="preserve"> </w:t>
      </w:r>
      <w:r>
        <w:t>MINTIC en las regiones</w:t>
      </w:r>
    </w:p>
    <w:p w:rsidR="00202E90" w:rsidRDefault="00202E90" w:rsidP="00202E90">
      <w:pPr>
        <w:spacing w:before="120" w:after="120"/>
        <w:jc w:val="center"/>
        <w:rPr>
          <w:lang w:val="es-CO"/>
        </w:rPr>
      </w:pPr>
      <w:r w:rsidRPr="00202E90">
        <w:rPr>
          <w:noProof/>
          <w:lang w:val="es-CO" w:eastAsia="es-CO"/>
        </w:rPr>
        <w:drawing>
          <wp:inline distT="0" distB="0" distL="0" distR="0">
            <wp:extent cx="8244000" cy="4568400"/>
            <wp:effectExtent l="0" t="0" r="0" b="0"/>
            <wp:docPr id="307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44000" cy="4568400"/>
                    </a:xfrm>
                    <a:prstGeom prst="rect">
                      <a:avLst/>
                    </a:prstGeom>
                    <a:noFill/>
                    <a:ln>
                      <a:noFill/>
                    </a:ln>
                    <a:effectLst/>
                    <a:extLst/>
                  </pic:spPr>
                </pic:pic>
              </a:graphicData>
            </a:graphic>
          </wp:inline>
        </w:drawing>
      </w:r>
    </w:p>
    <w:p w:rsidR="00D7551E" w:rsidRDefault="00D11937" w:rsidP="00F552E6">
      <w:pPr>
        <w:pStyle w:val="PiedeCuadro"/>
      </w:pPr>
      <w:r w:rsidRPr="00D72C10">
        <w:rPr>
          <w:sz w:val="20"/>
        </w:rPr>
        <w:t>Fuente: MINTIC, avances 2010 - 2013</w:t>
      </w:r>
    </w:p>
    <w:p w:rsidR="00202E90" w:rsidRDefault="00D7551E">
      <w:pPr>
        <w:spacing w:before="0" w:after="120"/>
        <w:sectPr w:rsidR="00202E90" w:rsidSect="00202E90">
          <w:pgSz w:w="15840" w:h="12240" w:orient="landscape"/>
          <w:pgMar w:top="1701" w:right="1418" w:bottom="1701" w:left="1418" w:header="709" w:footer="709" w:gutter="0"/>
          <w:pgNumType w:start="4"/>
          <w:cols w:space="708"/>
          <w:docGrid w:linePitch="360"/>
        </w:sectPr>
      </w:pPr>
      <w:r>
        <w:br w:type="page"/>
      </w:r>
    </w:p>
    <w:p w:rsidR="00D7551E" w:rsidRDefault="00D7551E">
      <w:pPr>
        <w:spacing w:before="0" w:after="120"/>
      </w:pPr>
    </w:p>
    <w:p w:rsidR="00D11937" w:rsidRDefault="00D11937" w:rsidP="00D01968">
      <w:r>
        <w:t xml:space="preserve">Nótese que, ya sea con Puntos Vive Digital, Aulas conectando sentidos, Computadores para educar, Vive Digital regional, Proyecto nacional de fibra óptica, Red nacional de </w:t>
      </w:r>
      <w:proofErr w:type="spellStart"/>
      <w:r>
        <w:t>Vivelab</w:t>
      </w:r>
      <w:proofErr w:type="spellEnd"/>
      <w:r>
        <w:t xml:space="preserve">, </w:t>
      </w:r>
      <w:proofErr w:type="spellStart"/>
      <w:r>
        <w:t>Redvolución</w:t>
      </w:r>
      <w:proofErr w:type="spellEnd"/>
      <w:r>
        <w:t xml:space="preserve">, en TIC confío, </w:t>
      </w:r>
      <w:proofErr w:type="spellStart"/>
      <w:r>
        <w:t>Mipy</w:t>
      </w:r>
      <w:r w:rsidR="00CC4175">
        <w:t>me</w:t>
      </w:r>
      <w:proofErr w:type="spellEnd"/>
      <w:r w:rsidR="00CC4175">
        <w:t xml:space="preserve"> Digital, Apps.co, GEL o Kiosc</w:t>
      </w:r>
      <w:r>
        <w:t xml:space="preserve">os Vive Digital, todas las regiones han sido intervenidas con al menos 4 proyectos. </w:t>
      </w:r>
    </w:p>
    <w:p w:rsidR="00D11937" w:rsidRDefault="00D11937" w:rsidP="00D01968">
      <w:r>
        <w:t>Un primer análisis de la penetración de servicios de telecomunicaciones a nivel regional, es el análisis de los servicios de telecomunicaciones con que cuentan los hogares colombianos</w:t>
      </w:r>
      <w:r>
        <w:rPr>
          <w:rStyle w:val="Refdenotaalpie"/>
        </w:rPr>
        <w:footnoteReference w:id="9"/>
      </w:r>
      <w:r>
        <w:t>.</w:t>
      </w:r>
    </w:p>
    <w:p w:rsidR="00D11937" w:rsidRDefault="00D11937" w:rsidP="00D01968">
      <w:r>
        <w:t>Para este propósito, la Gran Encuesta Integrada de Hogares (GEIH) del DANE incluye desde 2010 un módulo de servicios de telecomunicaciones que tiene el hogar. Con base en esta fuente de información se pueden observar para el total nacional y para 24 departamentos, para los cuales la muestra de hogares es representativa, la penetración en los hogares de los siguientes cuatro servicios de telecomunicaciones a nivel regional:</w:t>
      </w:r>
    </w:p>
    <w:p w:rsidR="00D11937" w:rsidRDefault="00D11937" w:rsidP="00D01968">
      <w:pPr>
        <w:pStyle w:val="Prrafodelista"/>
        <w:numPr>
          <w:ilvl w:val="0"/>
          <w:numId w:val="33"/>
        </w:numPr>
        <w:ind w:left="1423" w:hanging="357"/>
        <w:contextualSpacing w:val="0"/>
      </w:pPr>
      <w:r>
        <w:t>% de hogares que tienen telefonía fija</w:t>
      </w:r>
    </w:p>
    <w:p w:rsidR="00D11937" w:rsidRDefault="00D11937" w:rsidP="00D01968">
      <w:pPr>
        <w:pStyle w:val="Prrafodelista"/>
        <w:numPr>
          <w:ilvl w:val="0"/>
          <w:numId w:val="33"/>
        </w:numPr>
        <w:ind w:left="1423" w:hanging="357"/>
        <w:contextualSpacing w:val="0"/>
      </w:pPr>
      <w:r>
        <w:t>% de hogares en los que alguno o</w:t>
      </w:r>
      <w:r w:rsidR="001F4EE6">
        <w:t xml:space="preserve"> algunos miembros tienen teléfono móvil</w:t>
      </w:r>
    </w:p>
    <w:p w:rsidR="00D11937" w:rsidRDefault="00D11937" w:rsidP="00D01968">
      <w:pPr>
        <w:pStyle w:val="Prrafodelista"/>
        <w:numPr>
          <w:ilvl w:val="0"/>
          <w:numId w:val="33"/>
        </w:numPr>
        <w:ind w:left="1423" w:hanging="357"/>
        <w:contextualSpacing w:val="0"/>
      </w:pPr>
      <w:r>
        <w:t>% de hogares que tienen televisión por suscripción</w:t>
      </w:r>
    </w:p>
    <w:p w:rsidR="00D11937" w:rsidRDefault="00D11937" w:rsidP="00D01968">
      <w:pPr>
        <w:pStyle w:val="Prrafodelista"/>
        <w:numPr>
          <w:ilvl w:val="0"/>
          <w:numId w:val="33"/>
        </w:numPr>
        <w:ind w:left="1423" w:hanging="357"/>
        <w:contextualSpacing w:val="0"/>
      </w:pPr>
      <w:r>
        <w:t>% de hogares que tienen servicio de internet.</w:t>
      </w:r>
    </w:p>
    <w:p w:rsidR="00D11937" w:rsidRDefault="00D11937" w:rsidP="00D01968">
      <w:r>
        <w:t>A continuación se discuten los resultados encontrados.</w:t>
      </w:r>
    </w:p>
    <w:p w:rsidR="00D11937" w:rsidRPr="006709F2" w:rsidRDefault="00D11937" w:rsidP="00D01968">
      <w:pPr>
        <w:pStyle w:val="Prrafodelista"/>
        <w:numPr>
          <w:ilvl w:val="0"/>
          <w:numId w:val="43"/>
        </w:numPr>
        <w:contextualSpacing w:val="0"/>
        <w:rPr>
          <w:b/>
        </w:rPr>
      </w:pPr>
      <w:r w:rsidRPr="006709F2">
        <w:rPr>
          <w:b/>
        </w:rPr>
        <w:t>Telefonía Fija</w:t>
      </w:r>
    </w:p>
    <w:p w:rsidR="00D11937" w:rsidRDefault="00D11937" w:rsidP="00D01968">
      <w:r>
        <w:t>El primer indicador regional es el porcentaje de hogares que tienen servicio de telefonía fija en el hogar. Aunque este servicio no está contemplado en el Plan Vive Digital, sí es una base muy importante para la expansión de otros servicios modernos de telecomunicaciones que usan la red fija para la transmisión de otros servicios de valor agregado, como la televisión por suscripción o el Internet de alta velocidad.</w:t>
      </w:r>
    </w:p>
    <w:p w:rsidR="00D11937" w:rsidRDefault="008B5F52" w:rsidP="00D01968">
      <w:r>
        <w:lastRenderedPageBreak/>
        <w:t>El Cuadro 1</w:t>
      </w:r>
      <w:r w:rsidR="00D11937">
        <w:t xml:space="preserve">.2 muestra que el país después de más de 100 años de existir la tecnología </w:t>
      </w:r>
      <w:r w:rsidR="00AE0D67">
        <w:t xml:space="preserve"> fija </w:t>
      </w:r>
      <w:r w:rsidR="00D11937">
        <w:t>nunca alcanzó altos niveles de cubrimiento con las redes existentes. El promedio de penetración observado a nivel nacional fue de 37.6% en el año 2010 y en los últimos tres años ha venido disminuyendo, hasta situarse en 34,4% en el primer trimestre de 2013. En este último período sólo cinco departamentos o Distritos están por encima de este promedio nacional: Antioquia, Bogotá DC, Valle, Risaralda y Santander. Bogotá DC, que era el que tenía más alta tasa de cobertura de este servicio en el 2010, perdió casi 10 puntos porcentuales en los últimos tres años y fue superado  por Antioquia, como el departamento con mayor cobertura.</w:t>
      </w:r>
    </w:p>
    <w:p w:rsidR="00D11937" w:rsidRDefault="00D11937" w:rsidP="00D01968">
      <w:r>
        <w:t xml:space="preserve">Por debajo del promedio nacional, pero por encima del 20% se tienen seis departamentos (Atlántico, Cundinamarca, Caldas, Huila, Quindío y Norte de Santander). Esta falta de cobertura del servicio de telefonía fija a nivel regional puede ser un cuello de botella para la expansión de otros servicios de telecomunicaciones. </w:t>
      </w:r>
    </w:p>
    <w:p w:rsidR="00D11937" w:rsidRPr="006B4E39" w:rsidRDefault="00D11937" w:rsidP="00D11937">
      <w:pPr>
        <w:pStyle w:val="T-Figura"/>
      </w:pPr>
      <w:r w:rsidRPr="006B4E39">
        <w:t xml:space="preserve">Cuadro </w:t>
      </w:r>
      <w:r w:rsidR="008B5F52">
        <w:t>1</w:t>
      </w:r>
      <w:r>
        <w:t>.3</w:t>
      </w:r>
      <w:r w:rsidRPr="006B4E39">
        <w:t xml:space="preserve"> - </w:t>
      </w:r>
      <w:r w:rsidRPr="00571944">
        <w:t>Porcentaje de hogares que tienen telefonía fija</w:t>
      </w:r>
    </w:p>
    <w:tbl>
      <w:tblPr>
        <w:tblW w:w="0" w:type="auto"/>
        <w:jc w:val="center"/>
        <w:tblCellMar>
          <w:left w:w="70" w:type="dxa"/>
          <w:right w:w="70" w:type="dxa"/>
        </w:tblCellMar>
        <w:tblLook w:val="04A0"/>
      </w:tblPr>
      <w:tblGrid>
        <w:gridCol w:w="1572"/>
        <w:gridCol w:w="1235"/>
        <w:gridCol w:w="1235"/>
        <w:gridCol w:w="1235"/>
        <w:gridCol w:w="1235"/>
      </w:tblGrid>
      <w:tr w:rsidR="00D11937" w:rsidRPr="00571944" w:rsidTr="001E7DC8">
        <w:trPr>
          <w:trHeight w:val="255"/>
          <w:tblHeader/>
          <w:jc w:val="center"/>
        </w:trPr>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4503E" w:rsidRDefault="00D11937" w:rsidP="001E7DC8">
            <w:pPr>
              <w:pStyle w:val="TextCuadro"/>
              <w:jc w:val="center"/>
              <w:rPr>
                <w:b/>
              </w:rPr>
            </w:pPr>
            <w:r w:rsidRPr="0024503E">
              <w:rPr>
                <w:b/>
              </w:rPr>
              <w:t>Departamento</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4503E" w:rsidRDefault="00D11937" w:rsidP="001E7DC8">
            <w:pPr>
              <w:pStyle w:val="TextCuadro"/>
              <w:jc w:val="center"/>
              <w:rPr>
                <w:b/>
              </w:rPr>
            </w:pPr>
            <w:r w:rsidRPr="0024503E">
              <w:rPr>
                <w:b/>
              </w:rPr>
              <w:t>2010</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4503E" w:rsidRDefault="00D11937" w:rsidP="001E7DC8">
            <w:pPr>
              <w:pStyle w:val="TextCuadro"/>
              <w:jc w:val="center"/>
              <w:rPr>
                <w:b/>
              </w:rPr>
            </w:pPr>
            <w:r w:rsidRPr="0024503E">
              <w:rPr>
                <w:b/>
              </w:rPr>
              <w:t>2011</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4503E" w:rsidRDefault="00D11937" w:rsidP="001E7DC8">
            <w:pPr>
              <w:pStyle w:val="TextCuadro"/>
              <w:jc w:val="center"/>
              <w:rPr>
                <w:b/>
              </w:rPr>
            </w:pPr>
            <w:r w:rsidRPr="0024503E">
              <w:rPr>
                <w:b/>
              </w:rPr>
              <w:t>2012</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4503E" w:rsidRDefault="00D11937" w:rsidP="001E7DC8">
            <w:pPr>
              <w:pStyle w:val="TextCuadro"/>
              <w:jc w:val="center"/>
              <w:rPr>
                <w:b/>
              </w:rPr>
            </w:pPr>
            <w:r w:rsidRPr="0024503E">
              <w:rPr>
                <w:b/>
              </w:rPr>
              <w:t>2013 - I</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Antioquia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65.6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63.8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60.6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61.9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Bogotá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69.5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64.5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60.1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59.8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Valle</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43.2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43.0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42.1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41.8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Risaralda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42.7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40.8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39.8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41.3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Santander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38.2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39.5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38.3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38.0 </w:t>
            </w:r>
          </w:p>
        </w:tc>
      </w:tr>
      <w:tr w:rsidR="00D11937" w:rsidRPr="00571944" w:rsidTr="001E7DC8">
        <w:trPr>
          <w:trHeight w:val="255"/>
          <w:jc w:val="center"/>
        </w:trPr>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TOTAL NACIONAL</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 xml:space="preserve">                 37.6 </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 xml:space="preserve">                 36.1 </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 xml:space="preserve">                 34.3 </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 xml:space="preserve">                 34.4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Atlántico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31.1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Cundinamarca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23.4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26.1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20.4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26.4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Caldas</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31.6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31.0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28.3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26.3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Huila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25.6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24.2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22.2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23.1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Quindío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22.7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21.1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21.5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22.5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Norte de Santander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24.6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22.7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21.9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21.0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Tolima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24.0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22.2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20.6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21.0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Bolívar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15.2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17.3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14.4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15.6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Meta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14.0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13.6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14.7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Cesar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13.0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12.8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Magdalena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13.3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Nariño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Córdoba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Cauca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9.2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Sucre</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Boyacá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Guajira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Caquetá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Chocó</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4.8 </w:t>
            </w:r>
          </w:p>
        </w:tc>
      </w:tr>
    </w:tbl>
    <w:p w:rsidR="00D11937" w:rsidRPr="00D72C10" w:rsidRDefault="00D11937" w:rsidP="0062594C">
      <w:pPr>
        <w:pStyle w:val="PiedeCuadro"/>
        <w:rPr>
          <w:sz w:val="20"/>
        </w:rPr>
      </w:pPr>
      <w:r w:rsidRPr="00D72C10">
        <w:rPr>
          <w:sz w:val="20"/>
        </w:rPr>
        <w:t>Fuente: Gran Encuesta Integrada de Hogares. DANE 2010-2013</w:t>
      </w:r>
    </w:p>
    <w:p w:rsidR="00D11937" w:rsidRPr="006709F2" w:rsidRDefault="00AE0D67" w:rsidP="0020708C">
      <w:pPr>
        <w:pStyle w:val="Prrafodelista"/>
        <w:numPr>
          <w:ilvl w:val="0"/>
          <w:numId w:val="43"/>
        </w:numPr>
        <w:rPr>
          <w:b/>
        </w:rPr>
      </w:pPr>
      <w:r w:rsidRPr="006709F2">
        <w:rPr>
          <w:b/>
        </w:rPr>
        <w:lastRenderedPageBreak/>
        <w:t>Telefonía M</w:t>
      </w:r>
      <w:r w:rsidR="00D11937" w:rsidRPr="006709F2">
        <w:rPr>
          <w:b/>
        </w:rPr>
        <w:t>óvil</w:t>
      </w:r>
    </w:p>
    <w:p w:rsidR="00D11937" w:rsidRDefault="00D11937" w:rsidP="00D11937">
      <w:r>
        <w:t>Un segundo indicador es el porcentaje de hogares donde al menos uno de sus mi</w:t>
      </w:r>
      <w:r w:rsidR="00AE0D67">
        <w:t>embros tiene un teléfono móvil</w:t>
      </w:r>
      <w:r>
        <w:t>. Los resultados encontrado</w:t>
      </w:r>
      <w:r w:rsidR="008B5F52">
        <w:t>s son presentados en el Cuadro 1</w:t>
      </w:r>
      <w:r w:rsidR="00AE0D67">
        <w:t>.4</w:t>
      </w:r>
    </w:p>
    <w:p w:rsidR="00D11937" w:rsidRDefault="00D11937" w:rsidP="00D11937">
      <w:r>
        <w:t>Como puede observarse, el porcentaje de hogares donde al menos un m</w:t>
      </w:r>
      <w:r w:rsidR="00AE0D67">
        <w:t>iembro tiene un teléfono móvil</w:t>
      </w:r>
      <w:r>
        <w:t xml:space="preserve"> es en promedio muy alta (92,2% para el total nacional). Un total de 13 de los 24 departamentos cubiertos por la muestra del DANE  muestran en el año 2013 niveles de cobertura superiores al promedio nacional, mientras que los 11 restantes están por debajo de este promedio. Sin embargo, si se observa el crecimiento de las coberturas en estos 11 departamentos en los últimos tres años se puede constatar que es mayor, en general, que el ritmo de crecimiento de dicha cobertura en los departamentos que ya habían logrado altos niveles en el 2010. Las únicas excepciones a esta tendencia son los departamentos de Córdoba y Cesar. En departamentos como Norte de Santander, Sucre, Nariño, Guajira, Chocó y Caquetá las coberturas se incrementaron más de 10 puntos porcentuales en estos tres años.</w:t>
      </w:r>
    </w:p>
    <w:p w:rsidR="00D11937" w:rsidRDefault="00D11937" w:rsidP="00D11937">
      <w:pPr>
        <w:pStyle w:val="T-Figura"/>
      </w:pPr>
      <w:r w:rsidRPr="006B4E39">
        <w:t xml:space="preserve">Cuadro </w:t>
      </w:r>
      <w:r w:rsidR="008B5F52">
        <w:t>1</w:t>
      </w:r>
      <w:r>
        <w:t xml:space="preserve">.4 </w:t>
      </w:r>
      <w:r w:rsidRPr="006B4E39">
        <w:t xml:space="preserve">- </w:t>
      </w:r>
      <w:r w:rsidRPr="00571944">
        <w:t>Porcentaje de hogares en los que al</w:t>
      </w:r>
      <w:r w:rsidR="00AE0D67">
        <w:t>guno o algunos miembros tienen teléfono móvil</w:t>
      </w:r>
    </w:p>
    <w:tbl>
      <w:tblPr>
        <w:tblW w:w="0" w:type="auto"/>
        <w:jc w:val="center"/>
        <w:tblInd w:w="55" w:type="dxa"/>
        <w:tblCellMar>
          <w:left w:w="70" w:type="dxa"/>
          <w:right w:w="70" w:type="dxa"/>
        </w:tblCellMar>
        <w:tblLook w:val="04A0"/>
      </w:tblPr>
      <w:tblGrid>
        <w:gridCol w:w="1572"/>
        <w:gridCol w:w="1235"/>
        <w:gridCol w:w="1235"/>
        <w:gridCol w:w="1235"/>
        <w:gridCol w:w="1235"/>
      </w:tblGrid>
      <w:tr w:rsidR="00D11937" w:rsidRPr="00571944" w:rsidTr="001E7DC8">
        <w:trPr>
          <w:trHeight w:val="255"/>
          <w:jc w:val="center"/>
        </w:trPr>
        <w:tc>
          <w:tcPr>
            <w:tcW w:w="0" w:type="auto"/>
            <w:tcBorders>
              <w:top w:val="single" w:sz="4" w:space="0" w:color="BFBFBF"/>
              <w:left w:val="nil"/>
              <w:bottom w:val="single" w:sz="4" w:space="0" w:color="BFBFBF"/>
              <w:right w:val="nil"/>
            </w:tcBorders>
            <w:shd w:val="clear" w:color="000000" w:fill="BFBFBF"/>
            <w:noWrap/>
            <w:vAlign w:val="center"/>
            <w:hideMark/>
          </w:tcPr>
          <w:p w:rsidR="00D11937" w:rsidRPr="00D16916" w:rsidRDefault="00D11937" w:rsidP="001E7DC8">
            <w:pPr>
              <w:pStyle w:val="TextCuadro"/>
              <w:jc w:val="center"/>
              <w:rPr>
                <w:b/>
              </w:rPr>
            </w:pPr>
            <w:r w:rsidRPr="00D16916">
              <w:rPr>
                <w:b/>
              </w:rPr>
              <w:t>Departamento</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D16916" w:rsidRDefault="00D11937" w:rsidP="001E7DC8">
            <w:pPr>
              <w:pStyle w:val="TextCuadro"/>
              <w:jc w:val="center"/>
              <w:rPr>
                <w:b/>
              </w:rPr>
            </w:pPr>
            <w:r w:rsidRPr="00D16916">
              <w:rPr>
                <w:b/>
              </w:rPr>
              <w:t>2010</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D16916" w:rsidRDefault="00D11937" w:rsidP="001E7DC8">
            <w:pPr>
              <w:pStyle w:val="TextCuadro"/>
              <w:jc w:val="center"/>
              <w:rPr>
                <w:b/>
              </w:rPr>
            </w:pPr>
            <w:r w:rsidRPr="00D16916">
              <w:rPr>
                <w:b/>
              </w:rPr>
              <w:t>2011</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D16916" w:rsidRDefault="00D11937" w:rsidP="001E7DC8">
            <w:pPr>
              <w:pStyle w:val="TextCuadro"/>
              <w:jc w:val="center"/>
              <w:rPr>
                <w:b/>
              </w:rPr>
            </w:pPr>
            <w:r w:rsidRPr="00D16916">
              <w:rPr>
                <w:b/>
              </w:rPr>
              <w:t>2012</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D16916" w:rsidRDefault="00D11937" w:rsidP="001E7DC8">
            <w:pPr>
              <w:pStyle w:val="TextCuadro"/>
              <w:jc w:val="center"/>
              <w:rPr>
                <w:b/>
              </w:rPr>
            </w:pPr>
            <w:r w:rsidRPr="00D16916">
              <w:rPr>
                <w:b/>
              </w:rPr>
              <w:t>2013 - I</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Bogotá,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95.4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96.4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97.0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Cundinamarca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92.9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96.8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Boyacá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89.7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95.5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95.3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Santander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90.4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92.6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95.3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Quindío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96.1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95.2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Meta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90.1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91.1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Risaralda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89.0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90.4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Valle</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89.4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90.0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94.0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Huila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85.5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87.5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91.1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Caldas</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88.7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90.7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Atlántico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80.3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86.9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91.7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Antioquia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86.0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89.7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90.9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93.1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Tolima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88.6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90.5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92.0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92.7 </w:t>
            </w:r>
          </w:p>
        </w:tc>
      </w:tr>
      <w:tr w:rsidR="00D11937" w:rsidRPr="00571944" w:rsidTr="001E7DC8">
        <w:trPr>
          <w:trHeight w:val="255"/>
          <w:jc w:val="center"/>
        </w:trPr>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TOTAL NACIONAL</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 xml:space="preserve">                 86.0 </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 xml:space="preserve">                 88.8 </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 xml:space="preserve">                 91.3 </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571944" w:rsidRDefault="00D11937" w:rsidP="001E7DC8">
            <w:pPr>
              <w:pStyle w:val="TextCuadro"/>
            </w:pPr>
            <w:r w:rsidRPr="00571944">
              <w:t xml:space="preserve">                 92.2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Norte de Santander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79.7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87.0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91.2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91.4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Magdalena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82.5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83.2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89.0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90.7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Bolívar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79.5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84.2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85.7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89.4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Sucre</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73.8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79.7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88.0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86.4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Nariño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76.5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82.8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84.9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86.4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Cauca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76.4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78.9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83.3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84.7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Córdoba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82.6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83.9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87.5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83.9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Cesar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82.1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86.2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83.1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82.0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lastRenderedPageBreak/>
              <w:t>Guajira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61.2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72.6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74.4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79.9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Chocó</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62.8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73.4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75.2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75.6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Caquetá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58.9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53.9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77.6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70.8 </w:t>
            </w:r>
          </w:p>
        </w:tc>
      </w:tr>
    </w:tbl>
    <w:p w:rsidR="00D11937" w:rsidRDefault="00D11937" w:rsidP="0062594C">
      <w:pPr>
        <w:pStyle w:val="PiedeCuadro"/>
        <w:rPr>
          <w:sz w:val="20"/>
        </w:rPr>
      </w:pPr>
      <w:r w:rsidRPr="00D72C10">
        <w:rPr>
          <w:sz w:val="20"/>
        </w:rPr>
        <w:t>Fuente: Gran Encuesta Integrada de Hogares. DANE 2010-2013</w:t>
      </w:r>
    </w:p>
    <w:p w:rsidR="00D11937" w:rsidRPr="007C2E84" w:rsidRDefault="00D11937" w:rsidP="0020708C">
      <w:pPr>
        <w:pStyle w:val="Prrafodelista"/>
        <w:numPr>
          <w:ilvl w:val="0"/>
          <w:numId w:val="43"/>
        </w:numPr>
        <w:rPr>
          <w:b/>
        </w:rPr>
      </w:pPr>
      <w:r w:rsidRPr="007C2E84">
        <w:rPr>
          <w:b/>
        </w:rPr>
        <w:t>Televisión por Suscripción</w:t>
      </w:r>
    </w:p>
    <w:p w:rsidR="00D11937" w:rsidRPr="00BF7C44" w:rsidRDefault="00D11937" w:rsidP="00D11937">
      <w:r w:rsidRPr="00BF7C44">
        <w:t>La televisión por suscripción, que había logrado una penetración</w:t>
      </w:r>
      <w:r>
        <w:t xml:space="preserve"> de 51.7% en el 2010, alcanzó una cobertura de 60.5% en el 2013, luego de aumentar 8.8 puntos porcentuales en estos tres años. Aunque este promedio nacional ya es bastante alto, todavía hay 18 departamentos con coberturas por debajo de este promedio nacional. Bogotá y Valle se colocan a la cabeza de esta cobertura, seguidos por Risaralda, Caldas, Antioquia y Santander. En los departamentos de la costa atlántica se observan muy bajos niveles de cobertura de este servicio, en general por debajo del 50%.</w:t>
      </w:r>
    </w:p>
    <w:p w:rsidR="00D11937" w:rsidRDefault="00D11937" w:rsidP="00D11937">
      <w:pPr>
        <w:pStyle w:val="T-Figura"/>
      </w:pPr>
      <w:r w:rsidRPr="006B4E39">
        <w:t xml:space="preserve">Cuadro </w:t>
      </w:r>
      <w:r w:rsidR="008B5F52">
        <w:t>1</w:t>
      </w:r>
      <w:r>
        <w:t>.5</w:t>
      </w:r>
      <w:r w:rsidRPr="006B4E39">
        <w:t xml:space="preserve"> - </w:t>
      </w:r>
      <w:r w:rsidRPr="00571944">
        <w:t>Po</w:t>
      </w:r>
      <w:r>
        <w:t>rcentaje de hogares que tienen Televisión por S</w:t>
      </w:r>
      <w:r w:rsidRPr="00571944">
        <w:t>uscripción</w:t>
      </w:r>
    </w:p>
    <w:tbl>
      <w:tblPr>
        <w:tblW w:w="0" w:type="auto"/>
        <w:jc w:val="center"/>
        <w:tblInd w:w="55" w:type="dxa"/>
        <w:tblCellMar>
          <w:left w:w="70" w:type="dxa"/>
          <w:right w:w="70" w:type="dxa"/>
        </w:tblCellMar>
        <w:tblLook w:val="04A0"/>
      </w:tblPr>
      <w:tblGrid>
        <w:gridCol w:w="1572"/>
        <w:gridCol w:w="1235"/>
        <w:gridCol w:w="1235"/>
        <w:gridCol w:w="1235"/>
        <w:gridCol w:w="1235"/>
      </w:tblGrid>
      <w:tr w:rsidR="00D11937" w:rsidRPr="00571944" w:rsidTr="001E7DC8">
        <w:trPr>
          <w:trHeight w:val="255"/>
          <w:jc w:val="center"/>
        </w:trPr>
        <w:tc>
          <w:tcPr>
            <w:tcW w:w="0" w:type="auto"/>
            <w:tcBorders>
              <w:top w:val="single" w:sz="4" w:space="0" w:color="BFBFBF"/>
              <w:left w:val="nil"/>
              <w:bottom w:val="single" w:sz="4" w:space="0" w:color="BFBFBF"/>
              <w:right w:val="nil"/>
            </w:tcBorders>
            <w:shd w:val="clear" w:color="000000" w:fill="BFBFBF"/>
            <w:noWrap/>
            <w:vAlign w:val="center"/>
            <w:hideMark/>
          </w:tcPr>
          <w:p w:rsidR="00D11937" w:rsidRPr="0038448E" w:rsidRDefault="00D11937" w:rsidP="001E7DC8">
            <w:pPr>
              <w:pStyle w:val="TextCuadro"/>
              <w:jc w:val="center"/>
              <w:rPr>
                <w:b/>
              </w:rPr>
            </w:pPr>
            <w:r w:rsidRPr="0038448E">
              <w:rPr>
                <w:b/>
              </w:rPr>
              <w:t>Departamento</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38448E" w:rsidRDefault="00D11937" w:rsidP="001E7DC8">
            <w:pPr>
              <w:pStyle w:val="TextCuadro"/>
              <w:jc w:val="center"/>
              <w:rPr>
                <w:b/>
              </w:rPr>
            </w:pPr>
            <w:r w:rsidRPr="0038448E">
              <w:rPr>
                <w:b/>
              </w:rPr>
              <w:t>2010</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38448E" w:rsidRDefault="00D11937" w:rsidP="001E7DC8">
            <w:pPr>
              <w:pStyle w:val="TextCuadro"/>
              <w:jc w:val="center"/>
              <w:rPr>
                <w:b/>
              </w:rPr>
            </w:pPr>
            <w:r w:rsidRPr="0038448E">
              <w:rPr>
                <w:b/>
              </w:rPr>
              <w:t>2011</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38448E" w:rsidRDefault="00D11937" w:rsidP="001E7DC8">
            <w:pPr>
              <w:pStyle w:val="TextCuadro"/>
              <w:jc w:val="center"/>
              <w:rPr>
                <w:b/>
              </w:rPr>
            </w:pPr>
            <w:r w:rsidRPr="0038448E">
              <w:rPr>
                <w:b/>
              </w:rPr>
              <w:t>2012</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38448E" w:rsidRDefault="00D11937" w:rsidP="001E7DC8">
            <w:pPr>
              <w:pStyle w:val="TextCuadro"/>
              <w:jc w:val="center"/>
              <w:rPr>
                <w:b/>
              </w:rPr>
            </w:pPr>
            <w:r w:rsidRPr="0038448E">
              <w:rPr>
                <w:b/>
              </w:rPr>
              <w:t>2013 - I</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Bogotá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68.6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71.7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75.4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79.0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Valle</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71.0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75.1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75.5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77.6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Risaralda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63.3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66.3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66.5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70.4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Caldas</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64.5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66.4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66.1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70.3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Antioquia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63.2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67.5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69.1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69.9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Santander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62.1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65.3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67.8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68.9 </w:t>
            </w:r>
          </w:p>
        </w:tc>
      </w:tr>
      <w:tr w:rsidR="00D11937" w:rsidRPr="00571944" w:rsidTr="001E7DC8">
        <w:trPr>
          <w:trHeight w:val="255"/>
          <w:jc w:val="center"/>
        </w:trPr>
        <w:tc>
          <w:tcPr>
            <w:tcW w:w="0" w:type="auto"/>
            <w:tcBorders>
              <w:top w:val="nil"/>
              <w:left w:val="nil"/>
              <w:bottom w:val="single" w:sz="4" w:space="0" w:color="BFBFBF"/>
              <w:right w:val="nil"/>
            </w:tcBorders>
            <w:shd w:val="clear" w:color="auto" w:fill="BFBFBF" w:themeFill="background1" w:themeFillShade="BF"/>
            <w:noWrap/>
            <w:vAlign w:val="bottom"/>
            <w:hideMark/>
          </w:tcPr>
          <w:p w:rsidR="00D11937" w:rsidRPr="00571944" w:rsidRDefault="00D11937" w:rsidP="001E7DC8">
            <w:pPr>
              <w:pStyle w:val="TextCuadro"/>
            </w:pPr>
            <w:r w:rsidRPr="00571944">
              <w:t>Total nacional</w:t>
            </w:r>
          </w:p>
        </w:tc>
        <w:tc>
          <w:tcPr>
            <w:tcW w:w="0" w:type="auto"/>
            <w:tcBorders>
              <w:top w:val="nil"/>
              <w:left w:val="nil"/>
              <w:bottom w:val="single" w:sz="4" w:space="0" w:color="BFBFBF"/>
              <w:right w:val="nil"/>
            </w:tcBorders>
            <w:shd w:val="clear" w:color="auto" w:fill="BFBFBF" w:themeFill="background1" w:themeFillShade="BF"/>
            <w:noWrap/>
            <w:vAlign w:val="bottom"/>
            <w:hideMark/>
          </w:tcPr>
          <w:p w:rsidR="00D11937" w:rsidRPr="00571944" w:rsidRDefault="00D11937" w:rsidP="001E7DC8">
            <w:pPr>
              <w:pStyle w:val="TextCuadro"/>
            </w:pPr>
            <w:r w:rsidRPr="00571944">
              <w:t xml:space="preserve">                 51.7 </w:t>
            </w:r>
          </w:p>
        </w:tc>
        <w:tc>
          <w:tcPr>
            <w:tcW w:w="0" w:type="auto"/>
            <w:tcBorders>
              <w:top w:val="nil"/>
              <w:left w:val="nil"/>
              <w:bottom w:val="single" w:sz="4" w:space="0" w:color="BFBFBF"/>
              <w:right w:val="nil"/>
            </w:tcBorders>
            <w:shd w:val="clear" w:color="auto" w:fill="BFBFBF" w:themeFill="background1" w:themeFillShade="BF"/>
            <w:noWrap/>
            <w:vAlign w:val="bottom"/>
            <w:hideMark/>
          </w:tcPr>
          <w:p w:rsidR="00D11937" w:rsidRPr="00571944" w:rsidRDefault="00D11937" w:rsidP="001E7DC8">
            <w:pPr>
              <w:pStyle w:val="TextCuadro"/>
            </w:pPr>
            <w:r w:rsidRPr="00571944">
              <w:t xml:space="preserve">                 55.1 </w:t>
            </w:r>
          </w:p>
        </w:tc>
        <w:tc>
          <w:tcPr>
            <w:tcW w:w="0" w:type="auto"/>
            <w:tcBorders>
              <w:top w:val="nil"/>
              <w:left w:val="nil"/>
              <w:bottom w:val="single" w:sz="4" w:space="0" w:color="BFBFBF"/>
              <w:right w:val="nil"/>
            </w:tcBorders>
            <w:shd w:val="clear" w:color="auto" w:fill="BFBFBF" w:themeFill="background1" w:themeFillShade="BF"/>
            <w:noWrap/>
            <w:vAlign w:val="bottom"/>
            <w:hideMark/>
          </w:tcPr>
          <w:p w:rsidR="00D11937" w:rsidRPr="00571944" w:rsidRDefault="00D11937" w:rsidP="001E7DC8">
            <w:pPr>
              <w:pStyle w:val="TextCuadro"/>
            </w:pPr>
            <w:r w:rsidRPr="00571944">
              <w:t xml:space="preserve">                 57.8 </w:t>
            </w:r>
          </w:p>
        </w:tc>
        <w:tc>
          <w:tcPr>
            <w:tcW w:w="0" w:type="auto"/>
            <w:tcBorders>
              <w:top w:val="nil"/>
              <w:left w:val="nil"/>
              <w:bottom w:val="single" w:sz="4" w:space="0" w:color="BFBFBF"/>
              <w:right w:val="nil"/>
            </w:tcBorders>
            <w:shd w:val="clear" w:color="auto" w:fill="BFBFBF" w:themeFill="background1" w:themeFillShade="BF"/>
            <w:noWrap/>
            <w:vAlign w:val="bottom"/>
            <w:hideMark/>
          </w:tcPr>
          <w:p w:rsidR="00D11937" w:rsidRPr="00571944" w:rsidRDefault="00D11937" w:rsidP="001E7DC8">
            <w:pPr>
              <w:pStyle w:val="TextCuadro"/>
            </w:pPr>
            <w:r w:rsidRPr="00571944">
              <w:t xml:space="preserve">                 60.5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Norte de Santander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48.0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48.9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53.6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55.5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Huila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40.0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43.7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50.6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55.0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t>Quindí</w:t>
            </w:r>
            <w:r w:rsidRPr="00571944">
              <w:t>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50.7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56.0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53.6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53.9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Córdoba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35.0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35.3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40.1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51.7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Cundinamarca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41.8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43.7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47.9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51.2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Chocó</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34.5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47.3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47.2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50.4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Bolívar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36.0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43.6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47.5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49.8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Nariño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32.1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40.2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35.1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48.7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Tolima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38.0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44.9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43.2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47.1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Atlántico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36.0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37.9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42.9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46.5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Meta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36.0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42.1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44.4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Sucre</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40.5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39.3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42.5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41.9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Boyacá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36.9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36.3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43.0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41.6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Guajira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28.4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31.4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35.3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38.7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Cesar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31.8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35.2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36.9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Magdalena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26.5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32.4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35.8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35.8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Cauca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28.7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Caquetá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24.8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24.4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33.7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29.0 </w:t>
            </w:r>
          </w:p>
        </w:tc>
      </w:tr>
    </w:tbl>
    <w:p w:rsidR="00D11937" w:rsidRPr="00D72C10" w:rsidRDefault="00D11937" w:rsidP="0062594C">
      <w:pPr>
        <w:pStyle w:val="PiedeCuadro"/>
        <w:rPr>
          <w:sz w:val="20"/>
        </w:rPr>
      </w:pPr>
      <w:r w:rsidRPr="00D72C10">
        <w:rPr>
          <w:sz w:val="20"/>
        </w:rPr>
        <w:t>Fuente: Gran Encuesta Integrada de Hogares. DANE 2010-2013</w:t>
      </w:r>
    </w:p>
    <w:p w:rsidR="00D11937" w:rsidRPr="007C2E84" w:rsidRDefault="00D11937" w:rsidP="0020708C">
      <w:pPr>
        <w:pStyle w:val="Prrafodelista"/>
        <w:numPr>
          <w:ilvl w:val="0"/>
          <w:numId w:val="43"/>
        </w:numPr>
        <w:contextualSpacing w:val="0"/>
        <w:rPr>
          <w:b/>
        </w:rPr>
      </w:pPr>
      <w:r w:rsidRPr="007C2E84">
        <w:rPr>
          <w:b/>
        </w:rPr>
        <w:lastRenderedPageBreak/>
        <w:t>Internet</w:t>
      </w:r>
    </w:p>
    <w:p w:rsidR="00D11937" w:rsidRDefault="00D11937" w:rsidP="00D11937">
      <w:r w:rsidRPr="00D27BB3">
        <w:t>El siguiente servicio que ha aparecido en e</w:t>
      </w:r>
      <w:r w:rsidR="001F59D4">
        <w:t xml:space="preserve">l mercado colombiano, luego de la telefonía móvil </w:t>
      </w:r>
      <w:r w:rsidRPr="00D27BB3">
        <w:t>y del servicio de televisión por suscripción</w:t>
      </w:r>
      <w:r>
        <w:t>, es el servicio de Internet en el hogar. La cobertura, sin embargo todavía está muy baja, 29.2% a nivel nacional, aunque viene creciendo aceleradamente: 10 puntos porcentuales en los últimos tres años. Bogotá, Antioquia, Valle y Risaralda ha venido liderando este proceso, como lo muestra su crecimiento cercano a los 14 puntos porcentuales en los últimos tres años; aunque en general los departamentos con coberturas por debajo del promedio nacional, también vienen aumentando rápidamente, con excepción de los departamentos con las coberturas más bajas, como Chocó, Caquetá, Guajira, Boyacá y Sucre, donde los aumentos en el trienio están por debajo de 5 puntos porcentuales.</w:t>
      </w:r>
    </w:p>
    <w:p w:rsidR="00D11937" w:rsidRDefault="00D11937" w:rsidP="00D11937">
      <w:pPr>
        <w:pStyle w:val="T-Figura"/>
      </w:pPr>
      <w:r w:rsidRPr="006B4E39">
        <w:t xml:space="preserve">Cuadro </w:t>
      </w:r>
      <w:r w:rsidR="008B5F52">
        <w:t>1</w:t>
      </w:r>
      <w:r>
        <w:t>.6</w:t>
      </w:r>
      <w:r w:rsidRPr="006B4E39">
        <w:t xml:space="preserve"> - </w:t>
      </w:r>
      <w:r w:rsidRPr="00571944">
        <w:t xml:space="preserve">Porcentaje de hogares que </w:t>
      </w:r>
      <w:r>
        <w:t>tienen servicio de I</w:t>
      </w:r>
      <w:r w:rsidRPr="00571944">
        <w:t>nternet</w:t>
      </w:r>
    </w:p>
    <w:tbl>
      <w:tblPr>
        <w:tblW w:w="0" w:type="auto"/>
        <w:jc w:val="center"/>
        <w:tblInd w:w="55" w:type="dxa"/>
        <w:tblCellMar>
          <w:left w:w="70" w:type="dxa"/>
          <w:right w:w="70" w:type="dxa"/>
        </w:tblCellMar>
        <w:tblLook w:val="04A0"/>
      </w:tblPr>
      <w:tblGrid>
        <w:gridCol w:w="1572"/>
        <w:gridCol w:w="1235"/>
        <w:gridCol w:w="1235"/>
        <w:gridCol w:w="1235"/>
        <w:gridCol w:w="1235"/>
      </w:tblGrid>
      <w:tr w:rsidR="00D11937" w:rsidRPr="00571944" w:rsidTr="001E7DC8">
        <w:trPr>
          <w:trHeight w:val="255"/>
          <w:jc w:val="center"/>
        </w:trPr>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0390E" w:rsidRDefault="00D11937" w:rsidP="001E7DC8">
            <w:pPr>
              <w:pStyle w:val="TextCuadro"/>
              <w:jc w:val="center"/>
              <w:rPr>
                <w:b/>
              </w:rPr>
            </w:pPr>
            <w:r w:rsidRPr="0020390E">
              <w:rPr>
                <w:b/>
              </w:rPr>
              <w:t>Departamento</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0390E" w:rsidRDefault="00D11937" w:rsidP="001E7DC8">
            <w:pPr>
              <w:pStyle w:val="TextCuadro"/>
              <w:jc w:val="center"/>
              <w:rPr>
                <w:b/>
              </w:rPr>
            </w:pPr>
            <w:r w:rsidRPr="0020390E">
              <w:rPr>
                <w:b/>
              </w:rPr>
              <w:t>2010</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0390E" w:rsidRDefault="00D11937" w:rsidP="001E7DC8">
            <w:pPr>
              <w:pStyle w:val="TextCuadro"/>
              <w:jc w:val="center"/>
              <w:rPr>
                <w:b/>
              </w:rPr>
            </w:pPr>
            <w:r w:rsidRPr="0020390E">
              <w:rPr>
                <w:b/>
              </w:rPr>
              <w:t>2011</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0390E" w:rsidRDefault="00D11937" w:rsidP="001E7DC8">
            <w:pPr>
              <w:pStyle w:val="TextCuadro"/>
              <w:jc w:val="center"/>
              <w:rPr>
                <w:b/>
              </w:rPr>
            </w:pPr>
            <w:r w:rsidRPr="0020390E">
              <w:rPr>
                <w:b/>
              </w:rPr>
              <w:t>2012</w:t>
            </w:r>
          </w:p>
        </w:tc>
        <w:tc>
          <w:tcPr>
            <w:tcW w:w="0" w:type="auto"/>
            <w:tcBorders>
              <w:top w:val="single" w:sz="4" w:space="0" w:color="BFBFBF"/>
              <w:left w:val="nil"/>
              <w:bottom w:val="single" w:sz="4" w:space="0" w:color="BFBFBF"/>
              <w:right w:val="nil"/>
            </w:tcBorders>
            <w:shd w:val="clear" w:color="000000" w:fill="BFBFBF"/>
            <w:noWrap/>
            <w:vAlign w:val="center"/>
            <w:hideMark/>
          </w:tcPr>
          <w:p w:rsidR="00D11937" w:rsidRPr="0020390E" w:rsidRDefault="00D11937" w:rsidP="001E7DC8">
            <w:pPr>
              <w:pStyle w:val="TextCuadro"/>
              <w:jc w:val="center"/>
              <w:rPr>
                <w:b/>
              </w:rPr>
            </w:pPr>
            <w:r w:rsidRPr="0020390E">
              <w:rPr>
                <w:b/>
              </w:rPr>
              <w:t>2013 - I</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Bogotá,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35.7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38.8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43.7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49.2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Antioquia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25.9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34.9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38.9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Valle</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20.0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24.9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34.4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Risaralda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19.1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24.5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28.5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32.4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Santander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23.4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23.8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29.8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30.8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Atlántico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20.5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23.9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28.2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30.3 </w:t>
            </w:r>
          </w:p>
        </w:tc>
      </w:tr>
      <w:tr w:rsidR="00D11937" w:rsidRPr="00571944" w:rsidTr="001E7DC8">
        <w:trPr>
          <w:trHeight w:val="255"/>
          <w:jc w:val="center"/>
        </w:trPr>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AE0D67" w:rsidRDefault="00D11937" w:rsidP="001E7DC8">
            <w:pPr>
              <w:pStyle w:val="TextCuadro"/>
              <w:rPr>
                <w:highlight w:val="lightGray"/>
              </w:rPr>
            </w:pPr>
            <w:r w:rsidRPr="00AE0D67">
              <w:rPr>
                <w:highlight w:val="lightGray"/>
              </w:rPr>
              <w:t>TOTAL NACIONAL</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AE0D67" w:rsidRDefault="00D11937" w:rsidP="001E7DC8">
            <w:pPr>
              <w:pStyle w:val="TextCuadro"/>
              <w:rPr>
                <w:highlight w:val="lightGray"/>
              </w:rPr>
            </w:pPr>
            <w:r w:rsidRPr="00AE0D67">
              <w:rPr>
                <w:highlight w:val="lightGray"/>
              </w:rPr>
              <w:t xml:space="preserve">                 19.2 </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AE0D67" w:rsidRDefault="00D11937" w:rsidP="001E7DC8">
            <w:pPr>
              <w:pStyle w:val="TextCuadro"/>
              <w:rPr>
                <w:highlight w:val="lightGray"/>
              </w:rPr>
            </w:pPr>
            <w:r w:rsidRPr="00AE0D67">
              <w:rPr>
                <w:highlight w:val="lightGray"/>
              </w:rPr>
              <w:t xml:space="preserve">                 22.5 </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AE0D67" w:rsidRDefault="00D11937" w:rsidP="001E7DC8">
            <w:pPr>
              <w:pStyle w:val="TextCuadro"/>
              <w:rPr>
                <w:highlight w:val="lightGray"/>
              </w:rPr>
            </w:pPr>
            <w:r w:rsidRPr="00AE0D67">
              <w:rPr>
                <w:highlight w:val="lightGray"/>
              </w:rPr>
              <w:t xml:space="preserve">                 26.2 </w:t>
            </w:r>
          </w:p>
        </w:tc>
        <w:tc>
          <w:tcPr>
            <w:tcW w:w="0" w:type="auto"/>
            <w:tcBorders>
              <w:top w:val="nil"/>
              <w:left w:val="nil"/>
              <w:bottom w:val="single" w:sz="4" w:space="0" w:color="BFBFBF"/>
              <w:right w:val="nil"/>
            </w:tcBorders>
            <w:shd w:val="clear" w:color="auto" w:fill="F2F2F2" w:themeFill="background1" w:themeFillShade="F2"/>
            <w:noWrap/>
            <w:vAlign w:val="bottom"/>
            <w:hideMark/>
          </w:tcPr>
          <w:p w:rsidR="00D11937" w:rsidRPr="00AE0D67" w:rsidRDefault="00D11937" w:rsidP="001E7DC8">
            <w:pPr>
              <w:pStyle w:val="TextCuadro"/>
              <w:rPr>
                <w:highlight w:val="lightGray"/>
              </w:rPr>
            </w:pPr>
            <w:r w:rsidRPr="00AE0D67">
              <w:rPr>
                <w:highlight w:val="lightGray"/>
              </w:rPr>
              <w:t xml:space="preserve">                 29.2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Caldas</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17.1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22.5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25.2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27.5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Cundinamarca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16.4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18.3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25.9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Quindío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15.9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19.2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23.4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25.5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Bolívar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17.2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19.0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22.3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Tolima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13.6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15.7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17.6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21.6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Huila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14.4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16.7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17.6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21.2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Meta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15.5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18.3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21.1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Norte de Santander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15.8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18.1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18.5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Magdalena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13.6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16.1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Córdoba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12.4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14.5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Cesar</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8.8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14.3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Cauca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9.7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Nariño</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5.0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11.1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Sucre</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8.3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10.6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Boyacá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11.2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13.5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10.5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Guajira</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9.6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10.0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Caquetá</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5.5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7.9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8.8 </w:t>
            </w:r>
          </w:p>
        </w:tc>
      </w:tr>
      <w:tr w:rsidR="00D11937" w:rsidRPr="00571944" w:rsidTr="001E7DC8">
        <w:trPr>
          <w:trHeight w:val="255"/>
          <w:jc w:val="center"/>
        </w:trPr>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Chocó</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3.4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4.5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6.1 </w:t>
            </w:r>
          </w:p>
        </w:tc>
        <w:tc>
          <w:tcPr>
            <w:tcW w:w="0" w:type="auto"/>
            <w:tcBorders>
              <w:top w:val="nil"/>
              <w:left w:val="nil"/>
              <w:bottom w:val="single" w:sz="4" w:space="0" w:color="BFBFBF"/>
              <w:right w:val="nil"/>
            </w:tcBorders>
            <w:shd w:val="clear" w:color="000000" w:fill="FFFFFF"/>
            <w:noWrap/>
            <w:vAlign w:val="bottom"/>
            <w:hideMark/>
          </w:tcPr>
          <w:p w:rsidR="00D11937" w:rsidRPr="00571944" w:rsidRDefault="00D11937" w:rsidP="001E7DC8">
            <w:pPr>
              <w:pStyle w:val="TextCuadro"/>
            </w:pPr>
            <w:r w:rsidRPr="00571944">
              <w:t xml:space="preserve">                   6.0 </w:t>
            </w:r>
          </w:p>
        </w:tc>
      </w:tr>
    </w:tbl>
    <w:p w:rsidR="00D11937" w:rsidRDefault="00D11937" w:rsidP="0062594C">
      <w:pPr>
        <w:pStyle w:val="PiedeCuadro"/>
        <w:rPr>
          <w:sz w:val="20"/>
        </w:rPr>
      </w:pPr>
      <w:r w:rsidRPr="00D72C10">
        <w:rPr>
          <w:sz w:val="20"/>
        </w:rPr>
        <w:t>Fuente: Gran Encuesta Integrada de Hogares. DANE 2010-2013</w:t>
      </w:r>
    </w:p>
    <w:p w:rsidR="00EC6911" w:rsidRPr="00D72C10" w:rsidRDefault="00EC6911" w:rsidP="0062594C">
      <w:pPr>
        <w:pStyle w:val="PiedeCuadro"/>
        <w:rPr>
          <w:sz w:val="20"/>
        </w:rPr>
      </w:pPr>
    </w:p>
    <w:p w:rsidR="00D11937" w:rsidRPr="00E6585F" w:rsidRDefault="00D11937" w:rsidP="0020708C">
      <w:pPr>
        <w:pStyle w:val="Ttulo3"/>
        <w:numPr>
          <w:ilvl w:val="2"/>
          <w:numId w:val="42"/>
        </w:numPr>
        <w:spacing w:before="200" w:after="120"/>
        <w:rPr>
          <w:sz w:val="26"/>
          <w:szCs w:val="26"/>
        </w:rPr>
      </w:pPr>
      <w:bookmarkStart w:id="85" w:name="_Toc374109414"/>
      <w:r w:rsidRPr="00E6585F">
        <w:rPr>
          <w:sz w:val="26"/>
          <w:szCs w:val="26"/>
        </w:rPr>
        <w:lastRenderedPageBreak/>
        <w:t xml:space="preserve">Expansión del </w:t>
      </w:r>
      <w:proofErr w:type="spellStart"/>
      <w:r w:rsidRPr="00D72C10">
        <w:rPr>
          <w:i/>
          <w:sz w:val="26"/>
          <w:szCs w:val="26"/>
        </w:rPr>
        <w:t>backbone</w:t>
      </w:r>
      <w:proofErr w:type="spellEnd"/>
      <w:r w:rsidRPr="00E6585F">
        <w:rPr>
          <w:sz w:val="26"/>
          <w:szCs w:val="26"/>
        </w:rPr>
        <w:t xml:space="preserve"> nacional de fibra</w:t>
      </w:r>
      <w:bookmarkEnd w:id="85"/>
      <w:r w:rsidR="00AE0D67">
        <w:rPr>
          <w:sz w:val="26"/>
          <w:szCs w:val="26"/>
        </w:rPr>
        <w:t xml:space="preserve"> óptica</w:t>
      </w:r>
    </w:p>
    <w:p w:rsidR="00D11937" w:rsidRDefault="00D11937" w:rsidP="00EC6911">
      <w:r w:rsidRPr="003B6CB9">
        <w:t>Dentro del grupo de indicadores del plan Vive Digit</w:t>
      </w:r>
      <w:r>
        <w:t>al se encuentra como principal</w:t>
      </w:r>
    </w:p>
    <w:p w:rsidR="00D11937" w:rsidRDefault="00D11937" w:rsidP="00EC6911">
      <w:pPr>
        <w:pStyle w:val="Prrafodelista"/>
        <w:numPr>
          <w:ilvl w:val="0"/>
          <w:numId w:val="29"/>
        </w:numPr>
        <w:contextualSpacing w:val="0"/>
      </w:pPr>
      <w:r>
        <w:t>T</w:t>
      </w:r>
      <w:r w:rsidRPr="003B6CB9">
        <w:t xml:space="preserve">riplicar el número de municipios conectados a la autopista de la información a través de redes de fibra óptica. </w:t>
      </w:r>
    </w:p>
    <w:p w:rsidR="00D11937" w:rsidRDefault="00D11937" w:rsidP="00EC6911">
      <w:r w:rsidRPr="003B6CB9">
        <w:t xml:space="preserve">Este indicador se relaciona así mismo con el establecido respecto </w:t>
      </w:r>
      <w:r>
        <w:t>a</w:t>
      </w:r>
      <w:r w:rsidRPr="003B6CB9">
        <w:t xml:space="preserve"> la </w:t>
      </w:r>
    </w:p>
    <w:p w:rsidR="00D11937" w:rsidRPr="00B1276A" w:rsidRDefault="00D11937" w:rsidP="00EC6911">
      <w:pPr>
        <w:pStyle w:val="Prrafodelista"/>
        <w:numPr>
          <w:ilvl w:val="0"/>
          <w:numId w:val="34"/>
        </w:numPr>
        <w:ind w:left="714" w:hanging="357"/>
        <w:contextualSpacing w:val="0"/>
      </w:pPr>
      <w:r w:rsidRPr="00B1276A">
        <w:t xml:space="preserve">Expansión de la cobertura de fibra óptica y el de la </w:t>
      </w:r>
    </w:p>
    <w:p w:rsidR="00D11937" w:rsidRPr="0060649E" w:rsidRDefault="00D11937" w:rsidP="00EC6911">
      <w:pPr>
        <w:pStyle w:val="Prrafodelista"/>
        <w:numPr>
          <w:ilvl w:val="0"/>
          <w:numId w:val="31"/>
        </w:numPr>
        <w:ind w:left="714" w:hanging="357"/>
        <w:contextualSpacing w:val="0"/>
      </w:pPr>
      <w:r w:rsidRPr="0060649E">
        <w:t>Obtención de un número elevado de cabeceras municipales con fibra óptica.</w:t>
      </w:r>
    </w:p>
    <w:p w:rsidR="00D11937" w:rsidRPr="003B6CB9" w:rsidRDefault="00D11937" w:rsidP="00EC6911">
      <w:r w:rsidRPr="003B6CB9">
        <w:t xml:space="preserve">En desarrollo de este plan, el gobierno nacional a través del </w:t>
      </w:r>
      <w:r>
        <w:t>MINTIC</w:t>
      </w:r>
      <w:r w:rsidRPr="003B6CB9">
        <w:t xml:space="preserve"> y el Fondo TIC llevó a cabo el desarrollo del denominado Proyecto Nacional de Fibra Óptica, con el objetivo principal de pasar de menos de 200 municipios conectados a la red troncal de fibra del país a no menos de 700 municipios al final del gobierno.</w:t>
      </w:r>
    </w:p>
    <w:p w:rsidR="00D11937" w:rsidRPr="003B6CB9" w:rsidRDefault="00D11937" w:rsidP="00EC6911">
      <w:r w:rsidRPr="003B6CB9">
        <w:t>Como parte del plan, se llevó a cabo proceso licitatorio que fue ganado por una Unión Temporal compuesta por las firmas de origen mexicano Total Play y Azteca quienes ejecutan actualmente el contrato de aporte 437 de 2011 firmado en noviembre de 2011 e iniciado en diciembre del mismo año, el cual prevé aportes de la nación de recursos de fomento de hasta 415 mil millones de pesos. En dicho contrato se previó el cubrimiento de al menos 753 municipios, número que fue elevado a 788 mediante otrosí del mes de septiembre de 2013, el cual adicionó el monto de aporte máximo en 18 mil millones más.</w:t>
      </w:r>
    </w:p>
    <w:p w:rsidR="00D11937" w:rsidRPr="003B6CB9" w:rsidRDefault="00D11937" w:rsidP="00EC6911">
      <w:r w:rsidRPr="003B6CB9">
        <w:t>Realizado el inventario inicial de municipios para dar partida al proyecto, se encontr</w:t>
      </w:r>
      <w:r>
        <w:t>ó que la lí</w:t>
      </w:r>
      <w:r w:rsidRPr="003B6CB9">
        <w:t xml:space="preserve">nea base superaba los 200 municipios, encontrando a diciembre de 2011 un total de 325 municipios conectados a la red troncal. </w:t>
      </w:r>
    </w:p>
    <w:p w:rsidR="00D11937" w:rsidRDefault="00D11937" w:rsidP="00EC6911">
      <w:r w:rsidRPr="003B6CB9">
        <w:t>Las entregas a la fecha de municipios conectados en cada semestre son las siguientes:</w:t>
      </w:r>
    </w:p>
    <w:p w:rsidR="00D11937" w:rsidRDefault="00D11937" w:rsidP="00D11937">
      <w:pPr>
        <w:pStyle w:val="T-Figura"/>
      </w:pPr>
      <w:r w:rsidRPr="006B4E39">
        <w:t xml:space="preserve">Cuadro </w:t>
      </w:r>
      <w:r w:rsidR="008B5F52">
        <w:t>1</w:t>
      </w:r>
      <w:r>
        <w:t>.7</w:t>
      </w:r>
      <w:r w:rsidRPr="006B4E39">
        <w:t xml:space="preserve"> - </w:t>
      </w:r>
      <w:r w:rsidRPr="00571944">
        <w:t xml:space="preserve">Porcentaje de hogares que </w:t>
      </w:r>
      <w:r>
        <w:t>tienen servicio de I</w:t>
      </w:r>
      <w:r w:rsidRPr="00571944">
        <w:t>nternet</w:t>
      </w:r>
    </w:p>
    <w:tbl>
      <w:tblPr>
        <w:tblW w:w="0" w:type="auto"/>
        <w:jc w:val="center"/>
        <w:tblBorders>
          <w:bottom w:val="single" w:sz="4" w:space="0" w:color="BFBFBF" w:themeColor="background1" w:themeShade="BF"/>
          <w:insideH w:val="single" w:sz="4" w:space="0" w:color="BFBFBF" w:themeColor="background1" w:themeShade="BF"/>
        </w:tblBorders>
        <w:tblLook w:val="01E0"/>
      </w:tblPr>
      <w:tblGrid>
        <w:gridCol w:w="2760"/>
        <w:gridCol w:w="1648"/>
        <w:gridCol w:w="1073"/>
      </w:tblGrid>
      <w:tr w:rsidR="00D11937" w:rsidRPr="0087003A" w:rsidTr="001E7DC8">
        <w:trPr>
          <w:tblHeader/>
          <w:jc w:val="center"/>
        </w:trPr>
        <w:tc>
          <w:tcPr>
            <w:tcW w:w="0" w:type="auto"/>
            <w:shd w:val="clear" w:color="auto" w:fill="D9D9D9"/>
          </w:tcPr>
          <w:p w:rsidR="00D11937" w:rsidRPr="00DD52B1" w:rsidRDefault="00D11937" w:rsidP="001E7DC8">
            <w:pPr>
              <w:pStyle w:val="TextCuadro"/>
              <w:jc w:val="center"/>
              <w:rPr>
                <w:b/>
              </w:rPr>
            </w:pPr>
            <w:r w:rsidRPr="00DD52B1">
              <w:rPr>
                <w:b/>
              </w:rPr>
              <w:t>Grupo</w:t>
            </w:r>
          </w:p>
        </w:tc>
        <w:tc>
          <w:tcPr>
            <w:tcW w:w="0" w:type="auto"/>
            <w:shd w:val="clear" w:color="auto" w:fill="D9D9D9"/>
          </w:tcPr>
          <w:p w:rsidR="00D11937" w:rsidRPr="00DD52B1" w:rsidRDefault="00D11937" w:rsidP="001E7DC8">
            <w:pPr>
              <w:pStyle w:val="TextCuadro"/>
              <w:jc w:val="center"/>
              <w:rPr>
                <w:b/>
              </w:rPr>
            </w:pPr>
            <w:r w:rsidRPr="00DD52B1">
              <w:rPr>
                <w:b/>
              </w:rPr>
              <w:t>Departamento</w:t>
            </w:r>
          </w:p>
        </w:tc>
        <w:tc>
          <w:tcPr>
            <w:tcW w:w="0" w:type="auto"/>
            <w:shd w:val="clear" w:color="auto" w:fill="D9D9D9"/>
          </w:tcPr>
          <w:p w:rsidR="00D11937" w:rsidRPr="00DD52B1" w:rsidRDefault="00D11937" w:rsidP="001E7DC8">
            <w:pPr>
              <w:pStyle w:val="TextCuadro"/>
              <w:jc w:val="center"/>
              <w:rPr>
                <w:b/>
              </w:rPr>
            </w:pPr>
            <w:r w:rsidRPr="00DD52B1">
              <w:rPr>
                <w:b/>
              </w:rPr>
              <w:t>Municipios</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r w:rsidRPr="0087003A">
              <w:t>Grupo 1 entregado diciembre 2012</w:t>
            </w:r>
          </w:p>
        </w:tc>
        <w:tc>
          <w:tcPr>
            <w:tcW w:w="0" w:type="auto"/>
            <w:shd w:val="clear" w:color="auto" w:fill="FFFFFF"/>
          </w:tcPr>
          <w:p w:rsidR="00D11937" w:rsidRPr="0087003A" w:rsidRDefault="00D11937" w:rsidP="001E7DC8">
            <w:pPr>
              <w:pStyle w:val="TextCuadro"/>
            </w:pPr>
            <w:r w:rsidRPr="0087003A">
              <w:t>Antioquia</w:t>
            </w:r>
          </w:p>
        </w:tc>
        <w:tc>
          <w:tcPr>
            <w:tcW w:w="0" w:type="auto"/>
            <w:shd w:val="clear" w:color="auto" w:fill="FFFFFF"/>
          </w:tcPr>
          <w:p w:rsidR="00D11937" w:rsidRPr="0087003A" w:rsidRDefault="00D11937" w:rsidP="001E7DC8">
            <w:pPr>
              <w:pStyle w:val="TextCuadro"/>
            </w:pPr>
            <w:r w:rsidRPr="0087003A">
              <w:t>26</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Caldas</w:t>
            </w:r>
          </w:p>
        </w:tc>
        <w:tc>
          <w:tcPr>
            <w:tcW w:w="0" w:type="auto"/>
            <w:shd w:val="clear" w:color="auto" w:fill="FFFFFF"/>
          </w:tcPr>
          <w:p w:rsidR="00D11937" w:rsidRPr="0087003A" w:rsidRDefault="00D11937" w:rsidP="001E7DC8">
            <w:pPr>
              <w:pStyle w:val="TextCuadro"/>
            </w:pPr>
            <w:r w:rsidRPr="0087003A">
              <w:t>17</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Cesar</w:t>
            </w:r>
          </w:p>
        </w:tc>
        <w:tc>
          <w:tcPr>
            <w:tcW w:w="0" w:type="auto"/>
            <w:shd w:val="clear" w:color="auto" w:fill="FFFFFF"/>
          </w:tcPr>
          <w:p w:rsidR="00D11937" w:rsidRPr="0087003A" w:rsidRDefault="00D11937" w:rsidP="001E7DC8">
            <w:pPr>
              <w:pStyle w:val="TextCuadro"/>
            </w:pPr>
            <w:r w:rsidRPr="0087003A">
              <w:t>3</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Cundinamarca</w:t>
            </w:r>
          </w:p>
        </w:tc>
        <w:tc>
          <w:tcPr>
            <w:tcW w:w="0" w:type="auto"/>
            <w:shd w:val="clear" w:color="auto" w:fill="FFFFFF"/>
          </w:tcPr>
          <w:p w:rsidR="00D11937" w:rsidRPr="0087003A" w:rsidRDefault="00D11937" w:rsidP="001E7DC8">
            <w:pPr>
              <w:pStyle w:val="TextCuadro"/>
            </w:pPr>
            <w:r w:rsidRPr="0087003A">
              <w:t>32</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La Guajira</w:t>
            </w:r>
          </w:p>
        </w:tc>
        <w:tc>
          <w:tcPr>
            <w:tcW w:w="0" w:type="auto"/>
            <w:shd w:val="clear" w:color="auto" w:fill="FFFFFF"/>
          </w:tcPr>
          <w:p w:rsidR="00D11937" w:rsidRPr="0087003A" w:rsidRDefault="00D11937" w:rsidP="001E7DC8">
            <w:pPr>
              <w:pStyle w:val="TextCuadro"/>
            </w:pPr>
            <w:r w:rsidRPr="0087003A">
              <w:t>1</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Meta</w:t>
            </w:r>
          </w:p>
        </w:tc>
        <w:tc>
          <w:tcPr>
            <w:tcW w:w="0" w:type="auto"/>
            <w:shd w:val="clear" w:color="auto" w:fill="FFFFFF"/>
          </w:tcPr>
          <w:p w:rsidR="00D11937" w:rsidRPr="0087003A" w:rsidRDefault="00D11937" w:rsidP="001E7DC8">
            <w:pPr>
              <w:pStyle w:val="TextCuadro"/>
            </w:pPr>
            <w:r w:rsidRPr="0087003A">
              <w:t>13</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Nariño</w:t>
            </w:r>
          </w:p>
        </w:tc>
        <w:tc>
          <w:tcPr>
            <w:tcW w:w="0" w:type="auto"/>
            <w:shd w:val="clear" w:color="auto" w:fill="FFFFFF"/>
          </w:tcPr>
          <w:p w:rsidR="00D11937" w:rsidRPr="0087003A" w:rsidRDefault="00D11937" w:rsidP="001E7DC8">
            <w:pPr>
              <w:pStyle w:val="TextCuadro"/>
            </w:pPr>
            <w:r w:rsidRPr="0087003A">
              <w:t>38</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Norte de Santander</w:t>
            </w:r>
          </w:p>
        </w:tc>
        <w:tc>
          <w:tcPr>
            <w:tcW w:w="0" w:type="auto"/>
            <w:shd w:val="clear" w:color="auto" w:fill="FFFFFF"/>
          </w:tcPr>
          <w:p w:rsidR="00D11937" w:rsidRPr="0087003A" w:rsidRDefault="00D11937" w:rsidP="001E7DC8">
            <w:pPr>
              <w:pStyle w:val="TextCuadro"/>
            </w:pPr>
            <w:r w:rsidRPr="0087003A">
              <w:t>20</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Risaralda</w:t>
            </w:r>
          </w:p>
        </w:tc>
        <w:tc>
          <w:tcPr>
            <w:tcW w:w="0" w:type="auto"/>
            <w:shd w:val="clear" w:color="auto" w:fill="FFFFFF"/>
          </w:tcPr>
          <w:p w:rsidR="00D11937" w:rsidRPr="0087003A" w:rsidRDefault="00D11937" w:rsidP="001E7DC8">
            <w:pPr>
              <w:pStyle w:val="TextCuadro"/>
            </w:pPr>
            <w:r w:rsidRPr="0087003A">
              <w:t>6</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Santander</w:t>
            </w:r>
          </w:p>
        </w:tc>
        <w:tc>
          <w:tcPr>
            <w:tcW w:w="0" w:type="auto"/>
            <w:shd w:val="clear" w:color="auto" w:fill="FFFFFF"/>
          </w:tcPr>
          <w:p w:rsidR="00D11937" w:rsidRPr="0087003A" w:rsidRDefault="00D11937" w:rsidP="001E7DC8">
            <w:pPr>
              <w:pStyle w:val="TextCuadro"/>
            </w:pPr>
            <w:r w:rsidRPr="0087003A">
              <w:t>31</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Sucre</w:t>
            </w:r>
          </w:p>
        </w:tc>
        <w:tc>
          <w:tcPr>
            <w:tcW w:w="0" w:type="auto"/>
            <w:shd w:val="clear" w:color="auto" w:fill="FFFFFF"/>
          </w:tcPr>
          <w:p w:rsidR="00D11937" w:rsidRPr="0087003A" w:rsidRDefault="00D11937" w:rsidP="001E7DC8">
            <w:pPr>
              <w:pStyle w:val="TextCuadro"/>
            </w:pPr>
            <w:r w:rsidRPr="0087003A">
              <w:t>7</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Tolima</w:t>
            </w:r>
          </w:p>
        </w:tc>
        <w:tc>
          <w:tcPr>
            <w:tcW w:w="0" w:type="auto"/>
            <w:shd w:val="clear" w:color="auto" w:fill="FFFFFF"/>
          </w:tcPr>
          <w:p w:rsidR="00D11937" w:rsidRPr="0087003A" w:rsidRDefault="00D11937" w:rsidP="001E7DC8">
            <w:pPr>
              <w:pStyle w:val="TextCuadro"/>
            </w:pPr>
            <w:r w:rsidRPr="0087003A">
              <w:t>32</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r w:rsidRPr="0087003A">
              <w:t>Grupo 2 entregado junio 2013</w:t>
            </w:r>
          </w:p>
        </w:tc>
        <w:tc>
          <w:tcPr>
            <w:tcW w:w="0" w:type="auto"/>
            <w:shd w:val="clear" w:color="auto" w:fill="FFFFFF"/>
          </w:tcPr>
          <w:p w:rsidR="00D11937" w:rsidRPr="0087003A" w:rsidRDefault="00D11937" w:rsidP="001E7DC8">
            <w:pPr>
              <w:pStyle w:val="TextCuadro"/>
            </w:pPr>
            <w:r w:rsidRPr="0087003A">
              <w:t>Antioquia</w:t>
            </w:r>
          </w:p>
        </w:tc>
        <w:tc>
          <w:tcPr>
            <w:tcW w:w="0" w:type="auto"/>
            <w:shd w:val="clear" w:color="auto" w:fill="FFFFFF"/>
          </w:tcPr>
          <w:p w:rsidR="00D11937" w:rsidRPr="0087003A" w:rsidRDefault="00D11937" w:rsidP="001E7DC8">
            <w:pPr>
              <w:pStyle w:val="TextCuadro"/>
            </w:pPr>
            <w:r w:rsidRPr="0087003A">
              <w:t>1</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Bolívar</w:t>
            </w:r>
          </w:p>
        </w:tc>
        <w:tc>
          <w:tcPr>
            <w:tcW w:w="0" w:type="auto"/>
            <w:shd w:val="clear" w:color="auto" w:fill="FFFFFF"/>
          </w:tcPr>
          <w:p w:rsidR="00D11937" w:rsidRPr="0087003A" w:rsidRDefault="00D11937" w:rsidP="001E7DC8">
            <w:pPr>
              <w:pStyle w:val="TextCuadro"/>
            </w:pPr>
            <w:r w:rsidRPr="0087003A">
              <w:t>26</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Boyacá</w:t>
            </w:r>
          </w:p>
        </w:tc>
        <w:tc>
          <w:tcPr>
            <w:tcW w:w="0" w:type="auto"/>
            <w:shd w:val="clear" w:color="auto" w:fill="FFFFFF"/>
          </w:tcPr>
          <w:p w:rsidR="00D11937" w:rsidRPr="0087003A" w:rsidRDefault="00D11937" w:rsidP="001E7DC8">
            <w:pPr>
              <w:pStyle w:val="TextCuadro"/>
            </w:pPr>
            <w:r w:rsidRPr="0087003A">
              <w:t>39</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Cesar</w:t>
            </w:r>
          </w:p>
        </w:tc>
        <w:tc>
          <w:tcPr>
            <w:tcW w:w="0" w:type="auto"/>
            <w:shd w:val="clear" w:color="auto" w:fill="FFFFFF"/>
          </w:tcPr>
          <w:p w:rsidR="00D11937" w:rsidRPr="0087003A" w:rsidRDefault="00D11937" w:rsidP="001E7DC8">
            <w:pPr>
              <w:pStyle w:val="TextCuadro"/>
            </w:pPr>
            <w:r w:rsidRPr="0087003A">
              <w:t>10</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Córdoba</w:t>
            </w:r>
          </w:p>
        </w:tc>
        <w:tc>
          <w:tcPr>
            <w:tcW w:w="0" w:type="auto"/>
            <w:shd w:val="clear" w:color="auto" w:fill="FFFFFF"/>
          </w:tcPr>
          <w:p w:rsidR="00D11937" w:rsidRPr="0087003A" w:rsidRDefault="00D11937" w:rsidP="001E7DC8">
            <w:pPr>
              <w:pStyle w:val="TextCuadro"/>
            </w:pPr>
            <w:r w:rsidRPr="0087003A">
              <w:t>14</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Cundinamarca</w:t>
            </w:r>
          </w:p>
        </w:tc>
        <w:tc>
          <w:tcPr>
            <w:tcW w:w="0" w:type="auto"/>
            <w:shd w:val="clear" w:color="auto" w:fill="FFFFFF"/>
          </w:tcPr>
          <w:p w:rsidR="00D11937" w:rsidRPr="0087003A" w:rsidRDefault="00D11937" w:rsidP="001E7DC8">
            <w:pPr>
              <w:pStyle w:val="TextCuadro"/>
            </w:pPr>
            <w:r w:rsidRPr="0087003A">
              <w:t>35</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La Guajira</w:t>
            </w:r>
          </w:p>
        </w:tc>
        <w:tc>
          <w:tcPr>
            <w:tcW w:w="0" w:type="auto"/>
            <w:shd w:val="clear" w:color="auto" w:fill="FFFFFF"/>
          </w:tcPr>
          <w:p w:rsidR="00D11937" w:rsidRPr="0087003A" w:rsidRDefault="00D11937" w:rsidP="001E7DC8">
            <w:pPr>
              <w:pStyle w:val="TextCuadro"/>
            </w:pPr>
            <w:r w:rsidRPr="0087003A">
              <w:t>8</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Magdalena</w:t>
            </w:r>
          </w:p>
        </w:tc>
        <w:tc>
          <w:tcPr>
            <w:tcW w:w="0" w:type="auto"/>
            <w:shd w:val="clear" w:color="auto" w:fill="FFFFFF"/>
          </w:tcPr>
          <w:p w:rsidR="00D11937" w:rsidRPr="0087003A" w:rsidRDefault="00D11937" w:rsidP="001E7DC8">
            <w:pPr>
              <w:pStyle w:val="TextCuadro"/>
            </w:pPr>
            <w:r w:rsidRPr="0087003A">
              <w:t>21</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Meta</w:t>
            </w:r>
          </w:p>
        </w:tc>
        <w:tc>
          <w:tcPr>
            <w:tcW w:w="0" w:type="auto"/>
            <w:shd w:val="clear" w:color="auto" w:fill="FFFFFF"/>
          </w:tcPr>
          <w:p w:rsidR="00D11937" w:rsidRPr="0087003A" w:rsidRDefault="00D11937" w:rsidP="001E7DC8">
            <w:pPr>
              <w:pStyle w:val="TextCuadro"/>
            </w:pPr>
            <w:r w:rsidRPr="0087003A">
              <w:t>5</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Nariño</w:t>
            </w:r>
          </w:p>
        </w:tc>
        <w:tc>
          <w:tcPr>
            <w:tcW w:w="0" w:type="auto"/>
            <w:shd w:val="clear" w:color="auto" w:fill="FFFFFF"/>
          </w:tcPr>
          <w:p w:rsidR="00D11937" w:rsidRPr="0087003A" w:rsidRDefault="00D11937" w:rsidP="001E7DC8">
            <w:pPr>
              <w:pStyle w:val="TextCuadro"/>
            </w:pPr>
            <w:r w:rsidRPr="0087003A">
              <w:t>6</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Norte de Santander</w:t>
            </w:r>
          </w:p>
        </w:tc>
        <w:tc>
          <w:tcPr>
            <w:tcW w:w="0" w:type="auto"/>
            <w:shd w:val="clear" w:color="auto" w:fill="FFFFFF"/>
          </w:tcPr>
          <w:p w:rsidR="00D11937" w:rsidRPr="0087003A" w:rsidRDefault="00D11937" w:rsidP="001E7DC8">
            <w:pPr>
              <w:pStyle w:val="TextCuadro"/>
            </w:pPr>
            <w:r w:rsidRPr="0087003A">
              <w:t>3</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Quindío</w:t>
            </w:r>
          </w:p>
        </w:tc>
        <w:tc>
          <w:tcPr>
            <w:tcW w:w="0" w:type="auto"/>
            <w:shd w:val="clear" w:color="auto" w:fill="FFFFFF"/>
          </w:tcPr>
          <w:p w:rsidR="00D11937" w:rsidRPr="0087003A" w:rsidRDefault="00D11937" w:rsidP="001E7DC8">
            <w:pPr>
              <w:pStyle w:val="TextCuadro"/>
            </w:pPr>
            <w:r w:rsidRPr="0087003A">
              <w:t>5</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Santander</w:t>
            </w:r>
          </w:p>
        </w:tc>
        <w:tc>
          <w:tcPr>
            <w:tcW w:w="0" w:type="auto"/>
            <w:shd w:val="clear" w:color="auto" w:fill="FFFFFF"/>
          </w:tcPr>
          <w:p w:rsidR="00D11937" w:rsidRPr="0087003A" w:rsidRDefault="00D11937" w:rsidP="001E7DC8">
            <w:pPr>
              <w:pStyle w:val="TextCuadro"/>
            </w:pPr>
            <w:r w:rsidRPr="0087003A">
              <w:t>43</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Sucre</w:t>
            </w:r>
          </w:p>
        </w:tc>
        <w:tc>
          <w:tcPr>
            <w:tcW w:w="0" w:type="auto"/>
            <w:shd w:val="clear" w:color="auto" w:fill="FFFFFF"/>
          </w:tcPr>
          <w:p w:rsidR="00D11937" w:rsidRPr="0087003A" w:rsidRDefault="00D11937" w:rsidP="001E7DC8">
            <w:pPr>
              <w:pStyle w:val="TextCuadro"/>
            </w:pPr>
            <w:r w:rsidRPr="0087003A">
              <w:t>7</w:t>
            </w:r>
          </w:p>
        </w:tc>
      </w:tr>
      <w:tr w:rsidR="00D11937" w:rsidRPr="0087003A" w:rsidTr="001E7DC8">
        <w:trPr>
          <w:trHeight w:hRule="exact" w:val="283"/>
          <w:jc w:val="center"/>
        </w:trPr>
        <w:tc>
          <w:tcPr>
            <w:tcW w:w="0" w:type="auto"/>
            <w:shd w:val="clear" w:color="auto" w:fill="FFFFFF"/>
          </w:tcPr>
          <w:p w:rsidR="00D11937" w:rsidRPr="0087003A" w:rsidRDefault="00D11937" w:rsidP="001E7DC8">
            <w:pPr>
              <w:pStyle w:val="TextCuadro"/>
            </w:pPr>
          </w:p>
        </w:tc>
        <w:tc>
          <w:tcPr>
            <w:tcW w:w="0" w:type="auto"/>
            <w:shd w:val="clear" w:color="auto" w:fill="FFFFFF"/>
          </w:tcPr>
          <w:p w:rsidR="00D11937" w:rsidRPr="0087003A" w:rsidRDefault="00D11937" w:rsidP="001E7DC8">
            <w:pPr>
              <w:pStyle w:val="TextCuadro"/>
            </w:pPr>
            <w:r w:rsidRPr="0087003A">
              <w:t>Tolima</w:t>
            </w:r>
          </w:p>
        </w:tc>
        <w:tc>
          <w:tcPr>
            <w:tcW w:w="0" w:type="auto"/>
            <w:shd w:val="clear" w:color="auto" w:fill="FFFFFF"/>
          </w:tcPr>
          <w:p w:rsidR="00D11937" w:rsidRPr="0087003A" w:rsidRDefault="00D11937" w:rsidP="001E7DC8">
            <w:pPr>
              <w:pStyle w:val="TextCuadro"/>
            </w:pPr>
            <w:r w:rsidRPr="0087003A">
              <w:t>3</w:t>
            </w:r>
          </w:p>
        </w:tc>
      </w:tr>
      <w:tr w:rsidR="00D11937" w:rsidRPr="00B1276A" w:rsidTr="001E7DC8">
        <w:trPr>
          <w:trHeight w:hRule="exact" w:val="283"/>
          <w:jc w:val="center"/>
        </w:trPr>
        <w:tc>
          <w:tcPr>
            <w:tcW w:w="0" w:type="auto"/>
            <w:shd w:val="clear" w:color="auto" w:fill="FFFFFF" w:themeFill="background1"/>
          </w:tcPr>
          <w:p w:rsidR="00D11937" w:rsidRPr="00B1276A" w:rsidRDefault="00D11937" w:rsidP="001E7DC8">
            <w:pPr>
              <w:pStyle w:val="TextCuadro"/>
              <w:rPr>
                <w:b/>
              </w:rPr>
            </w:pPr>
            <w:r w:rsidRPr="00B1276A">
              <w:rPr>
                <w:b/>
              </w:rPr>
              <w:t>TOTAL ACUMULADO</w:t>
            </w:r>
          </w:p>
        </w:tc>
        <w:tc>
          <w:tcPr>
            <w:tcW w:w="0" w:type="auto"/>
            <w:shd w:val="clear" w:color="auto" w:fill="FFFFFF" w:themeFill="background1"/>
          </w:tcPr>
          <w:p w:rsidR="00D11937" w:rsidRPr="00B1276A" w:rsidRDefault="00D11937" w:rsidP="001E7DC8">
            <w:pPr>
              <w:pStyle w:val="TextCuadro"/>
              <w:rPr>
                <w:b/>
              </w:rPr>
            </w:pPr>
          </w:p>
        </w:tc>
        <w:tc>
          <w:tcPr>
            <w:tcW w:w="0" w:type="auto"/>
            <w:shd w:val="clear" w:color="auto" w:fill="FFFFFF" w:themeFill="background1"/>
          </w:tcPr>
          <w:p w:rsidR="00D11937" w:rsidRPr="00B1276A" w:rsidRDefault="00D11937" w:rsidP="001E7DC8">
            <w:pPr>
              <w:pStyle w:val="TextCuadro"/>
              <w:rPr>
                <w:b/>
              </w:rPr>
            </w:pPr>
            <w:r w:rsidRPr="00B1276A">
              <w:rPr>
                <w:b/>
              </w:rPr>
              <w:t>452</w:t>
            </w:r>
          </w:p>
        </w:tc>
      </w:tr>
    </w:tbl>
    <w:p w:rsidR="00D11937" w:rsidRPr="00D72C10" w:rsidRDefault="00D11937" w:rsidP="0062594C">
      <w:pPr>
        <w:pStyle w:val="PiedeCuadro"/>
        <w:rPr>
          <w:sz w:val="20"/>
        </w:rPr>
      </w:pPr>
      <w:r w:rsidRPr="00D72C10">
        <w:rPr>
          <w:sz w:val="20"/>
        </w:rPr>
        <w:t>Fuente: Gran Encuesta Integrada de Hogares. DANE 2010-2013</w:t>
      </w:r>
    </w:p>
    <w:p w:rsidR="00D11937" w:rsidRDefault="00D11937" w:rsidP="00D11937">
      <w:pPr>
        <w:spacing w:before="120" w:after="120"/>
      </w:pPr>
      <w:r w:rsidRPr="003B6CB9">
        <w:t>El proyecto avanza conforme a lo planeado, y el punto principal de acceso a derechos de vía a través del uso de infraestructura eléctrica considera que actualmente el operador del proyecto ha firmado ya contratos con la mayoría de electrificadoras regionales, tal como se presenta a continuación.</w:t>
      </w:r>
    </w:p>
    <w:p w:rsidR="00D11937" w:rsidRPr="00EE1888" w:rsidRDefault="008B5F52" w:rsidP="00D11937">
      <w:pPr>
        <w:pStyle w:val="T-Figura"/>
      </w:pPr>
      <w:r>
        <w:lastRenderedPageBreak/>
        <w:t>Figura 1</w:t>
      </w:r>
      <w:r w:rsidR="00D11937" w:rsidRPr="00EE1888">
        <w:t>.</w:t>
      </w:r>
      <w:r w:rsidR="00D11937">
        <w:t>4</w:t>
      </w:r>
      <w:r w:rsidR="00D11937" w:rsidRPr="00EE1888">
        <w:t xml:space="preserve"> – Electrificadoras regionales involucradas en el PNFO</w:t>
      </w:r>
    </w:p>
    <w:p w:rsidR="00D11937" w:rsidRPr="003B6CB9" w:rsidRDefault="00D11937" w:rsidP="00D11937">
      <w:pPr>
        <w:spacing w:before="120" w:after="120"/>
        <w:jc w:val="center"/>
      </w:pPr>
      <w:r>
        <w:rPr>
          <w:noProof/>
          <w:lang w:val="es-CO" w:eastAsia="es-CO"/>
        </w:rPr>
        <w:drawing>
          <wp:inline distT="0" distB="0" distL="0" distR="0">
            <wp:extent cx="2276475" cy="2821014"/>
            <wp:effectExtent l="19050" t="0" r="9525" b="0"/>
            <wp:docPr id="5"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2276475" cy="2821014"/>
                    </a:xfrm>
                    <a:prstGeom prst="rect">
                      <a:avLst/>
                    </a:prstGeom>
                    <a:noFill/>
                    <a:ln w="9525">
                      <a:noFill/>
                      <a:miter lim="800000"/>
                      <a:headEnd/>
                      <a:tailEnd/>
                    </a:ln>
                  </pic:spPr>
                </pic:pic>
              </a:graphicData>
            </a:graphic>
          </wp:inline>
        </w:drawing>
      </w:r>
    </w:p>
    <w:p w:rsidR="00D11937" w:rsidRPr="00D72C10" w:rsidRDefault="00D11937" w:rsidP="0062594C">
      <w:pPr>
        <w:pStyle w:val="PiedeCuadro"/>
        <w:rPr>
          <w:sz w:val="20"/>
        </w:rPr>
      </w:pPr>
      <w:r w:rsidRPr="00D72C10">
        <w:rPr>
          <w:sz w:val="20"/>
        </w:rPr>
        <w:t>Fuente: MINTIC 2013.</w:t>
      </w:r>
    </w:p>
    <w:p w:rsidR="00D11937" w:rsidRPr="003B6CB9" w:rsidRDefault="00D11937" w:rsidP="00D11937">
      <w:pPr>
        <w:spacing w:before="120" w:after="120"/>
      </w:pPr>
      <w:r w:rsidRPr="003B6CB9">
        <w:t>De conformidad con lo anterior, se encuentra que el PNFO avanza de conformidad con lo planeado, y con los recursos financieros y acceso a derechos de vía disponibles, por lo que es previsible que se logre la meta propuesta dentro del cronograma planeado.</w:t>
      </w:r>
    </w:p>
    <w:p w:rsidR="00D11937" w:rsidRPr="00E6585F" w:rsidRDefault="00D11937" w:rsidP="0020708C">
      <w:pPr>
        <w:pStyle w:val="Ttulo3"/>
        <w:numPr>
          <w:ilvl w:val="2"/>
          <w:numId w:val="42"/>
        </w:numPr>
        <w:spacing w:before="200" w:after="120"/>
        <w:rPr>
          <w:sz w:val="26"/>
          <w:szCs w:val="26"/>
        </w:rPr>
      </w:pPr>
      <w:bookmarkStart w:id="86" w:name="_Toc374109415"/>
      <w:r w:rsidRPr="00E6585F">
        <w:rPr>
          <w:sz w:val="26"/>
          <w:szCs w:val="26"/>
        </w:rPr>
        <w:t>Conectividad internacional</w:t>
      </w:r>
      <w:bookmarkEnd w:id="86"/>
      <w:r w:rsidRPr="00E6585F">
        <w:rPr>
          <w:sz w:val="26"/>
          <w:szCs w:val="26"/>
        </w:rPr>
        <w:t xml:space="preserve"> </w:t>
      </w:r>
    </w:p>
    <w:p w:rsidR="00D11937" w:rsidRPr="00375B7F" w:rsidRDefault="00D11937" w:rsidP="00EC6911">
      <w:pPr>
        <w:rPr>
          <w:rFonts w:cs="Arial"/>
        </w:rPr>
      </w:pPr>
      <w:r w:rsidRPr="00375B7F">
        <w:rPr>
          <w:rFonts w:cs="Arial"/>
        </w:rPr>
        <w:t>El indicador 5</w:t>
      </w:r>
      <w:r>
        <w:rPr>
          <w:rFonts w:cs="Arial"/>
        </w:rPr>
        <w:t xml:space="preserve"> antes mencionado,</w:t>
      </w:r>
      <w:r w:rsidRPr="00375B7F">
        <w:rPr>
          <w:rFonts w:cs="Arial"/>
        </w:rPr>
        <w:t xml:space="preserve"> hace referencia a la conectividad internacional:</w:t>
      </w:r>
    </w:p>
    <w:p w:rsidR="00D11937" w:rsidRPr="00375B7F" w:rsidRDefault="00D11937" w:rsidP="00EC6911">
      <w:pPr>
        <w:pStyle w:val="Prrafodelista"/>
        <w:numPr>
          <w:ilvl w:val="0"/>
          <w:numId w:val="35"/>
        </w:numPr>
        <w:contextualSpacing w:val="0"/>
      </w:pPr>
      <w:r w:rsidRPr="00375B7F">
        <w:t>Es fundamental ampliar y optimizar la conectividad internacional</w:t>
      </w:r>
    </w:p>
    <w:p w:rsidR="00D11937" w:rsidRPr="001D23D7" w:rsidRDefault="00D11937" w:rsidP="00EC6911">
      <w:pPr>
        <w:rPr>
          <w:rFonts w:cs="Arial"/>
        </w:rPr>
      </w:pPr>
      <w:r w:rsidRPr="001D23D7">
        <w:rPr>
          <w:rFonts w:cs="Arial"/>
        </w:rPr>
        <w:t xml:space="preserve">A finales del año 2011 se realizó un análisis sobre la situación de conectividad internacional en Colombia (Afianza 2011), la cual evidenció el estado de desarrollo de cables submarinos que tocaban territorio colombiano. </w:t>
      </w:r>
    </w:p>
    <w:p w:rsidR="00D11937" w:rsidRPr="001D23D7" w:rsidRDefault="00D11937" w:rsidP="00EC6911">
      <w:pPr>
        <w:rPr>
          <w:rFonts w:cs="Arial"/>
        </w:rPr>
      </w:pPr>
      <w:r w:rsidRPr="001D23D7">
        <w:rPr>
          <w:rFonts w:cs="Arial"/>
        </w:rPr>
        <w:t xml:space="preserve">Se evidenció en ese momento que en Colombia, llegaban varios cables a la costa Caribe con cinco cables en servicio. Así mismo se encontró información sobre el anuncio de parte de América Móvil de la próxima instalación de un nuevo cable (cable AM-1). </w:t>
      </w:r>
    </w:p>
    <w:p w:rsidR="00D11937" w:rsidRDefault="00D11937" w:rsidP="00EC6911">
      <w:pPr>
        <w:rPr>
          <w:rFonts w:cs="Arial"/>
        </w:rPr>
      </w:pPr>
      <w:r w:rsidRPr="001D23D7">
        <w:rPr>
          <w:rFonts w:cs="Arial"/>
        </w:rPr>
        <w:t xml:space="preserve">En el caso de la costa pacífica, se encontró que el cable South American </w:t>
      </w:r>
      <w:proofErr w:type="spellStart"/>
      <w:r w:rsidRPr="001D23D7">
        <w:rPr>
          <w:rFonts w:cs="Arial"/>
        </w:rPr>
        <w:t>Crossing</w:t>
      </w:r>
      <w:proofErr w:type="spellEnd"/>
      <w:r w:rsidRPr="001D23D7">
        <w:rPr>
          <w:rFonts w:cs="Arial"/>
        </w:rPr>
        <w:t xml:space="preserve"> (SAC), propiedad del operador </w:t>
      </w:r>
      <w:proofErr w:type="spellStart"/>
      <w:r w:rsidRPr="001D23D7">
        <w:rPr>
          <w:rFonts w:cs="Arial"/>
        </w:rPr>
        <w:t>Level</w:t>
      </w:r>
      <w:proofErr w:type="spellEnd"/>
      <w:r w:rsidRPr="001D23D7">
        <w:rPr>
          <w:rFonts w:cs="Arial"/>
        </w:rPr>
        <w:t xml:space="preserve"> 3, tiene previsto un ramal en Buenaventura desde su construcción original el cual no había sido aún desarrollado para conectar directamente al país. La información del año 2011 de cables existentes y oficialmente anunciados se presenta a continuación.</w:t>
      </w:r>
    </w:p>
    <w:p w:rsidR="00D11937" w:rsidRPr="00847EBD" w:rsidRDefault="00D11937" w:rsidP="00D11937">
      <w:pPr>
        <w:pStyle w:val="T-Figura"/>
        <w:spacing w:after="200"/>
      </w:pPr>
      <w:bookmarkStart w:id="87" w:name="_Toc313345802"/>
      <w:r w:rsidRPr="00847EBD">
        <w:lastRenderedPageBreak/>
        <w:t xml:space="preserve">Figura </w:t>
      </w:r>
      <w:r w:rsidR="008B5F52">
        <w:t>1</w:t>
      </w:r>
      <w:r>
        <w:t>.5</w:t>
      </w:r>
      <w:r w:rsidRPr="00847EBD">
        <w:t xml:space="preserve"> </w:t>
      </w:r>
      <w:r>
        <w:t>–</w:t>
      </w:r>
      <w:r w:rsidRPr="00847EBD">
        <w:t xml:space="preserve"> </w:t>
      </w:r>
      <w:r>
        <w:t>Cables submarinos conectados o anunciados en 2011</w:t>
      </w:r>
    </w:p>
    <w:bookmarkEnd w:id="87"/>
    <w:p w:rsidR="00D11937" w:rsidRPr="004348E3" w:rsidRDefault="00D11937" w:rsidP="00D11937">
      <w:pPr>
        <w:spacing w:after="200"/>
        <w:jc w:val="center"/>
      </w:pPr>
      <w:r>
        <w:rPr>
          <w:noProof/>
          <w:lang w:val="es-CO" w:eastAsia="es-CO"/>
        </w:rPr>
        <w:drawing>
          <wp:inline distT="0" distB="0" distL="0" distR="0">
            <wp:extent cx="3289627" cy="2562446"/>
            <wp:effectExtent l="0" t="0" r="0" b="0"/>
            <wp:docPr id="12"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3658" cy="2565586"/>
                    </a:xfrm>
                    <a:prstGeom prst="rect">
                      <a:avLst/>
                    </a:prstGeom>
                    <a:noFill/>
                    <a:ln>
                      <a:noFill/>
                    </a:ln>
                  </pic:spPr>
                </pic:pic>
              </a:graphicData>
            </a:graphic>
          </wp:inline>
        </w:drawing>
      </w:r>
    </w:p>
    <w:p w:rsidR="00D11937" w:rsidRPr="00D72C10" w:rsidRDefault="00D11937" w:rsidP="0062594C">
      <w:pPr>
        <w:pStyle w:val="PiedeCuadro"/>
        <w:rPr>
          <w:sz w:val="20"/>
        </w:rPr>
      </w:pPr>
      <w:r w:rsidRPr="00D72C10">
        <w:rPr>
          <w:sz w:val="20"/>
        </w:rPr>
        <w:t xml:space="preserve">Fuente – Afianza (2011) y </w:t>
      </w:r>
      <w:proofErr w:type="spellStart"/>
      <w:r w:rsidRPr="00D72C10">
        <w:rPr>
          <w:sz w:val="20"/>
        </w:rPr>
        <w:t>Telegeography</w:t>
      </w:r>
      <w:proofErr w:type="spellEnd"/>
    </w:p>
    <w:p w:rsidR="00D11937" w:rsidRDefault="00D11937" w:rsidP="00D11937">
      <w:pPr>
        <w:spacing w:after="200"/>
      </w:pPr>
      <w:r w:rsidRPr="001D23D7">
        <w:rPr>
          <w:rFonts w:cs="Arial"/>
        </w:rPr>
        <w:t xml:space="preserve">Estos cables presentan trazados que corresponden a los intereses de tráfico de cada operador y su conexión hacia los grandes NAP en Norteamérica. Los trazados de los cables </w:t>
      </w:r>
      <w:r w:rsidRPr="001D23D7">
        <w:t>encontrados en ese entonces se presentan a continuación.</w:t>
      </w:r>
    </w:p>
    <w:p w:rsidR="00D11937" w:rsidRPr="00847EBD" w:rsidRDefault="00D11937" w:rsidP="00D11937">
      <w:pPr>
        <w:pStyle w:val="T-Figura"/>
        <w:spacing w:after="200"/>
      </w:pPr>
      <w:r w:rsidRPr="00847EBD">
        <w:t xml:space="preserve">Figura </w:t>
      </w:r>
      <w:r w:rsidR="008B5F52">
        <w:t>1</w:t>
      </w:r>
      <w:r>
        <w:t>.6</w:t>
      </w:r>
      <w:r w:rsidRPr="00847EBD">
        <w:t xml:space="preserve"> </w:t>
      </w:r>
      <w:r>
        <w:t>–</w:t>
      </w:r>
      <w:r w:rsidRPr="00847EBD">
        <w:t xml:space="preserve"> </w:t>
      </w:r>
      <w:r w:rsidRPr="001D23D7">
        <w:t xml:space="preserve">Trazados regionales </w:t>
      </w:r>
      <w:r>
        <w:t xml:space="preserve">de </w:t>
      </w:r>
      <w:r w:rsidRPr="001D23D7">
        <w:t xml:space="preserve">cables submarinos </w:t>
      </w:r>
      <w:r>
        <w:t>– 2011</w:t>
      </w:r>
    </w:p>
    <w:p w:rsidR="00D11937" w:rsidRDefault="00D11937" w:rsidP="00D11937">
      <w:pPr>
        <w:spacing w:after="200"/>
        <w:jc w:val="center"/>
      </w:pPr>
      <w:r>
        <w:rPr>
          <w:noProof/>
          <w:lang w:val="es-CO" w:eastAsia="es-CO"/>
        </w:rPr>
        <w:drawing>
          <wp:inline distT="0" distB="0" distL="0" distR="0">
            <wp:extent cx="3659815" cy="2735493"/>
            <wp:effectExtent l="19050" t="0" r="0" b="0"/>
            <wp:docPr id="13"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0505" cy="2743483"/>
                    </a:xfrm>
                    <a:prstGeom prst="rect">
                      <a:avLst/>
                    </a:prstGeom>
                    <a:noFill/>
                    <a:ln>
                      <a:noFill/>
                    </a:ln>
                  </pic:spPr>
                </pic:pic>
              </a:graphicData>
            </a:graphic>
          </wp:inline>
        </w:drawing>
      </w:r>
    </w:p>
    <w:p w:rsidR="00D11937" w:rsidRPr="00D72C10" w:rsidRDefault="00D11937" w:rsidP="0062594C">
      <w:pPr>
        <w:pStyle w:val="PiedeCuadro"/>
        <w:rPr>
          <w:sz w:val="20"/>
        </w:rPr>
      </w:pPr>
      <w:r w:rsidRPr="00D72C10">
        <w:rPr>
          <w:sz w:val="20"/>
        </w:rPr>
        <w:t xml:space="preserve">Fuente. Afianza (2011) y </w:t>
      </w:r>
      <w:proofErr w:type="spellStart"/>
      <w:r w:rsidRPr="00D72C10">
        <w:rPr>
          <w:sz w:val="20"/>
        </w:rPr>
        <w:t>Telegeography</w:t>
      </w:r>
      <w:proofErr w:type="spellEnd"/>
      <w:r w:rsidRPr="00D72C10">
        <w:rPr>
          <w:sz w:val="20"/>
        </w:rPr>
        <w:t xml:space="preserve"> – Incluye AM-1 anunciado en 2011</w:t>
      </w:r>
    </w:p>
    <w:p w:rsidR="00D11937" w:rsidRPr="001D23D7" w:rsidRDefault="00D11937" w:rsidP="00D11937">
      <w:pPr>
        <w:spacing w:after="200"/>
        <w:rPr>
          <w:rFonts w:cs="Arial"/>
        </w:rPr>
      </w:pPr>
      <w:r w:rsidRPr="001D23D7">
        <w:rPr>
          <w:rFonts w:cs="Arial"/>
        </w:rPr>
        <w:t xml:space="preserve">Posteriormente, el cable AM-1 </w:t>
      </w:r>
      <w:r>
        <w:rPr>
          <w:rFonts w:cs="Arial"/>
        </w:rPr>
        <w:t xml:space="preserve">renombrado AMX-1 inició su despliegue; así mismo se dio el despliegue de un ramal hacia Colombia del cable </w:t>
      </w:r>
      <w:proofErr w:type="spellStart"/>
      <w:r>
        <w:rPr>
          <w:rFonts w:cs="Arial"/>
        </w:rPr>
        <w:t>GlobeNet</w:t>
      </w:r>
      <w:proofErr w:type="spellEnd"/>
      <w:r>
        <w:rPr>
          <w:rFonts w:cs="Arial"/>
        </w:rPr>
        <w:t xml:space="preserve">, y se anunció para el </w:t>
      </w:r>
      <w:r>
        <w:rPr>
          <w:rFonts w:cs="Arial"/>
        </w:rPr>
        <w:lastRenderedPageBreak/>
        <w:t xml:space="preserve">año 2014 </w:t>
      </w:r>
      <w:r w:rsidRPr="001D23D7">
        <w:rPr>
          <w:rFonts w:cs="Arial"/>
        </w:rPr>
        <w:t xml:space="preserve">el cable </w:t>
      </w:r>
      <w:proofErr w:type="spellStart"/>
      <w:r w:rsidRPr="001D23D7">
        <w:rPr>
          <w:rFonts w:cs="Arial"/>
        </w:rPr>
        <w:t>Pacific</w:t>
      </w:r>
      <w:proofErr w:type="spellEnd"/>
      <w:r w:rsidRPr="001D23D7">
        <w:rPr>
          <w:rFonts w:cs="Arial"/>
        </w:rPr>
        <w:t xml:space="preserve"> </w:t>
      </w:r>
      <w:proofErr w:type="spellStart"/>
      <w:r w:rsidRPr="001D23D7">
        <w:rPr>
          <w:rFonts w:cs="Arial"/>
        </w:rPr>
        <w:t>Caribbean</w:t>
      </w:r>
      <w:proofErr w:type="spellEnd"/>
      <w:r w:rsidRPr="001D23D7">
        <w:rPr>
          <w:rFonts w:cs="Arial"/>
        </w:rPr>
        <w:t xml:space="preserve"> Cable </w:t>
      </w:r>
      <w:proofErr w:type="spellStart"/>
      <w:r w:rsidRPr="001D23D7">
        <w:rPr>
          <w:rFonts w:cs="Arial"/>
        </w:rPr>
        <w:t>System</w:t>
      </w:r>
      <w:proofErr w:type="spellEnd"/>
      <w:r w:rsidRPr="001D23D7">
        <w:rPr>
          <w:rFonts w:cs="Arial"/>
        </w:rPr>
        <w:t xml:space="preserve"> (PCCS) de Cable &amp; </w:t>
      </w:r>
      <w:proofErr w:type="spellStart"/>
      <w:r w:rsidRPr="001D23D7">
        <w:rPr>
          <w:rFonts w:cs="Arial"/>
        </w:rPr>
        <w:t>Wireless</w:t>
      </w:r>
      <w:proofErr w:type="spellEnd"/>
      <w:r w:rsidRPr="001D23D7">
        <w:rPr>
          <w:rFonts w:cs="Arial"/>
        </w:rPr>
        <w:t xml:space="preserve"> </w:t>
      </w:r>
      <w:proofErr w:type="spellStart"/>
      <w:r w:rsidRPr="001D23D7">
        <w:rPr>
          <w:rFonts w:cs="Arial"/>
        </w:rPr>
        <w:t>Communications</w:t>
      </w:r>
      <w:proofErr w:type="spellEnd"/>
      <w:r w:rsidRPr="001D23D7">
        <w:rPr>
          <w:rFonts w:cs="Arial"/>
        </w:rPr>
        <w:t xml:space="preserve">, </w:t>
      </w:r>
      <w:proofErr w:type="spellStart"/>
      <w:r w:rsidRPr="001D23D7">
        <w:rPr>
          <w:rFonts w:cs="Arial"/>
        </w:rPr>
        <w:t>Telconet</w:t>
      </w:r>
      <w:proofErr w:type="spellEnd"/>
      <w:r w:rsidRPr="001D23D7">
        <w:rPr>
          <w:rFonts w:cs="Arial"/>
        </w:rPr>
        <w:t xml:space="preserve">, </w:t>
      </w:r>
      <w:proofErr w:type="spellStart"/>
      <w:r w:rsidRPr="001D23D7">
        <w:rPr>
          <w:rFonts w:cs="Arial"/>
        </w:rPr>
        <w:t>Telefonica</w:t>
      </w:r>
      <w:proofErr w:type="spellEnd"/>
      <w:r w:rsidRPr="001D23D7">
        <w:rPr>
          <w:rFonts w:cs="Arial"/>
        </w:rPr>
        <w:t xml:space="preserve">, Setar, </w:t>
      </w:r>
      <w:proofErr w:type="spellStart"/>
      <w:r w:rsidRPr="001D23D7">
        <w:rPr>
          <w:rFonts w:cs="Arial"/>
        </w:rPr>
        <w:t>United</w:t>
      </w:r>
      <w:proofErr w:type="spellEnd"/>
      <w:r w:rsidRPr="001D23D7">
        <w:rPr>
          <w:rFonts w:cs="Arial"/>
        </w:rPr>
        <w:t xml:space="preserve"> </w:t>
      </w:r>
      <w:proofErr w:type="spellStart"/>
      <w:r w:rsidRPr="001D23D7">
        <w:rPr>
          <w:rFonts w:cs="Arial"/>
        </w:rPr>
        <w:t>Telecommunication</w:t>
      </w:r>
      <w:proofErr w:type="spellEnd"/>
      <w:r w:rsidRPr="001D23D7">
        <w:rPr>
          <w:rFonts w:cs="Arial"/>
        </w:rPr>
        <w:t xml:space="preserve"> </w:t>
      </w:r>
      <w:proofErr w:type="spellStart"/>
      <w:r w:rsidRPr="001D23D7">
        <w:rPr>
          <w:rFonts w:cs="Arial"/>
        </w:rPr>
        <w:t>Services</w:t>
      </w:r>
      <w:proofErr w:type="spellEnd"/>
      <w:r w:rsidRPr="001D23D7">
        <w:rPr>
          <w:rFonts w:cs="Arial"/>
        </w:rPr>
        <w:t xml:space="preserve"> (UTS) planeado para el semestre 3 de 2014, variando la conformación de cables (instalados y anunciados), conforme a la siguiente ilustración.</w:t>
      </w:r>
    </w:p>
    <w:p w:rsidR="00D11937" w:rsidRPr="00847EBD" w:rsidRDefault="00D11937" w:rsidP="00D11937">
      <w:pPr>
        <w:pStyle w:val="T-Figura"/>
        <w:spacing w:after="200"/>
      </w:pPr>
      <w:r w:rsidRPr="00847EBD">
        <w:t xml:space="preserve">Figura </w:t>
      </w:r>
      <w:r w:rsidR="008B5F52">
        <w:t>1</w:t>
      </w:r>
      <w:r>
        <w:t>.7</w:t>
      </w:r>
      <w:r w:rsidRPr="00847EBD">
        <w:t xml:space="preserve"> </w:t>
      </w:r>
      <w:r>
        <w:t>–</w:t>
      </w:r>
      <w:r w:rsidRPr="00847EBD">
        <w:t xml:space="preserve"> </w:t>
      </w:r>
      <w:r w:rsidRPr="001D23D7">
        <w:t xml:space="preserve">Trazados regionales </w:t>
      </w:r>
      <w:r>
        <w:t xml:space="preserve">de </w:t>
      </w:r>
      <w:r w:rsidRPr="001D23D7">
        <w:t xml:space="preserve">cables submarinos </w:t>
      </w:r>
      <w:r>
        <w:t>- 2013</w:t>
      </w:r>
    </w:p>
    <w:p w:rsidR="00D11937" w:rsidRDefault="00D11937" w:rsidP="00D11937">
      <w:pPr>
        <w:spacing w:after="200"/>
        <w:jc w:val="center"/>
      </w:pPr>
      <w:r>
        <w:rPr>
          <w:noProof/>
          <w:lang w:val="es-CO" w:eastAsia="es-CO"/>
        </w:rPr>
        <w:drawing>
          <wp:inline distT="0" distB="0" distL="0" distR="0">
            <wp:extent cx="3019647" cy="2590281"/>
            <wp:effectExtent l="0" t="0" r="0" b="0"/>
            <wp:docPr id="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2104" cy="2592388"/>
                    </a:xfrm>
                    <a:prstGeom prst="rect">
                      <a:avLst/>
                    </a:prstGeom>
                    <a:noFill/>
                    <a:ln>
                      <a:noFill/>
                    </a:ln>
                  </pic:spPr>
                </pic:pic>
              </a:graphicData>
            </a:graphic>
          </wp:inline>
        </w:drawing>
      </w:r>
    </w:p>
    <w:p w:rsidR="00D11937" w:rsidRPr="00D72C10" w:rsidRDefault="00D11937" w:rsidP="0062594C">
      <w:pPr>
        <w:pStyle w:val="PiedeCuadro"/>
        <w:rPr>
          <w:sz w:val="20"/>
        </w:rPr>
      </w:pPr>
      <w:r w:rsidRPr="00D72C10">
        <w:rPr>
          <w:sz w:val="20"/>
        </w:rPr>
        <w:t>Fuente –</w:t>
      </w:r>
      <w:proofErr w:type="spellStart"/>
      <w:r w:rsidRPr="00D72C10">
        <w:rPr>
          <w:sz w:val="20"/>
        </w:rPr>
        <w:t>Telegeography</w:t>
      </w:r>
      <w:proofErr w:type="spellEnd"/>
    </w:p>
    <w:p w:rsidR="00D11937" w:rsidRDefault="00D11937" w:rsidP="00D11937">
      <w:pPr>
        <w:spacing w:after="200"/>
      </w:pPr>
      <w:r>
        <w:t>La ruta específica del sistema PCCS anunciado incluye el Ecuador, Panamá, Colombia, Araba, islas del Caribe y Estados Unidos.</w:t>
      </w:r>
    </w:p>
    <w:p w:rsidR="00D11937" w:rsidRPr="00847EBD" w:rsidRDefault="00D11937" w:rsidP="00D11937">
      <w:pPr>
        <w:pStyle w:val="T-Figura"/>
        <w:spacing w:after="200"/>
      </w:pPr>
      <w:r w:rsidRPr="00847EBD">
        <w:t xml:space="preserve">Figura </w:t>
      </w:r>
      <w:r w:rsidR="008B5F52">
        <w:t>1</w:t>
      </w:r>
      <w:r>
        <w:t>.8</w:t>
      </w:r>
      <w:r w:rsidRPr="00847EBD">
        <w:t xml:space="preserve"> </w:t>
      </w:r>
      <w:r>
        <w:t>–</w:t>
      </w:r>
      <w:r w:rsidRPr="00847EBD">
        <w:t xml:space="preserve"> </w:t>
      </w:r>
      <w:r w:rsidRPr="001D23D7">
        <w:t>Trazado</w:t>
      </w:r>
      <w:r>
        <w:t xml:space="preserve"> anunciado cable PCCS y </w:t>
      </w:r>
      <w:proofErr w:type="spellStart"/>
      <w:r>
        <w:t>GlobeNet</w:t>
      </w:r>
      <w:proofErr w:type="spellEnd"/>
    </w:p>
    <w:p w:rsidR="00D11937" w:rsidRPr="00136BA6" w:rsidRDefault="00D11937" w:rsidP="00D11937">
      <w:pPr>
        <w:spacing w:after="200"/>
        <w:jc w:val="center"/>
      </w:pPr>
      <w:r>
        <w:rPr>
          <w:noProof/>
          <w:lang w:val="es-CO" w:eastAsia="es-CO"/>
        </w:rPr>
        <w:drawing>
          <wp:inline distT="0" distB="0" distL="0" distR="0">
            <wp:extent cx="4210493" cy="2242173"/>
            <wp:effectExtent l="19050" t="0" r="0" b="0"/>
            <wp:docPr id="2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08106" cy="2240902"/>
                    </a:xfrm>
                    <a:prstGeom prst="rect">
                      <a:avLst/>
                    </a:prstGeom>
                    <a:noFill/>
                    <a:ln>
                      <a:noFill/>
                    </a:ln>
                  </pic:spPr>
                </pic:pic>
              </a:graphicData>
            </a:graphic>
          </wp:inline>
        </w:drawing>
      </w:r>
    </w:p>
    <w:p w:rsidR="00D11937" w:rsidRPr="00D72C10" w:rsidRDefault="00D11937" w:rsidP="0062594C">
      <w:pPr>
        <w:pStyle w:val="PiedeCuadro"/>
        <w:rPr>
          <w:sz w:val="20"/>
        </w:rPr>
      </w:pPr>
      <w:r w:rsidRPr="00D72C10">
        <w:rPr>
          <w:sz w:val="20"/>
        </w:rPr>
        <w:t xml:space="preserve">Fuente - </w:t>
      </w:r>
      <w:proofErr w:type="spellStart"/>
      <w:r w:rsidRPr="00D72C10">
        <w:rPr>
          <w:sz w:val="20"/>
        </w:rPr>
        <w:t>Telegeography</w:t>
      </w:r>
      <w:proofErr w:type="spellEnd"/>
    </w:p>
    <w:p w:rsidR="00D11937" w:rsidRDefault="00D11937" w:rsidP="00D11937">
      <w:pPr>
        <w:spacing w:after="200"/>
        <w:rPr>
          <w:rFonts w:cs="Arial"/>
        </w:rPr>
      </w:pPr>
      <w:r w:rsidRPr="004348E3">
        <w:rPr>
          <w:rFonts w:cs="Arial"/>
        </w:rPr>
        <w:lastRenderedPageBreak/>
        <w:t>Los cables submarinos aquí ilustrados</w:t>
      </w:r>
      <w:r>
        <w:rPr>
          <w:rFonts w:cs="Arial"/>
        </w:rPr>
        <w:t xml:space="preserve"> tomados de la base de </w:t>
      </w:r>
      <w:proofErr w:type="spellStart"/>
      <w:r>
        <w:rPr>
          <w:rFonts w:cs="Arial"/>
        </w:rPr>
        <w:t>Telegeography</w:t>
      </w:r>
      <w:proofErr w:type="spellEnd"/>
      <w:r>
        <w:rPr>
          <w:rFonts w:cs="Arial"/>
        </w:rPr>
        <w:t xml:space="preserve"> tanto anunciados como planeados se </w:t>
      </w:r>
      <w:r w:rsidRPr="004348E3">
        <w:rPr>
          <w:rFonts w:cs="Arial"/>
        </w:rPr>
        <w:t>detallan a continuación</w:t>
      </w:r>
      <w:r>
        <w:rPr>
          <w:rFonts w:cs="Arial"/>
        </w:rPr>
        <w:t>.</w:t>
      </w:r>
    </w:p>
    <w:p w:rsidR="00D11937" w:rsidRPr="00D264A3" w:rsidRDefault="00D11937" w:rsidP="00D11937">
      <w:pPr>
        <w:pStyle w:val="T-Figura"/>
      </w:pPr>
      <w:r w:rsidRPr="006B4E39">
        <w:t xml:space="preserve">Cuadro </w:t>
      </w:r>
      <w:r w:rsidR="008B5F52">
        <w:t>1</w:t>
      </w:r>
      <w:r>
        <w:t>.8</w:t>
      </w:r>
      <w:r w:rsidRPr="006B4E39">
        <w:t xml:space="preserve"> </w:t>
      </w:r>
      <w:r>
        <w:t>–</w:t>
      </w:r>
      <w:r w:rsidRPr="006B4E39">
        <w:t xml:space="preserve"> </w:t>
      </w:r>
      <w:r>
        <w:t>Cables Submarinos por Colombia</w:t>
      </w:r>
    </w:p>
    <w:tbl>
      <w:tblPr>
        <w:tblW w:w="5000" w:type="pct"/>
        <w:tblLook w:val="01E0"/>
      </w:tblPr>
      <w:tblGrid>
        <w:gridCol w:w="1950"/>
        <w:gridCol w:w="6005"/>
        <w:gridCol w:w="1099"/>
      </w:tblGrid>
      <w:tr w:rsidR="00D11937" w:rsidRPr="00C740A8" w:rsidTr="001E7DC8">
        <w:trPr>
          <w:trHeight w:val="454"/>
        </w:trPr>
        <w:tc>
          <w:tcPr>
            <w:tcW w:w="1077" w:type="pct"/>
            <w:tcBorders>
              <w:bottom w:val="single" w:sz="4" w:space="0" w:color="BFBFBF" w:themeColor="background1" w:themeShade="BF"/>
            </w:tcBorders>
            <w:shd w:val="clear" w:color="auto" w:fill="BFBFBF" w:themeFill="background1" w:themeFillShade="BF"/>
            <w:vAlign w:val="center"/>
          </w:tcPr>
          <w:p w:rsidR="00D11937" w:rsidRPr="00C740A8" w:rsidRDefault="00D11937" w:rsidP="001E7DC8">
            <w:pPr>
              <w:spacing w:before="0" w:line="240" w:lineRule="auto"/>
              <w:jc w:val="center"/>
              <w:rPr>
                <w:rFonts w:ascii="Arial Narrow" w:hAnsi="Arial Narrow" w:cs="Arial"/>
                <w:b/>
                <w:sz w:val="20"/>
                <w:szCs w:val="20"/>
              </w:rPr>
            </w:pPr>
            <w:bookmarkStart w:id="88" w:name="_Hlk313256990"/>
            <w:r w:rsidRPr="00C740A8">
              <w:rPr>
                <w:rFonts w:ascii="Arial Narrow" w:hAnsi="Arial Narrow" w:cs="Arial"/>
                <w:b/>
                <w:sz w:val="20"/>
                <w:szCs w:val="20"/>
              </w:rPr>
              <w:t>Cable / Sigla</w:t>
            </w:r>
          </w:p>
        </w:tc>
        <w:tc>
          <w:tcPr>
            <w:tcW w:w="3316" w:type="pct"/>
            <w:tcBorders>
              <w:bottom w:val="single" w:sz="4" w:space="0" w:color="BFBFBF" w:themeColor="background1" w:themeShade="BF"/>
            </w:tcBorders>
            <w:shd w:val="clear" w:color="auto" w:fill="BFBFBF" w:themeFill="background1" w:themeFillShade="BF"/>
            <w:vAlign w:val="center"/>
          </w:tcPr>
          <w:p w:rsidR="00D11937" w:rsidRPr="00C740A8" w:rsidRDefault="00D11937" w:rsidP="001E7DC8">
            <w:pPr>
              <w:spacing w:before="0" w:line="240" w:lineRule="auto"/>
              <w:jc w:val="center"/>
              <w:rPr>
                <w:rFonts w:ascii="Arial Narrow" w:hAnsi="Arial Narrow" w:cs="Arial"/>
                <w:b/>
                <w:sz w:val="20"/>
                <w:szCs w:val="20"/>
              </w:rPr>
            </w:pPr>
            <w:r w:rsidRPr="00C740A8">
              <w:rPr>
                <w:rFonts w:ascii="Arial Narrow" w:hAnsi="Arial Narrow" w:cs="Arial"/>
                <w:b/>
                <w:sz w:val="20"/>
                <w:szCs w:val="20"/>
              </w:rPr>
              <w:t>Propietario</w:t>
            </w:r>
          </w:p>
        </w:tc>
        <w:tc>
          <w:tcPr>
            <w:tcW w:w="608" w:type="pct"/>
            <w:tcBorders>
              <w:bottom w:val="single" w:sz="4" w:space="0" w:color="BFBFBF" w:themeColor="background1" w:themeShade="BF"/>
            </w:tcBorders>
            <w:shd w:val="clear" w:color="auto" w:fill="BFBFBF" w:themeFill="background1" w:themeFillShade="BF"/>
            <w:vAlign w:val="center"/>
          </w:tcPr>
          <w:p w:rsidR="00D11937" w:rsidRPr="00C740A8" w:rsidRDefault="00D11937" w:rsidP="001E7DC8">
            <w:pPr>
              <w:spacing w:before="0" w:line="240" w:lineRule="auto"/>
              <w:jc w:val="center"/>
              <w:rPr>
                <w:rFonts w:ascii="Arial Narrow" w:hAnsi="Arial Narrow" w:cs="Arial"/>
                <w:b/>
                <w:sz w:val="20"/>
                <w:szCs w:val="20"/>
              </w:rPr>
            </w:pPr>
            <w:r w:rsidRPr="00C740A8">
              <w:rPr>
                <w:rFonts w:ascii="Arial Narrow" w:hAnsi="Arial Narrow" w:cs="Arial"/>
                <w:b/>
                <w:sz w:val="20"/>
                <w:szCs w:val="20"/>
              </w:rPr>
              <w:t>Inicio</w:t>
            </w:r>
          </w:p>
        </w:tc>
      </w:tr>
      <w:tr w:rsidR="00D11937" w:rsidRPr="00284A44" w:rsidTr="00D72C10">
        <w:trPr>
          <w:trHeight w:val="1077"/>
        </w:trPr>
        <w:tc>
          <w:tcPr>
            <w:tcW w:w="1077"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cs="Arial"/>
                <w:sz w:val="20"/>
                <w:szCs w:val="20"/>
              </w:rPr>
              <w:t>Pan American / PANAM</w:t>
            </w:r>
          </w:p>
        </w:tc>
        <w:tc>
          <w:tcPr>
            <w:tcW w:w="3316"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cs="Arial"/>
                <w:sz w:val="20"/>
                <w:szCs w:val="20"/>
              </w:rPr>
              <w:t xml:space="preserve">AT&amp;T, </w:t>
            </w:r>
            <w:proofErr w:type="spellStart"/>
            <w:r w:rsidRPr="00284A44">
              <w:rPr>
                <w:rFonts w:ascii="Arial Narrow" w:hAnsi="Arial Narrow" w:cs="Arial"/>
                <w:sz w:val="20"/>
                <w:szCs w:val="20"/>
              </w:rPr>
              <w:t>Telefonica</w:t>
            </w:r>
            <w:proofErr w:type="spellEnd"/>
            <w:r w:rsidRPr="00284A44">
              <w:rPr>
                <w:rFonts w:ascii="Arial Narrow" w:hAnsi="Arial Narrow" w:cs="Arial"/>
                <w:sz w:val="20"/>
                <w:szCs w:val="20"/>
              </w:rPr>
              <w:t xml:space="preserve"> del </w:t>
            </w:r>
            <w:proofErr w:type="spellStart"/>
            <w:r w:rsidRPr="00284A44">
              <w:rPr>
                <w:rFonts w:ascii="Arial Narrow" w:hAnsi="Arial Narrow" w:cs="Arial"/>
                <w:sz w:val="20"/>
                <w:szCs w:val="20"/>
              </w:rPr>
              <w:t>Peru</w:t>
            </w:r>
            <w:proofErr w:type="spellEnd"/>
            <w:r w:rsidRPr="00284A44">
              <w:rPr>
                <w:rFonts w:ascii="Arial Narrow" w:hAnsi="Arial Narrow" w:cs="Arial"/>
                <w:sz w:val="20"/>
                <w:szCs w:val="20"/>
              </w:rPr>
              <w:t xml:space="preserve">, </w:t>
            </w:r>
            <w:proofErr w:type="spellStart"/>
            <w:r w:rsidRPr="00284A44">
              <w:rPr>
                <w:rFonts w:ascii="Arial Narrow" w:hAnsi="Arial Narrow" w:cs="Arial"/>
                <w:sz w:val="20"/>
                <w:szCs w:val="20"/>
              </w:rPr>
              <w:t>Softbank</w:t>
            </w:r>
            <w:proofErr w:type="spellEnd"/>
            <w:r w:rsidRPr="00284A44">
              <w:rPr>
                <w:rFonts w:ascii="Arial Narrow" w:hAnsi="Arial Narrow" w:cs="Arial"/>
                <w:sz w:val="20"/>
                <w:szCs w:val="20"/>
              </w:rPr>
              <w:t xml:space="preserve"> Telecom, REACH, Entel Chile, Telecom Italia </w:t>
            </w:r>
            <w:proofErr w:type="spellStart"/>
            <w:r w:rsidRPr="00284A44">
              <w:rPr>
                <w:rFonts w:ascii="Arial Narrow" w:hAnsi="Arial Narrow" w:cs="Arial"/>
                <w:sz w:val="20"/>
                <w:szCs w:val="20"/>
              </w:rPr>
              <w:t>Sparkle</w:t>
            </w:r>
            <w:proofErr w:type="spellEnd"/>
            <w:r w:rsidRPr="00284A44">
              <w:rPr>
                <w:rFonts w:ascii="Arial Narrow" w:hAnsi="Arial Narrow" w:cs="Arial"/>
                <w:sz w:val="20"/>
                <w:szCs w:val="20"/>
              </w:rPr>
              <w:t xml:space="preserve">, Sprint, CANTV, Tata </w:t>
            </w:r>
            <w:proofErr w:type="spellStart"/>
            <w:r w:rsidRPr="00284A44">
              <w:rPr>
                <w:rFonts w:ascii="Arial Narrow" w:hAnsi="Arial Narrow" w:cs="Arial"/>
                <w:sz w:val="20"/>
                <w:szCs w:val="20"/>
              </w:rPr>
              <w:t>Communications</w:t>
            </w:r>
            <w:proofErr w:type="spellEnd"/>
            <w:r w:rsidRPr="00284A44">
              <w:rPr>
                <w:rFonts w:ascii="Arial Narrow" w:hAnsi="Arial Narrow" w:cs="Arial"/>
                <w:sz w:val="20"/>
                <w:szCs w:val="20"/>
              </w:rPr>
              <w:t xml:space="preserve">, Telefónica de Argentina, </w:t>
            </w:r>
            <w:proofErr w:type="spellStart"/>
            <w:r w:rsidRPr="00284A44">
              <w:rPr>
                <w:rFonts w:ascii="Arial Narrow" w:hAnsi="Arial Narrow" w:cs="Arial"/>
                <w:sz w:val="20"/>
                <w:szCs w:val="20"/>
              </w:rPr>
              <w:t>Telstra</w:t>
            </w:r>
            <w:proofErr w:type="spellEnd"/>
            <w:r w:rsidRPr="00284A44">
              <w:rPr>
                <w:rFonts w:ascii="Arial Narrow" w:hAnsi="Arial Narrow" w:cs="Arial"/>
                <w:sz w:val="20"/>
                <w:szCs w:val="20"/>
              </w:rPr>
              <w:t xml:space="preserve">, </w:t>
            </w:r>
            <w:proofErr w:type="spellStart"/>
            <w:r w:rsidRPr="00284A44">
              <w:rPr>
                <w:rFonts w:ascii="Arial Narrow" w:hAnsi="Arial Narrow" w:cs="Arial"/>
                <w:sz w:val="20"/>
                <w:szCs w:val="20"/>
              </w:rPr>
              <w:t>Verizon</w:t>
            </w:r>
            <w:proofErr w:type="spellEnd"/>
            <w:r w:rsidRPr="00284A44">
              <w:rPr>
                <w:rFonts w:ascii="Arial Narrow" w:hAnsi="Arial Narrow" w:cs="Arial"/>
                <w:sz w:val="20"/>
                <w:szCs w:val="20"/>
              </w:rPr>
              <w:t xml:space="preserve"> Business, PCCW, Telecom Argentina</w:t>
            </w:r>
          </w:p>
        </w:tc>
        <w:tc>
          <w:tcPr>
            <w:tcW w:w="608"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right"/>
              <w:rPr>
                <w:rFonts w:ascii="Arial Narrow" w:hAnsi="Arial Narrow" w:cs="Arial"/>
                <w:sz w:val="20"/>
                <w:szCs w:val="20"/>
              </w:rPr>
            </w:pPr>
            <w:r w:rsidRPr="00284A44">
              <w:rPr>
                <w:rFonts w:ascii="Arial Narrow" w:hAnsi="Arial Narrow" w:cs="Arial"/>
                <w:sz w:val="20"/>
                <w:szCs w:val="20"/>
              </w:rPr>
              <w:t>1999</w:t>
            </w:r>
          </w:p>
        </w:tc>
      </w:tr>
      <w:tr w:rsidR="00D11937" w:rsidRPr="00284A44" w:rsidTr="001E7DC8">
        <w:trPr>
          <w:trHeight w:val="567"/>
        </w:trPr>
        <w:tc>
          <w:tcPr>
            <w:tcW w:w="1077"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cs="Arial"/>
                <w:sz w:val="20"/>
                <w:szCs w:val="20"/>
              </w:rPr>
              <w:t>Maya / MAYA 1</w:t>
            </w:r>
          </w:p>
        </w:tc>
        <w:tc>
          <w:tcPr>
            <w:tcW w:w="3316"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lang w:val="en-US"/>
              </w:rPr>
            </w:pPr>
            <w:r w:rsidRPr="00284A44">
              <w:rPr>
                <w:rFonts w:ascii="Arial Narrow" w:hAnsi="Arial Narrow"/>
                <w:sz w:val="20"/>
                <w:szCs w:val="20"/>
                <w:lang w:val="en-US"/>
              </w:rPr>
              <w:t xml:space="preserve">Cable &amp; Wireless Communications, Verizon Business, Tata Communications, AT&amp;T, Sprint, </w:t>
            </w:r>
            <w:proofErr w:type="spellStart"/>
            <w:r w:rsidRPr="00284A44">
              <w:rPr>
                <w:rFonts w:ascii="Arial Narrow" w:hAnsi="Arial Narrow"/>
                <w:sz w:val="20"/>
                <w:szCs w:val="20"/>
                <w:lang w:val="en-US"/>
              </w:rPr>
              <w:t>Hondutel</w:t>
            </w:r>
            <w:proofErr w:type="spellEnd"/>
            <w:r w:rsidRPr="00284A44">
              <w:rPr>
                <w:rFonts w:ascii="Arial Narrow" w:hAnsi="Arial Narrow"/>
                <w:sz w:val="20"/>
                <w:szCs w:val="20"/>
                <w:lang w:val="en-US"/>
              </w:rPr>
              <w:t xml:space="preserve">, CANTV, </w:t>
            </w:r>
            <w:proofErr w:type="spellStart"/>
            <w:r w:rsidRPr="00284A44">
              <w:rPr>
                <w:rFonts w:ascii="Arial Narrow" w:hAnsi="Arial Narrow"/>
                <w:sz w:val="20"/>
                <w:szCs w:val="20"/>
                <w:lang w:val="en-US"/>
              </w:rPr>
              <w:t>Telefonica</w:t>
            </w:r>
            <w:proofErr w:type="spellEnd"/>
            <w:r w:rsidRPr="00284A44">
              <w:rPr>
                <w:rFonts w:ascii="Arial Narrow" w:hAnsi="Arial Narrow"/>
                <w:sz w:val="20"/>
                <w:szCs w:val="20"/>
                <w:lang w:val="en-US"/>
              </w:rPr>
              <w:t xml:space="preserve">, BT, </w:t>
            </w:r>
            <w:proofErr w:type="spellStart"/>
            <w:r w:rsidRPr="00284A44">
              <w:rPr>
                <w:rFonts w:ascii="Arial Narrow" w:hAnsi="Arial Narrow"/>
                <w:sz w:val="20"/>
                <w:szCs w:val="20"/>
                <w:lang w:val="en-US"/>
              </w:rPr>
              <w:t>Orbitel</w:t>
            </w:r>
            <w:proofErr w:type="spellEnd"/>
          </w:p>
        </w:tc>
        <w:tc>
          <w:tcPr>
            <w:tcW w:w="608"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right"/>
              <w:rPr>
                <w:rFonts w:ascii="Arial Narrow" w:hAnsi="Arial Narrow" w:cs="Arial"/>
                <w:sz w:val="20"/>
                <w:szCs w:val="20"/>
                <w:lang w:val="en-US"/>
              </w:rPr>
            </w:pPr>
            <w:r w:rsidRPr="00284A44">
              <w:rPr>
                <w:rFonts w:ascii="Arial Narrow" w:hAnsi="Arial Narrow" w:cs="Arial"/>
                <w:sz w:val="20"/>
                <w:szCs w:val="20"/>
                <w:lang w:val="en-US"/>
              </w:rPr>
              <w:t>2000</w:t>
            </w:r>
          </w:p>
        </w:tc>
      </w:tr>
      <w:tr w:rsidR="00D11937" w:rsidRPr="00284A44" w:rsidTr="00D72C10">
        <w:trPr>
          <w:trHeight w:val="1701"/>
        </w:trPr>
        <w:tc>
          <w:tcPr>
            <w:tcW w:w="1077"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cs="Arial"/>
                <w:sz w:val="20"/>
                <w:szCs w:val="20"/>
              </w:rPr>
              <w:t>Arcos</w:t>
            </w:r>
          </w:p>
        </w:tc>
        <w:tc>
          <w:tcPr>
            <w:tcW w:w="3316"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sz w:val="20"/>
                <w:szCs w:val="20"/>
              </w:rPr>
              <w:t xml:space="preserve">Columbus Networks, </w:t>
            </w:r>
            <w:proofErr w:type="spellStart"/>
            <w:r w:rsidRPr="00284A44">
              <w:rPr>
                <w:rFonts w:ascii="Arial Narrow" w:hAnsi="Arial Narrow"/>
                <w:sz w:val="20"/>
                <w:szCs w:val="20"/>
              </w:rPr>
              <w:t>Axtel</w:t>
            </w:r>
            <w:proofErr w:type="spellEnd"/>
            <w:r w:rsidRPr="00284A44">
              <w:rPr>
                <w:rFonts w:ascii="Arial Narrow" w:hAnsi="Arial Narrow"/>
                <w:sz w:val="20"/>
                <w:szCs w:val="20"/>
              </w:rPr>
              <w:t xml:space="preserve">, CANTV, </w:t>
            </w:r>
            <w:proofErr w:type="spellStart"/>
            <w:r w:rsidRPr="00284A44">
              <w:rPr>
                <w:rFonts w:ascii="Arial Narrow" w:hAnsi="Arial Narrow"/>
                <w:sz w:val="20"/>
                <w:szCs w:val="20"/>
              </w:rPr>
              <w:t>Codetel</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Hondutel</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Belize</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Telemedia</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Enitel</w:t>
            </w:r>
            <w:proofErr w:type="spellEnd"/>
            <w:r w:rsidRPr="00284A44">
              <w:rPr>
                <w:rFonts w:ascii="Arial Narrow" w:hAnsi="Arial Narrow"/>
                <w:sz w:val="20"/>
                <w:szCs w:val="20"/>
              </w:rPr>
              <w:t xml:space="preserve">, AT&amp;T, </w:t>
            </w:r>
            <w:proofErr w:type="spellStart"/>
            <w:r w:rsidRPr="00284A44">
              <w:rPr>
                <w:rFonts w:ascii="Arial Narrow" w:hAnsi="Arial Narrow"/>
                <w:sz w:val="20"/>
                <w:szCs w:val="20"/>
              </w:rPr>
              <w:t>Alestra</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Verizon</w:t>
            </w:r>
            <w:proofErr w:type="spellEnd"/>
            <w:r w:rsidRPr="00284A44">
              <w:rPr>
                <w:rFonts w:ascii="Arial Narrow" w:hAnsi="Arial Narrow"/>
                <w:sz w:val="20"/>
                <w:szCs w:val="20"/>
              </w:rPr>
              <w:t xml:space="preserve"> Business, RACSA, </w:t>
            </w:r>
            <w:proofErr w:type="spellStart"/>
            <w:r w:rsidRPr="00284A44">
              <w:rPr>
                <w:rFonts w:ascii="Arial Narrow" w:hAnsi="Arial Narrow"/>
                <w:sz w:val="20"/>
                <w:szCs w:val="20"/>
              </w:rPr>
              <w:t>United</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Telecommunication</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Services</w:t>
            </w:r>
            <w:proofErr w:type="spellEnd"/>
            <w:r w:rsidRPr="00284A44">
              <w:rPr>
                <w:rFonts w:ascii="Arial Narrow" w:hAnsi="Arial Narrow"/>
                <w:sz w:val="20"/>
                <w:szCs w:val="20"/>
              </w:rPr>
              <w:t xml:space="preserve"> (UTS), </w:t>
            </w:r>
            <w:proofErr w:type="spellStart"/>
            <w:r w:rsidRPr="00284A44">
              <w:rPr>
                <w:rFonts w:ascii="Arial Narrow" w:hAnsi="Arial Narrow"/>
                <w:sz w:val="20"/>
                <w:szCs w:val="20"/>
              </w:rPr>
              <w:t>Telecarrier</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Tricom</w:t>
            </w:r>
            <w:proofErr w:type="spellEnd"/>
            <w:r w:rsidRPr="00284A44">
              <w:rPr>
                <w:rFonts w:ascii="Arial Narrow" w:hAnsi="Arial Narrow"/>
                <w:sz w:val="20"/>
                <w:szCs w:val="20"/>
              </w:rPr>
              <w:t xml:space="preserve"> USA, Telecomunicaciones Ultramarinas de Puerto Rico, </w:t>
            </w:r>
            <w:proofErr w:type="spellStart"/>
            <w:r w:rsidRPr="00284A44">
              <w:rPr>
                <w:rFonts w:ascii="Arial Narrow" w:hAnsi="Arial Narrow"/>
                <w:sz w:val="20"/>
                <w:szCs w:val="20"/>
              </w:rPr>
              <w:t>Internexa</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Orbinet</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Overseas</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Telepuerto</w:t>
            </w:r>
            <w:proofErr w:type="spellEnd"/>
            <w:r w:rsidRPr="00284A44">
              <w:rPr>
                <w:rFonts w:ascii="Arial Narrow" w:hAnsi="Arial Narrow"/>
                <w:sz w:val="20"/>
                <w:szCs w:val="20"/>
              </w:rPr>
              <w:t xml:space="preserve"> San Isidro, Bahamas </w:t>
            </w:r>
            <w:proofErr w:type="spellStart"/>
            <w:r w:rsidRPr="00284A44">
              <w:rPr>
                <w:rFonts w:ascii="Arial Narrow" w:hAnsi="Arial Narrow"/>
                <w:sz w:val="20"/>
                <w:szCs w:val="20"/>
              </w:rPr>
              <w:t>Telecommunications</w:t>
            </w:r>
            <w:proofErr w:type="spellEnd"/>
            <w:r w:rsidRPr="00284A44">
              <w:rPr>
                <w:rFonts w:ascii="Arial Narrow" w:hAnsi="Arial Narrow"/>
                <w:sz w:val="20"/>
                <w:szCs w:val="20"/>
              </w:rPr>
              <w:t xml:space="preserve"> </w:t>
            </w:r>
            <w:proofErr w:type="spellStart"/>
            <w:r w:rsidRPr="00284A44">
              <w:rPr>
                <w:rFonts w:ascii="Arial Narrow" w:hAnsi="Arial Narrow"/>
                <w:sz w:val="20"/>
                <w:szCs w:val="20"/>
              </w:rPr>
              <w:t>Company</w:t>
            </w:r>
            <w:proofErr w:type="spellEnd"/>
          </w:p>
        </w:tc>
        <w:tc>
          <w:tcPr>
            <w:tcW w:w="608"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right"/>
              <w:rPr>
                <w:rFonts w:ascii="Arial Narrow" w:hAnsi="Arial Narrow" w:cs="Arial"/>
                <w:sz w:val="20"/>
                <w:szCs w:val="20"/>
              </w:rPr>
            </w:pPr>
            <w:r w:rsidRPr="00284A44">
              <w:rPr>
                <w:rFonts w:ascii="Arial Narrow" w:hAnsi="Arial Narrow" w:cs="Arial"/>
                <w:sz w:val="20"/>
                <w:szCs w:val="20"/>
              </w:rPr>
              <w:t>2001</w:t>
            </w:r>
          </w:p>
        </w:tc>
      </w:tr>
      <w:tr w:rsidR="00D11937" w:rsidRPr="00284A44" w:rsidTr="001E7DC8">
        <w:trPr>
          <w:trHeight w:hRule="exact" w:val="567"/>
        </w:trPr>
        <w:tc>
          <w:tcPr>
            <w:tcW w:w="1077"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cs="Arial"/>
                <w:sz w:val="20"/>
                <w:szCs w:val="20"/>
              </w:rPr>
              <w:t xml:space="preserve">South </w:t>
            </w:r>
            <w:proofErr w:type="spellStart"/>
            <w:r w:rsidRPr="00284A44">
              <w:rPr>
                <w:rFonts w:ascii="Arial Narrow" w:hAnsi="Arial Narrow" w:cs="Arial"/>
                <w:sz w:val="20"/>
                <w:szCs w:val="20"/>
              </w:rPr>
              <w:t>America</w:t>
            </w:r>
            <w:proofErr w:type="spellEnd"/>
            <w:r w:rsidRPr="00284A44">
              <w:rPr>
                <w:rFonts w:ascii="Arial Narrow" w:hAnsi="Arial Narrow" w:cs="Arial"/>
                <w:sz w:val="20"/>
                <w:szCs w:val="20"/>
              </w:rPr>
              <w:t xml:space="preserve"> – 1 / SAM – 1</w:t>
            </w:r>
          </w:p>
        </w:tc>
        <w:tc>
          <w:tcPr>
            <w:tcW w:w="3316"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cs="Arial"/>
                <w:sz w:val="20"/>
                <w:szCs w:val="20"/>
              </w:rPr>
              <w:t>Telefónica</w:t>
            </w:r>
          </w:p>
        </w:tc>
        <w:tc>
          <w:tcPr>
            <w:tcW w:w="608"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right"/>
              <w:rPr>
                <w:rFonts w:ascii="Arial Narrow" w:hAnsi="Arial Narrow" w:cs="Arial"/>
                <w:sz w:val="20"/>
                <w:szCs w:val="20"/>
                <w:lang w:val="en-US"/>
              </w:rPr>
            </w:pPr>
            <w:r w:rsidRPr="00284A44">
              <w:rPr>
                <w:rFonts w:ascii="Arial Narrow" w:hAnsi="Arial Narrow" w:cs="Arial"/>
                <w:sz w:val="20"/>
                <w:szCs w:val="20"/>
                <w:lang w:val="en-US"/>
              </w:rPr>
              <w:t>2001</w:t>
            </w:r>
          </w:p>
        </w:tc>
      </w:tr>
      <w:tr w:rsidR="00D11937" w:rsidRPr="00284A44" w:rsidTr="001E7DC8">
        <w:trPr>
          <w:trHeight w:val="567"/>
        </w:trPr>
        <w:tc>
          <w:tcPr>
            <w:tcW w:w="1077"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cs="Arial"/>
                <w:sz w:val="20"/>
                <w:szCs w:val="20"/>
              </w:rPr>
              <w:t xml:space="preserve">Colombia-Florida </w:t>
            </w:r>
            <w:proofErr w:type="spellStart"/>
            <w:r w:rsidRPr="00284A44">
              <w:rPr>
                <w:rFonts w:ascii="Arial Narrow" w:hAnsi="Arial Narrow" w:cs="Arial"/>
                <w:sz w:val="20"/>
                <w:szCs w:val="20"/>
              </w:rPr>
              <w:t>Subsea</w:t>
            </w:r>
            <w:proofErr w:type="spellEnd"/>
            <w:r w:rsidRPr="00284A44">
              <w:rPr>
                <w:rFonts w:ascii="Arial Narrow" w:hAnsi="Arial Narrow" w:cs="Arial"/>
                <w:sz w:val="20"/>
                <w:szCs w:val="20"/>
              </w:rPr>
              <w:t xml:space="preserve"> </w:t>
            </w:r>
            <w:proofErr w:type="spellStart"/>
            <w:r w:rsidRPr="00284A44">
              <w:rPr>
                <w:rFonts w:ascii="Arial Narrow" w:hAnsi="Arial Narrow" w:cs="Arial"/>
                <w:sz w:val="20"/>
                <w:szCs w:val="20"/>
              </w:rPr>
              <w:t>Fiber</w:t>
            </w:r>
            <w:proofErr w:type="spellEnd"/>
            <w:r w:rsidRPr="00284A44">
              <w:rPr>
                <w:rFonts w:ascii="Arial Narrow" w:hAnsi="Arial Narrow" w:cs="Arial"/>
                <w:sz w:val="20"/>
                <w:szCs w:val="20"/>
              </w:rPr>
              <w:t xml:space="preserve"> / CFX-1</w:t>
            </w:r>
          </w:p>
        </w:tc>
        <w:tc>
          <w:tcPr>
            <w:tcW w:w="3316"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cs="Arial"/>
                <w:sz w:val="20"/>
                <w:szCs w:val="20"/>
              </w:rPr>
              <w:t>Columbus Networks</w:t>
            </w:r>
          </w:p>
        </w:tc>
        <w:tc>
          <w:tcPr>
            <w:tcW w:w="608"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right"/>
              <w:rPr>
                <w:rFonts w:ascii="Arial Narrow" w:hAnsi="Arial Narrow" w:cs="Arial"/>
                <w:sz w:val="20"/>
                <w:szCs w:val="20"/>
              </w:rPr>
            </w:pPr>
            <w:r w:rsidRPr="00284A44">
              <w:rPr>
                <w:rFonts w:ascii="Arial Narrow" w:hAnsi="Arial Narrow" w:cs="Arial"/>
                <w:sz w:val="20"/>
                <w:szCs w:val="20"/>
              </w:rPr>
              <w:t>2008</w:t>
            </w:r>
          </w:p>
        </w:tc>
      </w:tr>
      <w:tr w:rsidR="00D11937" w:rsidRPr="00284A44" w:rsidTr="001E7DC8">
        <w:tc>
          <w:tcPr>
            <w:tcW w:w="1077"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sz w:val="20"/>
                <w:szCs w:val="20"/>
                <w:lang w:val="en-US"/>
              </w:rPr>
            </w:pPr>
            <w:r w:rsidRPr="00284A44">
              <w:rPr>
                <w:rFonts w:ascii="Arial Narrow" w:hAnsi="Arial Narrow"/>
                <w:sz w:val="20"/>
                <w:szCs w:val="20"/>
                <w:lang w:val="en-US"/>
              </w:rPr>
              <w:t xml:space="preserve">America </w:t>
            </w:r>
            <w:proofErr w:type="spellStart"/>
            <w:r w:rsidRPr="00284A44">
              <w:rPr>
                <w:rFonts w:ascii="Arial Narrow" w:hAnsi="Arial Narrow"/>
                <w:sz w:val="20"/>
                <w:szCs w:val="20"/>
                <w:lang w:val="en-US"/>
              </w:rPr>
              <w:t>Movil</w:t>
            </w:r>
            <w:proofErr w:type="spellEnd"/>
            <w:r w:rsidRPr="00284A44">
              <w:rPr>
                <w:rFonts w:ascii="Arial Narrow" w:hAnsi="Arial Narrow"/>
                <w:sz w:val="20"/>
                <w:szCs w:val="20"/>
                <w:lang w:val="en-US"/>
              </w:rPr>
              <w:t xml:space="preserve"> Submarine Cable System-1 /AMX-1</w:t>
            </w:r>
          </w:p>
        </w:tc>
        <w:tc>
          <w:tcPr>
            <w:tcW w:w="3316"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rPr>
            </w:pPr>
            <w:r w:rsidRPr="00284A44">
              <w:rPr>
                <w:rFonts w:ascii="Arial Narrow" w:hAnsi="Arial Narrow" w:cs="Arial"/>
                <w:sz w:val="20"/>
                <w:szCs w:val="20"/>
              </w:rPr>
              <w:t>América Móvil</w:t>
            </w:r>
          </w:p>
        </w:tc>
        <w:tc>
          <w:tcPr>
            <w:tcW w:w="608"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right"/>
              <w:rPr>
                <w:rFonts w:ascii="Arial Narrow" w:hAnsi="Arial Narrow" w:cs="Arial"/>
                <w:sz w:val="20"/>
                <w:szCs w:val="20"/>
              </w:rPr>
            </w:pPr>
            <w:proofErr w:type="spellStart"/>
            <w:r w:rsidRPr="00284A44">
              <w:rPr>
                <w:rFonts w:ascii="Arial Narrow" w:hAnsi="Arial Narrow" w:cs="Arial"/>
                <w:sz w:val="20"/>
                <w:szCs w:val="20"/>
              </w:rPr>
              <w:t>Est.</w:t>
            </w:r>
            <w:proofErr w:type="spellEnd"/>
            <w:r w:rsidRPr="00284A44">
              <w:rPr>
                <w:rFonts w:ascii="Arial Narrow" w:hAnsi="Arial Narrow" w:cs="Arial"/>
                <w:sz w:val="20"/>
                <w:szCs w:val="20"/>
              </w:rPr>
              <w:t xml:space="preserve"> Q4 2013</w:t>
            </w:r>
          </w:p>
        </w:tc>
      </w:tr>
      <w:tr w:rsidR="00D11937" w:rsidRPr="00284A44" w:rsidTr="00D72C10">
        <w:trPr>
          <w:trHeight w:val="794"/>
        </w:trPr>
        <w:tc>
          <w:tcPr>
            <w:tcW w:w="1077" w:type="pct"/>
            <w:tcBorders>
              <w:top w:val="single" w:sz="4" w:space="0" w:color="BFBFBF" w:themeColor="background1" w:themeShade="BF"/>
              <w:bottom w:val="single" w:sz="4" w:space="0" w:color="BFBFBF" w:themeColor="background1" w:themeShade="BF"/>
            </w:tcBorders>
            <w:vAlign w:val="center"/>
          </w:tcPr>
          <w:p w:rsidR="00D11937" w:rsidRPr="00A706AF" w:rsidRDefault="00D11937" w:rsidP="001E7DC8">
            <w:pPr>
              <w:spacing w:before="0"/>
              <w:jc w:val="left"/>
              <w:rPr>
                <w:rFonts w:ascii="Arial Narrow" w:eastAsia="Times New Roman" w:hAnsi="Arial Narrow"/>
                <w:b/>
                <w:bCs/>
                <w:sz w:val="20"/>
                <w:szCs w:val="20"/>
                <w:lang w:val="en-US"/>
              </w:rPr>
            </w:pPr>
            <w:r w:rsidRPr="00A706AF">
              <w:rPr>
                <w:rFonts w:ascii="Arial Narrow" w:eastAsia="Times New Roman" w:hAnsi="Arial Narrow"/>
                <w:sz w:val="20"/>
                <w:szCs w:val="20"/>
                <w:lang w:val="en-US"/>
              </w:rPr>
              <w:t>Pacific Caribbean Cable System /PCCS</w:t>
            </w:r>
          </w:p>
        </w:tc>
        <w:tc>
          <w:tcPr>
            <w:tcW w:w="3316"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cs="Arial"/>
                <w:sz w:val="20"/>
                <w:szCs w:val="20"/>
                <w:lang w:val="en-US"/>
              </w:rPr>
            </w:pPr>
            <w:r w:rsidRPr="00284A44">
              <w:rPr>
                <w:rFonts w:ascii="Arial Narrow" w:hAnsi="Arial Narrow"/>
                <w:sz w:val="20"/>
                <w:szCs w:val="20"/>
                <w:lang w:val="en-US"/>
              </w:rPr>
              <w:t xml:space="preserve">Cable &amp; Wireless Communications, </w:t>
            </w:r>
            <w:proofErr w:type="spellStart"/>
            <w:r w:rsidRPr="00284A44">
              <w:rPr>
                <w:rFonts w:ascii="Arial Narrow" w:hAnsi="Arial Narrow"/>
                <w:sz w:val="20"/>
                <w:szCs w:val="20"/>
                <w:lang w:val="en-US"/>
              </w:rPr>
              <w:t>Telconet</w:t>
            </w:r>
            <w:proofErr w:type="spellEnd"/>
            <w:r w:rsidRPr="00284A44">
              <w:rPr>
                <w:rFonts w:ascii="Arial Narrow" w:hAnsi="Arial Narrow"/>
                <w:sz w:val="20"/>
                <w:szCs w:val="20"/>
                <w:lang w:val="en-US"/>
              </w:rPr>
              <w:t xml:space="preserve">, </w:t>
            </w:r>
            <w:proofErr w:type="spellStart"/>
            <w:r w:rsidRPr="00284A44">
              <w:rPr>
                <w:rFonts w:ascii="Arial Narrow" w:hAnsi="Arial Narrow"/>
                <w:sz w:val="20"/>
                <w:szCs w:val="20"/>
                <w:lang w:val="en-US"/>
              </w:rPr>
              <w:t>Telefonica</w:t>
            </w:r>
            <w:proofErr w:type="spellEnd"/>
            <w:r w:rsidRPr="00284A44">
              <w:rPr>
                <w:rFonts w:ascii="Arial Narrow" w:hAnsi="Arial Narrow"/>
                <w:sz w:val="20"/>
                <w:szCs w:val="20"/>
                <w:lang w:val="en-US"/>
              </w:rPr>
              <w:t xml:space="preserve">, </w:t>
            </w:r>
            <w:proofErr w:type="spellStart"/>
            <w:r w:rsidRPr="00284A44">
              <w:rPr>
                <w:rFonts w:ascii="Arial Narrow" w:hAnsi="Arial Narrow"/>
                <w:sz w:val="20"/>
                <w:szCs w:val="20"/>
                <w:lang w:val="en-US"/>
              </w:rPr>
              <w:t>Setar</w:t>
            </w:r>
            <w:proofErr w:type="spellEnd"/>
            <w:r w:rsidRPr="00284A44">
              <w:rPr>
                <w:rFonts w:ascii="Arial Narrow" w:hAnsi="Arial Narrow"/>
                <w:sz w:val="20"/>
                <w:szCs w:val="20"/>
                <w:lang w:val="en-US"/>
              </w:rPr>
              <w:t>, United Telecommunication Services (UTS)</w:t>
            </w:r>
          </w:p>
        </w:tc>
        <w:tc>
          <w:tcPr>
            <w:tcW w:w="608"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right"/>
              <w:rPr>
                <w:rFonts w:ascii="Arial Narrow" w:hAnsi="Arial Narrow" w:cs="Arial"/>
                <w:sz w:val="20"/>
                <w:szCs w:val="20"/>
                <w:lang w:val="en-US"/>
              </w:rPr>
            </w:pPr>
            <w:proofErr w:type="spellStart"/>
            <w:r w:rsidRPr="00284A44">
              <w:rPr>
                <w:rFonts w:ascii="Arial Narrow" w:hAnsi="Arial Narrow" w:cs="Arial"/>
                <w:sz w:val="20"/>
                <w:szCs w:val="20"/>
                <w:lang w:val="en-US"/>
              </w:rPr>
              <w:t>Est</w:t>
            </w:r>
            <w:proofErr w:type="spellEnd"/>
            <w:r w:rsidRPr="00284A44">
              <w:rPr>
                <w:rFonts w:ascii="Arial Narrow" w:hAnsi="Arial Narrow" w:cs="Arial"/>
                <w:sz w:val="20"/>
                <w:szCs w:val="20"/>
                <w:lang w:val="en-US"/>
              </w:rPr>
              <w:t xml:space="preserve"> Q2 2014</w:t>
            </w:r>
          </w:p>
        </w:tc>
      </w:tr>
      <w:tr w:rsidR="00D11937" w:rsidRPr="00284A44" w:rsidTr="001E7DC8">
        <w:tc>
          <w:tcPr>
            <w:tcW w:w="1077" w:type="pct"/>
            <w:tcBorders>
              <w:top w:val="single" w:sz="4" w:space="0" w:color="BFBFBF" w:themeColor="background1" w:themeShade="BF"/>
              <w:bottom w:val="single" w:sz="4" w:space="0" w:color="BFBFBF" w:themeColor="background1" w:themeShade="BF"/>
            </w:tcBorders>
            <w:vAlign w:val="center"/>
          </w:tcPr>
          <w:p w:rsidR="00D11937" w:rsidRPr="00A706AF" w:rsidRDefault="00D11937" w:rsidP="001E7DC8">
            <w:pPr>
              <w:spacing w:before="0"/>
              <w:jc w:val="left"/>
              <w:rPr>
                <w:rFonts w:ascii="Arial Narrow" w:eastAsia="Times New Roman" w:hAnsi="Arial Narrow" w:cs="Arial"/>
                <w:b/>
                <w:bCs/>
                <w:sz w:val="20"/>
                <w:szCs w:val="20"/>
              </w:rPr>
            </w:pPr>
            <w:proofErr w:type="spellStart"/>
            <w:r w:rsidRPr="00A706AF">
              <w:rPr>
                <w:rFonts w:ascii="Arial Narrow" w:eastAsia="Times New Roman" w:hAnsi="Arial Narrow" w:cs="Arial"/>
                <w:sz w:val="20"/>
                <w:szCs w:val="20"/>
              </w:rPr>
              <w:t>Globenet</w:t>
            </w:r>
            <w:proofErr w:type="spellEnd"/>
          </w:p>
        </w:tc>
        <w:tc>
          <w:tcPr>
            <w:tcW w:w="3316"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left"/>
              <w:rPr>
                <w:rFonts w:ascii="Arial Narrow" w:hAnsi="Arial Narrow"/>
                <w:sz w:val="20"/>
                <w:szCs w:val="20"/>
                <w:lang w:val="en-US"/>
              </w:rPr>
            </w:pPr>
            <w:r w:rsidRPr="00284A44">
              <w:rPr>
                <w:rFonts w:ascii="Arial Narrow" w:hAnsi="Arial Narrow"/>
                <w:sz w:val="20"/>
                <w:szCs w:val="20"/>
              </w:rPr>
              <w:t xml:space="preserve">BTG </w:t>
            </w:r>
            <w:proofErr w:type="spellStart"/>
            <w:r w:rsidRPr="00284A44">
              <w:rPr>
                <w:rFonts w:ascii="Arial Narrow" w:hAnsi="Arial Narrow"/>
                <w:sz w:val="20"/>
                <w:szCs w:val="20"/>
              </w:rPr>
              <w:t>Pactual</w:t>
            </w:r>
            <w:proofErr w:type="spellEnd"/>
          </w:p>
        </w:tc>
        <w:tc>
          <w:tcPr>
            <w:tcW w:w="608" w:type="pct"/>
            <w:tcBorders>
              <w:top w:val="single" w:sz="4" w:space="0" w:color="BFBFBF" w:themeColor="background1" w:themeShade="BF"/>
              <w:bottom w:val="single" w:sz="4" w:space="0" w:color="BFBFBF" w:themeColor="background1" w:themeShade="BF"/>
            </w:tcBorders>
            <w:vAlign w:val="center"/>
          </w:tcPr>
          <w:p w:rsidR="00D11937" w:rsidRPr="00284A44" w:rsidRDefault="00D11937" w:rsidP="001E7DC8">
            <w:pPr>
              <w:spacing w:before="0" w:line="240" w:lineRule="auto"/>
              <w:jc w:val="right"/>
              <w:rPr>
                <w:rFonts w:ascii="Arial Narrow" w:hAnsi="Arial Narrow" w:cs="Arial"/>
                <w:sz w:val="20"/>
                <w:szCs w:val="20"/>
                <w:lang w:val="en-US"/>
              </w:rPr>
            </w:pPr>
            <w:r w:rsidRPr="00284A44">
              <w:rPr>
                <w:rFonts w:ascii="Arial Narrow" w:hAnsi="Arial Narrow" w:cs="Arial"/>
                <w:sz w:val="20"/>
                <w:szCs w:val="20"/>
                <w:lang w:val="en-US"/>
              </w:rPr>
              <w:t>2000/13</w:t>
            </w:r>
          </w:p>
        </w:tc>
      </w:tr>
    </w:tbl>
    <w:bookmarkEnd w:id="88"/>
    <w:p w:rsidR="00D11937" w:rsidRPr="00D72C10" w:rsidRDefault="00D11937" w:rsidP="0062594C">
      <w:pPr>
        <w:pStyle w:val="PiedeCuadro"/>
        <w:rPr>
          <w:sz w:val="20"/>
        </w:rPr>
      </w:pPr>
      <w:r w:rsidRPr="00D72C10">
        <w:rPr>
          <w:sz w:val="20"/>
        </w:rPr>
        <w:t xml:space="preserve">Fuente: </w:t>
      </w:r>
      <w:proofErr w:type="spellStart"/>
      <w:r w:rsidRPr="00D72C10">
        <w:rPr>
          <w:sz w:val="20"/>
        </w:rPr>
        <w:t>Telegeography</w:t>
      </w:r>
      <w:proofErr w:type="spellEnd"/>
    </w:p>
    <w:p w:rsidR="00D11937" w:rsidRDefault="00D11937" w:rsidP="00EC6911">
      <w:pPr>
        <w:rPr>
          <w:rFonts w:cs="Arial"/>
        </w:rPr>
      </w:pPr>
      <w:r w:rsidRPr="00B9246F">
        <w:rPr>
          <w:rFonts w:cs="Arial"/>
        </w:rPr>
        <w:t>Esta evolución muestra un incremento importante en capacidades de cables que conectan el país considerando la entrada de tres nuevos cables (incluyendo proyectos en ejecución), respecto de los instalados a finales del 2011.</w:t>
      </w:r>
    </w:p>
    <w:p w:rsidR="00D11937" w:rsidRPr="009C4B6A" w:rsidRDefault="00D11937" w:rsidP="00EC6911">
      <w:pPr>
        <w:pStyle w:val="Ttulo3"/>
        <w:numPr>
          <w:ilvl w:val="2"/>
          <w:numId w:val="42"/>
        </w:numPr>
        <w:rPr>
          <w:sz w:val="26"/>
          <w:szCs w:val="26"/>
        </w:rPr>
      </w:pPr>
      <w:bookmarkStart w:id="89" w:name="_Toc374109416"/>
      <w:r w:rsidRPr="009C4B6A">
        <w:rPr>
          <w:sz w:val="26"/>
          <w:szCs w:val="26"/>
        </w:rPr>
        <w:t>Programas de formación en TIC</w:t>
      </w:r>
      <w:bookmarkEnd w:id="89"/>
    </w:p>
    <w:p w:rsidR="00D11937" w:rsidRDefault="00D11937" w:rsidP="00EC6911">
      <w:r>
        <w:t>Existen varios programas de apropiación digital enfocados a las regiones en los cuales se ha logrado a la fecha del cierre de información de este informe capacitar en TIC a cerca de 711 mil personas. Esta capacitación ha requerido la aplicación de recursos cercanos a los 32 mil millones que resultan en un costo per cápita cercano a los 45 mil pesos por persona capacitada, costo que resulta bastante eficiente y razonable.</w:t>
      </w:r>
    </w:p>
    <w:p w:rsidR="00D11937" w:rsidRDefault="00D11937" w:rsidP="00D11937">
      <w:pPr>
        <w:pStyle w:val="T-Figura"/>
      </w:pPr>
      <w:r w:rsidRPr="006B4E39">
        <w:lastRenderedPageBreak/>
        <w:t xml:space="preserve">Cuadro </w:t>
      </w:r>
      <w:r w:rsidR="008B5F52">
        <w:t>1.9</w:t>
      </w:r>
      <w:r w:rsidRPr="006B4E39">
        <w:t xml:space="preserve"> </w:t>
      </w:r>
      <w:r>
        <w:t>–</w:t>
      </w:r>
      <w:r w:rsidRPr="006B4E39">
        <w:t xml:space="preserve"> </w:t>
      </w:r>
      <w:r>
        <w:t>Programas de capacitación en TIC</w:t>
      </w:r>
    </w:p>
    <w:p w:rsidR="00D11937" w:rsidRPr="00877C42" w:rsidRDefault="00D11937" w:rsidP="00D11937">
      <w:pPr>
        <w:tabs>
          <w:tab w:val="left" w:pos="0"/>
        </w:tabs>
        <w:spacing w:before="120" w:after="120"/>
        <w:jc w:val="center"/>
      </w:pPr>
      <w:r>
        <w:rPr>
          <w:noProof/>
          <w:lang w:val="es-CO" w:eastAsia="es-CO"/>
        </w:rPr>
        <w:drawing>
          <wp:inline distT="0" distB="0" distL="0" distR="0">
            <wp:extent cx="5610225" cy="647700"/>
            <wp:effectExtent l="0" t="0" r="9525" b="0"/>
            <wp:docPr id="2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0225" cy="647700"/>
                    </a:xfrm>
                    <a:prstGeom prst="rect">
                      <a:avLst/>
                    </a:prstGeom>
                    <a:noFill/>
                    <a:ln>
                      <a:noFill/>
                    </a:ln>
                  </pic:spPr>
                </pic:pic>
              </a:graphicData>
            </a:graphic>
          </wp:inline>
        </w:drawing>
      </w:r>
    </w:p>
    <w:p w:rsidR="008B5F52" w:rsidRPr="00D72C10" w:rsidRDefault="00D72C10" w:rsidP="00D72C10">
      <w:pPr>
        <w:pStyle w:val="PiedeCuadro"/>
        <w:rPr>
          <w:sz w:val="20"/>
        </w:rPr>
      </w:pPr>
      <w:r w:rsidRPr="00D72C10">
        <w:rPr>
          <w:sz w:val="20"/>
        </w:rPr>
        <w:t>Fuente: MINTIC</w:t>
      </w:r>
    </w:p>
    <w:p w:rsidR="00D11937" w:rsidRDefault="00D11937" w:rsidP="00EC6911">
      <w:r>
        <w:t>En TIC confío es uno de los programas de formación que busca promover el u</w:t>
      </w:r>
      <w:r w:rsidRPr="00175535">
        <w:t>so productivo y responsable de las TIC</w:t>
      </w:r>
      <w:r>
        <w:t>; después de su lanzamiento oficial se han realizado 735 conferencias; se han producido y divulgado 850 contenidos, más de 63.000 reproducciones de videos en YouTube, etc. Entre junio y diciembre de 2012 se invirtieron recursos por 1.300 millones de pesos.</w:t>
      </w:r>
    </w:p>
    <w:p w:rsidR="00D11937" w:rsidRDefault="00D11937" w:rsidP="00EC6911">
      <w:r>
        <w:t xml:space="preserve">El programa </w:t>
      </w:r>
      <w:proofErr w:type="spellStart"/>
      <w:r>
        <w:t>REDvolución</w:t>
      </w:r>
      <w:proofErr w:type="spellEnd"/>
      <w:r>
        <w:t xml:space="preserve"> se ofrece para jóvenes que estén cursando 10 y 11 y busca que ellos se conviertan en promotores de la </w:t>
      </w:r>
      <w:r w:rsidRPr="00B82439">
        <w:t>apropiación y uso adecuado de las tecnologías y específicamente de internet, contribuyendo así a la reducción de la brecha digital en el país.</w:t>
      </w:r>
      <w:r>
        <w:t xml:space="preserve"> </w:t>
      </w:r>
      <w:r w:rsidRPr="00B82439">
        <w:t>La inversión de junio a diciembre 2012 ascendió a $877 millones</w:t>
      </w:r>
      <w:r>
        <w:t xml:space="preserve"> de pesos. Según el último reporte del MINTIC, hay cerca de 800 IES inscritas al programa con aproximadamente 8.000 estudiantes vinculados.</w:t>
      </w:r>
    </w:p>
    <w:p w:rsidR="00D11937" w:rsidRDefault="00D11937" w:rsidP="00EC6911">
      <w:r>
        <w:t xml:space="preserve">El programa de Formación TIC para la población vulnerable ofrece </w:t>
      </w:r>
      <w:r w:rsidRPr="004D1AA1">
        <w:t>formación básica en TIC, tanto presencial como virtual, dirigido a g</w:t>
      </w:r>
      <w:r>
        <w:t>rupos prioritarios de población vulnerables y/o estratégicos. Específicamente los beneficiarios son c</w:t>
      </w:r>
      <w:r w:rsidRPr="004D1AA1">
        <w:t>iudadanos,</w:t>
      </w:r>
      <w:r>
        <w:t xml:space="preserve"> servidores públicos y gestores o </w:t>
      </w:r>
      <w:r w:rsidRPr="004D1AA1">
        <w:t>docentes TIC</w:t>
      </w:r>
      <w:r>
        <w:t xml:space="preserve">, es decir, personas clave que permitan replicar las TIC en la población. </w:t>
      </w:r>
      <w:r w:rsidRPr="00B07B97">
        <w:t>La inversión ejecutada de junio a diciembre de 2012 ascendió a $2.174 millones.</w:t>
      </w:r>
    </w:p>
    <w:p w:rsidR="00D11937" w:rsidRDefault="00D11937" w:rsidP="00EC6911">
      <w:r>
        <w:t xml:space="preserve">En el desarrollo del programa Ciudadanía Digital (promoción del acceso, uso y apropiación masiva de las TIC). Se han formado en tecnología 69.000 docentes y directivos para que la aprovechen en los procesos de enseñanza. Adicionalmente hay 378.000 colombianos capacitados en el uso de internet y tecnología, que ahora están certificados como ciudadanos digitales. Según el reporte de avance a 2013 que se encuentra en la página del MINTIC, se invirtieron 2.000 millones en el segundo semestre de 2012. </w:t>
      </w:r>
    </w:p>
    <w:p w:rsidR="00D11937" w:rsidRDefault="00D11937" w:rsidP="00EC6911">
      <w:r>
        <w:t xml:space="preserve">Los indicadores 12 y 13 presentados al inicio del capítulo dan cuenta de esos programas de formación en el marco del Plan Vive Digital, en particular, de aquellos orientados a formar servidores públicos y docentes: en el caso de los primeros, la meta para 2014 tiene un avance de cumplimiento de 91.6% mientras que para la formación de docentes </w:t>
      </w:r>
      <w:r>
        <w:lastRenderedPageBreak/>
        <w:t>la meta se ha cumplido en cerca de un 50%, de acuerdo con la información de SINERGIA.</w:t>
      </w:r>
    </w:p>
    <w:p w:rsidR="00D11937" w:rsidRDefault="00D11937" w:rsidP="00EC6911">
      <w:r>
        <w:t>Dentro de esta categoría también se incluye el proyecto de Computadores para educar</w:t>
      </w:r>
      <w:r w:rsidR="00AE0D67">
        <w:t>. Como se observa en el cuadro 1</w:t>
      </w:r>
      <w:r>
        <w:t xml:space="preserve">.1 el indicador relacionado: </w:t>
      </w:r>
    </w:p>
    <w:p w:rsidR="00D11937" w:rsidRPr="009F06F0" w:rsidRDefault="00D11937" w:rsidP="00EC6911">
      <w:pPr>
        <w:pStyle w:val="Prrafodelista"/>
        <w:numPr>
          <w:ilvl w:val="0"/>
          <w:numId w:val="39"/>
        </w:numPr>
        <w:contextualSpacing w:val="0"/>
      </w:pPr>
      <w:r w:rsidRPr="009F06F0">
        <w:t>Número de computadores entregados a sedes beneficiarias. (también puede estar en formación)</w:t>
      </w:r>
    </w:p>
    <w:p w:rsidR="00D11937" w:rsidRDefault="00D11937" w:rsidP="00EC6911">
      <w:r>
        <w:t xml:space="preserve">Es el segundo con mejor desempeño, superando muy por encima las metas establecidas para 2014 pues se han entregado más de 700.000 computadores o terminales. De acuerdo con el MINTIC, </w:t>
      </w:r>
      <w:r w:rsidRPr="003D19E7">
        <w:t xml:space="preserve">durante el período junio de 2012 a mayo de 2013, </w:t>
      </w:r>
      <w:r>
        <w:t xml:space="preserve">se invirtieron recursos por </w:t>
      </w:r>
      <w:r w:rsidRPr="003D19E7">
        <w:t>$139.489 millones</w:t>
      </w:r>
      <w:r>
        <w:t xml:space="preserve">; es en este periodo en el que más equipos se han entregado. Este proyecto también logró </w:t>
      </w:r>
      <w:r w:rsidRPr="009F06F0">
        <w:t>que las entidades territoriales aportaran recursos propios para la compra de computadores y tabletas, en el marco de la estrategia Nativos Digitales</w:t>
      </w:r>
      <w:r>
        <w:t>.</w:t>
      </w:r>
    </w:p>
    <w:p w:rsidR="00D11937" w:rsidRDefault="00D11937" w:rsidP="00EC6911">
      <w:r>
        <w:t>Al respecto, la Universidad de los Andes realizó una evaluación de impacto en la que se encontró que el programa disminuye la tasa de deserción, aumenta los puntajes de las pruebas estandarizadas así como también la probabilidad de ingresar a la educación superior; los resultados también muestran que entre más tiempo lleve la escuela como beneficiaria del programa los efectos sobre las variables mencionadas son mayores</w:t>
      </w:r>
      <w:r>
        <w:rPr>
          <w:rStyle w:val="Refdenotaalpie"/>
        </w:rPr>
        <w:footnoteReference w:id="10"/>
      </w:r>
      <w:r>
        <w:t>.</w:t>
      </w:r>
    </w:p>
    <w:p w:rsidR="00D11937" w:rsidRDefault="00D11937" w:rsidP="00EC6911">
      <w:r w:rsidRPr="0040294E">
        <w:t>De lo anterior se puede decir que, en términos generales, el componente formación está</w:t>
      </w:r>
      <w:r>
        <w:t xml:space="preserve"> avanzando lo que permite fortalecer el componente de Usuarios del Ecosistema Digital. En el capítulo 3 se identificó la alfabetización digital como uno de los cuellos de botella operacionales.</w:t>
      </w:r>
    </w:p>
    <w:p w:rsidR="00D11937" w:rsidRPr="00513C63" w:rsidRDefault="00D11937" w:rsidP="00EC6911">
      <w:pPr>
        <w:pStyle w:val="Ttulo3"/>
        <w:numPr>
          <w:ilvl w:val="2"/>
          <w:numId w:val="42"/>
        </w:numPr>
        <w:rPr>
          <w:sz w:val="26"/>
          <w:szCs w:val="26"/>
        </w:rPr>
      </w:pPr>
      <w:bookmarkStart w:id="90" w:name="_Toc374109417"/>
      <w:r w:rsidRPr="00513C63">
        <w:rPr>
          <w:sz w:val="26"/>
          <w:szCs w:val="26"/>
        </w:rPr>
        <w:t>Avances en implementación del código postal</w:t>
      </w:r>
      <w:bookmarkEnd w:id="90"/>
    </w:p>
    <w:p w:rsidR="00D11937" w:rsidRDefault="00D11937" w:rsidP="00EC6911">
      <w:r w:rsidRPr="00A278DA">
        <w:t>El indicador del plan Vive Digital en este aspecto establece metas sobre:</w:t>
      </w:r>
      <w:r>
        <w:t xml:space="preserve"> </w:t>
      </w:r>
    </w:p>
    <w:p w:rsidR="00D11937" w:rsidRPr="003F6C5B" w:rsidRDefault="00D11937" w:rsidP="00EC6911">
      <w:pPr>
        <w:pStyle w:val="Prrafodelista"/>
        <w:numPr>
          <w:ilvl w:val="0"/>
          <w:numId w:val="38"/>
        </w:numPr>
        <w:contextualSpacing w:val="0"/>
      </w:pPr>
      <w:r w:rsidRPr="003F6C5B">
        <w:t xml:space="preserve">Entes territoriales con código postal implementado. </w:t>
      </w:r>
    </w:p>
    <w:p w:rsidR="00D11937" w:rsidRPr="003D61F3" w:rsidRDefault="00D11937" w:rsidP="00EC6911">
      <w:r>
        <w:t xml:space="preserve">El código </w:t>
      </w:r>
      <w:r w:rsidRPr="003D61F3">
        <w:t>postal se establece en el artículo 9 de la ley 1369 de 2009 que indica su uso en los siguientes términos:</w:t>
      </w:r>
    </w:p>
    <w:p w:rsidR="00D11937" w:rsidRPr="003D61F3" w:rsidRDefault="00D11937" w:rsidP="00EC6911">
      <w:pPr>
        <w:rPr>
          <w:i/>
        </w:rPr>
      </w:pPr>
      <w:r w:rsidRPr="003D61F3">
        <w:rPr>
          <w:i/>
        </w:rPr>
        <w:lastRenderedPageBreak/>
        <w:t>“</w:t>
      </w:r>
      <w:r w:rsidRPr="003D61F3">
        <w:rPr>
          <w:rFonts w:cs="Arial"/>
          <w:b/>
          <w:bCs/>
          <w:i/>
        </w:rPr>
        <w:t>Artículo </w:t>
      </w:r>
      <w:bookmarkStart w:id="91" w:name="9"/>
      <w:r w:rsidRPr="003D61F3">
        <w:rPr>
          <w:rFonts w:cs="Arial"/>
          <w:b/>
          <w:bCs/>
          <w:i/>
        </w:rPr>
        <w:t> </w:t>
      </w:r>
      <w:bookmarkEnd w:id="91"/>
      <w:r w:rsidRPr="003D61F3">
        <w:rPr>
          <w:rFonts w:cs="Arial"/>
          <w:b/>
          <w:bCs/>
          <w:i/>
        </w:rPr>
        <w:t xml:space="preserve">9°. </w:t>
      </w:r>
      <w:r w:rsidRPr="003D61F3">
        <w:rPr>
          <w:rFonts w:cs="Arial"/>
          <w:i/>
          <w:iCs/>
        </w:rPr>
        <w:t xml:space="preserve">Utilización del "Código Postal de la República de Colombia". </w:t>
      </w:r>
      <w:r w:rsidRPr="003D61F3">
        <w:rPr>
          <w:rFonts w:cs="Arial"/>
          <w:i/>
        </w:rPr>
        <w:t>El Ministerio de Tecnologías de la Información y las Comunicaciones estructurará, administrará y difundirá el sistema de codificación postal denominado "Código Postal de la República de Colombia", y definirá los mecanismos de difusión de dicho Código.</w:t>
      </w:r>
      <w:r w:rsidRPr="003D61F3">
        <w:rPr>
          <w:i/>
        </w:rPr>
        <w:t>”</w:t>
      </w:r>
    </w:p>
    <w:p w:rsidR="00D11937" w:rsidRPr="00034560" w:rsidRDefault="00D11937" w:rsidP="00EC6911">
      <w:r w:rsidRPr="003D61F3">
        <w:t xml:space="preserve">Así mismo este artículo impone la obligación de adoptarlo por parte de entidades </w:t>
      </w:r>
      <w:r w:rsidRPr="00034560">
        <w:t>estatales al indicar que “</w:t>
      </w:r>
      <w:r w:rsidRPr="00034560">
        <w:rPr>
          <w:rFonts w:cs="Arial"/>
          <w:i/>
        </w:rPr>
        <w:t>Las entidades del orden nacional y territorial adoptarán el Código Postal, dentro de los plazos y condiciones establecidas por el Gobierno Nacional</w:t>
      </w:r>
      <w:r w:rsidRPr="00034560">
        <w:t>”</w:t>
      </w:r>
    </w:p>
    <w:p w:rsidR="00D11937" w:rsidRPr="00034560" w:rsidRDefault="00D11937" w:rsidP="00EC6911">
      <w:r w:rsidRPr="00034560">
        <w:t>En desarrollo de lo anterior, y mediante decreto 852 del 25 de abril de 2013, “por el cual se establecen los términos y condiciones para la adopción del Código Postal en el Territorio nacional”,  se incorporan obligaciones que incluyen:</w:t>
      </w:r>
    </w:p>
    <w:p w:rsidR="00D11937" w:rsidRPr="00034560" w:rsidRDefault="00D11937" w:rsidP="00EC6911">
      <w:pPr>
        <w:numPr>
          <w:ilvl w:val="0"/>
          <w:numId w:val="37"/>
        </w:numPr>
      </w:pPr>
      <w:r w:rsidRPr="00034560">
        <w:t>La adopción del código como elemento de identificación complementario a la dirección para el adecuado encaminamiento de piezas postales,</w:t>
      </w:r>
    </w:p>
    <w:p w:rsidR="00D11937" w:rsidRPr="00034560" w:rsidRDefault="00D11937" w:rsidP="00EC6911">
      <w:pPr>
        <w:numPr>
          <w:ilvl w:val="0"/>
          <w:numId w:val="37"/>
        </w:numPr>
      </w:pPr>
      <w:r w:rsidRPr="00034560">
        <w:t>La adopción de la estructura del código la cual se explica más adelante,</w:t>
      </w:r>
    </w:p>
    <w:p w:rsidR="00D11937" w:rsidRPr="00034560" w:rsidRDefault="00D11937" w:rsidP="00EC6911">
      <w:pPr>
        <w:numPr>
          <w:ilvl w:val="0"/>
          <w:numId w:val="37"/>
        </w:numPr>
      </w:pPr>
      <w:r w:rsidRPr="00034560">
        <w:t xml:space="preserve">La obligación de las entidades públicas de adoptar el uso de este código con un plazo para la implementación de su adopción y uso del 31 de agosto de 2013. </w:t>
      </w:r>
    </w:p>
    <w:p w:rsidR="00D11937" w:rsidRPr="00034560" w:rsidRDefault="00D11937" w:rsidP="00EC6911">
      <w:r w:rsidRPr="00034560">
        <w:t>El código postal consta de 6 dígitos en los cuales se ha establecido una estructura de la siguiente forma</w:t>
      </w:r>
      <w:r w:rsidRPr="00034560">
        <w:rPr>
          <w:rStyle w:val="Refdenotaalpie"/>
        </w:rPr>
        <w:footnoteReference w:id="11"/>
      </w:r>
      <w:r w:rsidRPr="00034560">
        <w:t>:</w:t>
      </w:r>
    </w:p>
    <w:p w:rsidR="00D11937" w:rsidRDefault="00D11937" w:rsidP="00EC6911">
      <w:pPr>
        <w:numPr>
          <w:ilvl w:val="0"/>
          <w:numId w:val="36"/>
        </w:numPr>
      </w:pPr>
      <w:r>
        <w:t>los dos primeros dígitos corresponden a los departamentos nacionales haciendo uso de la codificación vigente del DANE, usando un cero como primer dígito en los departamentos identificados con un solo dígito.</w:t>
      </w:r>
    </w:p>
    <w:p w:rsidR="00D11937" w:rsidRDefault="00D11937" w:rsidP="00EC6911">
      <w:pPr>
        <w:numPr>
          <w:ilvl w:val="0"/>
          <w:numId w:val="36"/>
        </w:numPr>
      </w:pPr>
      <w:r>
        <w:t>Los dos siguientes dígitos determinan la zona postal departamental de encaminamiento, reservando el 00 para las capitales y los códigos 01 a 89 utilizados para dividir los departamentos hasta en 89 zonas.</w:t>
      </w:r>
    </w:p>
    <w:p w:rsidR="00D11937" w:rsidRDefault="00D11937" w:rsidP="00EC6911">
      <w:pPr>
        <w:numPr>
          <w:ilvl w:val="0"/>
          <w:numId w:val="36"/>
        </w:numPr>
      </w:pPr>
      <w:r>
        <w:t>Los dos últimos dígitos corresponden a los denominados distritos postales por municipio o localidad para un total de hasta 100 distritos en cada zona postal.</w:t>
      </w:r>
    </w:p>
    <w:p w:rsidR="00D11937" w:rsidRPr="00034560" w:rsidRDefault="00D11937" w:rsidP="00EC6911">
      <w:r w:rsidRPr="003D61F3">
        <w:lastRenderedPageBreak/>
        <w:t>El código postal ha sido desarrollado por la Empresa Servicios Postales Nacionales (SPN), que es el Operador</w:t>
      </w:r>
      <w:r>
        <w:t xml:space="preserve"> Postal Oficial (OPO) que opera bajo la marca 4-72. La información referente al código está disponible en sistema de información </w:t>
      </w:r>
      <w:proofErr w:type="spellStart"/>
      <w:r>
        <w:t>georeferenciado</w:t>
      </w:r>
      <w:proofErr w:type="spellEnd"/>
      <w:r>
        <w:t xml:space="preserve"> implementado en el sitio </w:t>
      </w:r>
      <w:hyperlink r:id="rId29" w:history="1">
        <w:r w:rsidRPr="009F0B23">
          <w:rPr>
            <w:rStyle w:val="Hipervnculo"/>
          </w:rPr>
          <w:t>http://www.codigopostal.gov.co</w:t>
        </w:r>
      </w:hyperlink>
      <w:r>
        <w:t xml:space="preserve">. Las consultas respecto del código postal a utilizar pueden ser realizadas en el link </w:t>
      </w:r>
      <w:hyperlink r:id="rId30" w:history="1">
        <w:r w:rsidRPr="009F0B23">
          <w:rPr>
            <w:rStyle w:val="Hipervnculo"/>
          </w:rPr>
          <w:t>http://www.codigopostal4-72.com.co/codigospostalesPN/</w:t>
        </w:r>
      </w:hyperlink>
      <w:r>
        <w:t xml:space="preserve">  cuyo resultado indica la ubicación en mapas satelitales del predio así como detalle del código y dirección del mismo.</w:t>
      </w:r>
    </w:p>
    <w:p w:rsidR="00D11937" w:rsidRPr="00847EBD" w:rsidRDefault="00D11937" w:rsidP="00D11937">
      <w:pPr>
        <w:pStyle w:val="T-Figura"/>
      </w:pPr>
      <w:r w:rsidRPr="00847EBD">
        <w:t xml:space="preserve">Figura </w:t>
      </w:r>
      <w:r w:rsidR="008B5F52">
        <w:t>1</w:t>
      </w:r>
      <w:r>
        <w:t>.9</w:t>
      </w:r>
      <w:r w:rsidRPr="00847EBD">
        <w:t xml:space="preserve"> </w:t>
      </w:r>
      <w:r>
        <w:t>–</w:t>
      </w:r>
      <w:r w:rsidRPr="00847EBD">
        <w:t xml:space="preserve"> </w:t>
      </w:r>
      <w:r>
        <w:t>Ejemplo resultado búsqueda código postal</w:t>
      </w:r>
    </w:p>
    <w:p w:rsidR="00D11937" w:rsidRDefault="00D11937" w:rsidP="00D11937">
      <w:pPr>
        <w:spacing w:before="120" w:after="120"/>
      </w:pPr>
      <w:r>
        <w:rPr>
          <w:noProof/>
          <w:lang w:val="es-CO" w:eastAsia="es-CO"/>
        </w:rPr>
        <w:drawing>
          <wp:inline distT="0" distB="0" distL="0" distR="0">
            <wp:extent cx="5610225" cy="2238375"/>
            <wp:effectExtent l="0" t="0" r="9525" b="9525"/>
            <wp:docPr id="3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0225" cy="2238375"/>
                    </a:xfrm>
                    <a:prstGeom prst="rect">
                      <a:avLst/>
                    </a:prstGeom>
                    <a:noFill/>
                    <a:ln>
                      <a:noFill/>
                    </a:ln>
                  </pic:spPr>
                </pic:pic>
              </a:graphicData>
            </a:graphic>
          </wp:inline>
        </w:drawing>
      </w:r>
    </w:p>
    <w:p w:rsidR="00D11937" w:rsidRPr="00D72C10" w:rsidRDefault="00D72C10" w:rsidP="00D72C10">
      <w:pPr>
        <w:pStyle w:val="PiedeCuadro"/>
        <w:rPr>
          <w:sz w:val="20"/>
        </w:rPr>
      </w:pPr>
      <w:r w:rsidRPr="00D72C10">
        <w:rPr>
          <w:sz w:val="20"/>
        </w:rPr>
        <w:t>Fuente:</w:t>
      </w:r>
      <w:r>
        <w:rPr>
          <w:sz w:val="20"/>
        </w:rPr>
        <w:t xml:space="preserve"> Código Postal Colombia.</w:t>
      </w:r>
      <w:r w:rsidRPr="00D72C10">
        <w:rPr>
          <w:sz w:val="20"/>
        </w:rPr>
        <w:t xml:space="preserve"> </w:t>
      </w:r>
      <w:hyperlink r:id="rId32" w:history="1">
        <w:r w:rsidRPr="009F0B23">
          <w:rPr>
            <w:rStyle w:val="Hipervnculo"/>
          </w:rPr>
          <w:t>http://www.codigopostal.gov.co</w:t>
        </w:r>
      </w:hyperlink>
      <w:r>
        <w:t>.</w:t>
      </w:r>
    </w:p>
    <w:p w:rsidR="00D11937" w:rsidRDefault="00D11937" w:rsidP="00EC6911">
      <w:r>
        <w:t>Este sistema de información utiliza herramientas geo-referenciadas adecuadas y acordes con las tecnologías disponibles actualmente, siendo de manejo fácil e intuitivo y sin duda un avance importante en materia de disponibilidad de información a través de la Internet para toda la población e instituciones públicas o privadas que requieran acceder a estos códigos.</w:t>
      </w:r>
    </w:p>
    <w:p w:rsidR="00D11937" w:rsidRDefault="00D11937" w:rsidP="00EC6911">
      <w:r>
        <w:t>Así, en materia de desarrollo del marco normativo específico y de las herramientas necesarias para la implementación del código postal, se encuentra que existe un cumplimiento al 100% por parte de las entidades del sector TIC encargadas de este punto, por cuanto se han expedido las normas y se cuenta ya con las herramientas necesarias para la implementación del mismo.</w:t>
      </w:r>
    </w:p>
    <w:p w:rsidR="00D11937" w:rsidRDefault="00D11937" w:rsidP="00EC6911">
      <w:r>
        <w:t xml:space="preserve">Respecto a la efectiva implementación por parte de las diversas entidades estatales, se realizó a través del </w:t>
      </w:r>
      <w:r w:rsidR="00A32ADE">
        <w:rPr>
          <w:rFonts w:eastAsia="Calibri" w:cs="Times New Roman"/>
        </w:rPr>
        <w:t>MINTIC</w:t>
      </w:r>
      <w:r w:rsidR="00A32ADE">
        <w:t xml:space="preserve"> </w:t>
      </w:r>
      <w:r>
        <w:t xml:space="preserve">solicitud de información a Servicios Postales Nacionales –SPN- sobre  entidades estatales que consten en su sistema que han adoptado ya está </w:t>
      </w:r>
      <w:r>
        <w:lastRenderedPageBreak/>
        <w:t>codificación como información adicional en la información de destinatario al utilizar los servicios de correo que presta SPN.</w:t>
      </w:r>
    </w:p>
    <w:p w:rsidR="00D11937" w:rsidRPr="00034AB1" w:rsidRDefault="00D11937" w:rsidP="00EC6911">
      <w:r>
        <w:t>Conforme a la documentación recibida de SPN- MINTIC (2013), “</w:t>
      </w:r>
      <w:r w:rsidRPr="00034AB1">
        <w:rPr>
          <w:i/>
        </w:rPr>
        <w:t>Se entiende por adopción del "Código Postal" su incorporación en las bases de datos pertinentes y su uso continuo por parte de los destinatarios del presente decreto." 4-72 realizó el procesamiento para los 1.122 Municipios, incorporando el código postal en las bases de datos prediales entregadas por el IGAC y las del DANE, lo cual significaría que el indicador esta cumplido al 100%, la medición que se realiza es la certificación de que los Municipios recibieron la información enviada por correo certificado y sobre la cual se tiene un pendiente de que 99 Municipios confirmen este recibo a través de la certificación</w:t>
      </w:r>
      <w:r w:rsidRPr="00034AB1">
        <w:t>”.</w:t>
      </w:r>
    </w:p>
    <w:p w:rsidR="00D11937" w:rsidRDefault="00D11937" w:rsidP="00EC6911">
      <w:r w:rsidRPr="00034AB1">
        <w:t>Considerando lo anterior, así como los resultados plasmados en el citado informe,</w:t>
      </w:r>
      <w:r>
        <w:t xml:space="preserve"> el cumplimiento respecto de la implementación del código postal en sistemas de información nacionales geográficos y estadísticos del IGAC y del DANE se han cumplido en su totalidad.</w:t>
      </w:r>
    </w:p>
    <w:p w:rsidR="00D11937" w:rsidRDefault="00D11937" w:rsidP="00EC6911">
      <w:r>
        <w:t>En el caso del envío de la información pertinente a cada municipio, se encuentra evidencia de que a la fecha del informe el 91.17% de los municipios han sido adecuadamente informados respecto de las reglas para implementación del código.</w:t>
      </w:r>
    </w:p>
    <w:p w:rsidR="00D11937" w:rsidRDefault="00D11937" w:rsidP="00EC6911">
      <w:r>
        <w:t>En el mismo documento se encuentra evidencia del uso efectivo del código en al menos 40 municipios, cantidad que si bien es pequeña, considerando el tiempo transcurrido entre el plazo del decreto y la presentación del informe sobre uso del código es un indicio positivo respecto del uso de este recurso.</w:t>
      </w:r>
    </w:p>
    <w:p w:rsidR="00D11937" w:rsidRDefault="00D11937" w:rsidP="00EC6911">
      <w:r>
        <w:t>En todo caso se recomienda realizar monitoreo periódico al interior de SPN respecto del correcto y continuo uso del código postal por parte de las entidades territoriales.</w:t>
      </w:r>
      <w:r w:rsidRPr="00034AB1">
        <w:t xml:space="preserve"> </w:t>
      </w:r>
    </w:p>
    <w:p w:rsidR="00D11937" w:rsidRPr="00513C63" w:rsidRDefault="00D11937" w:rsidP="00EC6911">
      <w:pPr>
        <w:pStyle w:val="Ttulo3"/>
        <w:numPr>
          <w:ilvl w:val="2"/>
          <w:numId w:val="42"/>
        </w:numPr>
        <w:rPr>
          <w:sz w:val="26"/>
          <w:szCs w:val="26"/>
        </w:rPr>
      </w:pPr>
      <w:bookmarkStart w:id="92" w:name="_Toc374109418"/>
      <w:r w:rsidRPr="00513C63">
        <w:rPr>
          <w:sz w:val="26"/>
          <w:szCs w:val="26"/>
        </w:rPr>
        <w:t>Avances en el desarrollo de la TDT</w:t>
      </w:r>
      <w:bookmarkEnd w:id="92"/>
    </w:p>
    <w:p w:rsidR="00D11937" w:rsidRDefault="00D11937" w:rsidP="00EC6911">
      <w:r>
        <w:t xml:space="preserve">La Televisión Digital Terrestre (TDT) se estableció en el país mediante la adopción del estándar correspondiente mediante acuerdo de la CNTV número 008 de 2010, escogiendo el </w:t>
      </w:r>
      <w:r w:rsidRPr="00D00EA5">
        <w:t xml:space="preserve">estándar europeo DVB-T (Digital Video </w:t>
      </w:r>
      <w:proofErr w:type="spellStart"/>
      <w:r w:rsidRPr="00D00EA5">
        <w:t>Broadcasting</w:t>
      </w:r>
      <w:proofErr w:type="spellEnd"/>
      <w:r w:rsidRPr="00D00EA5">
        <w:t xml:space="preserve"> – </w:t>
      </w:r>
      <w:proofErr w:type="spellStart"/>
      <w:r w:rsidRPr="00D00EA5">
        <w:t>Terrestrial</w:t>
      </w:r>
      <w:proofErr w:type="spellEnd"/>
      <w:r w:rsidRPr="00D00EA5">
        <w:t xml:space="preserve">). Este  estándar fue posteriormente  actualizado a la versión DVBT2 mediante Acuerdo de la CNTV número 004 de 2011. </w:t>
      </w:r>
    </w:p>
    <w:p w:rsidR="00D11937" w:rsidRDefault="00D11937" w:rsidP="00EC6911">
      <w:r>
        <w:t>Cabe aquí destacar que mediante reforma constitucional y posterior expedición de la Ley 1507 de 2012, la CNTV cesó sus funciones y estas fueron redistribuidas en diferentes entidades, siendo las normas relacionadas con la adopción y desarrollo del estándar TDT distribuidas entre la ANTV y la CRC.</w:t>
      </w:r>
    </w:p>
    <w:p w:rsidR="00D11937" w:rsidRDefault="00D11937" w:rsidP="00EC6911">
      <w:r w:rsidRPr="00D00EA5">
        <w:lastRenderedPageBreak/>
        <w:t>Previa su desaparición, y mediante Acuerdo CNTV número 002 de 2012 se estableció el marco general para el despliegue de la TDT en el país.</w:t>
      </w:r>
      <w:r>
        <w:t xml:space="preserve"> </w:t>
      </w:r>
    </w:p>
    <w:p w:rsidR="00D11937" w:rsidRDefault="00D11937" w:rsidP="00EC6911">
      <w:r>
        <w:t>Las metas de cubrimiento poblacional establecidas en dicho acuerdo plantean una gradualidad en el cubrimiento hasta el año 2018, de modo que en 2019 se cumpla el periodo de transición y cesen las emisiones análogas el 31 de diciembre de dicho año. Las metas parciales propuestas en dicho acuerdo para cada año del operador público son las siguientes</w:t>
      </w:r>
      <w:r>
        <w:rPr>
          <w:rStyle w:val="Refdenotaalpie"/>
        </w:rPr>
        <w:footnoteReference w:id="12"/>
      </w:r>
      <w:r>
        <w:t>.</w:t>
      </w:r>
    </w:p>
    <w:p w:rsidR="00D11937" w:rsidRDefault="00D11937" w:rsidP="00D11937">
      <w:pPr>
        <w:pStyle w:val="T-Figura"/>
      </w:pPr>
      <w:r w:rsidRPr="006B4E39">
        <w:t xml:space="preserve">Cuadro </w:t>
      </w:r>
      <w:r w:rsidR="008B5F52">
        <w:t>1.10</w:t>
      </w:r>
      <w:r w:rsidRPr="006B4E39">
        <w:t xml:space="preserve"> </w:t>
      </w:r>
      <w:r>
        <w:t>–</w:t>
      </w:r>
      <w:r w:rsidRPr="006B4E39">
        <w:t xml:space="preserve"> </w:t>
      </w:r>
      <w:r>
        <w:t>Metas de cubrimiento de la TDT</w:t>
      </w:r>
    </w:p>
    <w:tbl>
      <w:tblPr>
        <w:tblW w:w="0" w:type="auto"/>
        <w:jc w:val="center"/>
        <w:tblInd w:w="55" w:type="dxa"/>
        <w:tblBorders>
          <w:top w:val="single" w:sz="4" w:space="0" w:color="BFBFBF" w:themeColor="background1" w:themeShade="BF"/>
          <w:bottom w:val="single" w:sz="4" w:space="0" w:color="BFBFBF" w:themeColor="background1" w:themeShade="BF"/>
          <w:insideH w:val="single" w:sz="4" w:space="0" w:color="BFBFBF" w:themeColor="background1" w:themeShade="BF"/>
        </w:tblBorders>
        <w:tblCellMar>
          <w:left w:w="70" w:type="dxa"/>
          <w:right w:w="70" w:type="dxa"/>
        </w:tblCellMar>
        <w:tblLook w:val="0000"/>
      </w:tblPr>
      <w:tblGrid>
        <w:gridCol w:w="505"/>
        <w:gridCol w:w="3841"/>
      </w:tblGrid>
      <w:tr w:rsidR="00D11937" w:rsidRPr="00C740A8" w:rsidTr="001E7DC8">
        <w:trPr>
          <w:trHeight w:val="20"/>
          <w:jc w:val="center"/>
        </w:trPr>
        <w:tc>
          <w:tcPr>
            <w:tcW w:w="0" w:type="auto"/>
            <w:gridSpan w:val="2"/>
            <w:shd w:val="clear" w:color="auto" w:fill="C0C0C0"/>
            <w:vAlign w:val="bottom"/>
          </w:tcPr>
          <w:p w:rsidR="00D11937" w:rsidRPr="009167B4" w:rsidRDefault="00D11937" w:rsidP="001E7DC8">
            <w:pPr>
              <w:pStyle w:val="TextCuadro"/>
              <w:jc w:val="center"/>
              <w:rPr>
                <w:b/>
                <w:lang w:val="es-ES" w:eastAsia="es-ES"/>
              </w:rPr>
            </w:pPr>
            <w:r w:rsidRPr="009167B4">
              <w:rPr>
                <w:b/>
                <w:lang w:val="es-ES" w:eastAsia="es-ES"/>
              </w:rPr>
              <w:t>Metas cubrimiento poblacional acumulado</w:t>
            </w:r>
          </w:p>
        </w:tc>
      </w:tr>
      <w:tr w:rsidR="00D11937" w:rsidRPr="00C740A8" w:rsidTr="001E7DC8">
        <w:trPr>
          <w:trHeight w:val="20"/>
          <w:jc w:val="center"/>
        </w:trPr>
        <w:tc>
          <w:tcPr>
            <w:tcW w:w="0" w:type="auto"/>
            <w:shd w:val="clear" w:color="auto" w:fill="C0C0C0"/>
            <w:vAlign w:val="bottom"/>
          </w:tcPr>
          <w:p w:rsidR="00D11937" w:rsidRPr="00C740A8" w:rsidRDefault="00D11937" w:rsidP="001E7DC8">
            <w:pPr>
              <w:pStyle w:val="TextCuadro"/>
              <w:rPr>
                <w:lang w:val="es-ES" w:eastAsia="es-ES"/>
              </w:rPr>
            </w:pPr>
            <w:r w:rsidRPr="00C740A8">
              <w:rPr>
                <w:lang w:val="es-ES" w:eastAsia="es-ES"/>
              </w:rPr>
              <w:t>Año</w:t>
            </w:r>
          </w:p>
        </w:tc>
        <w:tc>
          <w:tcPr>
            <w:tcW w:w="0" w:type="auto"/>
            <w:shd w:val="clear" w:color="auto" w:fill="C0C0C0"/>
            <w:vAlign w:val="bottom"/>
          </w:tcPr>
          <w:p w:rsidR="00D11937" w:rsidRPr="009167B4" w:rsidRDefault="00D11937" w:rsidP="001E7DC8">
            <w:pPr>
              <w:pStyle w:val="TextCuadro"/>
              <w:jc w:val="center"/>
              <w:rPr>
                <w:b/>
                <w:lang w:val="es-ES" w:eastAsia="es-ES"/>
              </w:rPr>
            </w:pPr>
            <w:r w:rsidRPr="009167B4">
              <w:rPr>
                <w:b/>
                <w:lang w:val="es-ES" w:eastAsia="es-ES"/>
              </w:rPr>
              <w:t>Operador público meta acuerdo CNTV 002/2012</w:t>
            </w:r>
          </w:p>
        </w:tc>
      </w:tr>
      <w:tr w:rsidR="00D11937" w:rsidRPr="00284A44" w:rsidTr="001E7DC8">
        <w:trPr>
          <w:trHeight w:val="20"/>
          <w:jc w:val="center"/>
        </w:trPr>
        <w:tc>
          <w:tcPr>
            <w:tcW w:w="0" w:type="auto"/>
            <w:shd w:val="clear" w:color="auto" w:fill="auto"/>
            <w:noWrap/>
            <w:vAlign w:val="bottom"/>
          </w:tcPr>
          <w:p w:rsidR="00D11937" w:rsidRPr="00284A44" w:rsidRDefault="00D11937" w:rsidP="001E7DC8">
            <w:pPr>
              <w:pStyle w:val="TextCuadro"/>
              <w:rPr>
                <w:lang w:val="es-ES" w:eastAsia="es-ES"/>
              </w:rPr>
            </w:pPr>
            <w:r w:rsidRPr="00284A44">
              <w:rPr>
                <w:lang w:val="es-ES" w:eastAsia="es-ES"/>
              </w:rPr>
              <w:t>2012</w:t>
            </w:r>
          </w:p>
        </w:tc>
        <w:tc>
          <w:tcPr>
            <w:tcW w:w="0" w:type="auto"/>
            <w:shd w:val="clear" w:color="auto" w:fill="auto"/>
            <w:noWrap/>
            <w:vAlign w:val="bottom"/>
          </w:tcPr>
          <w:p w:rsidR="00D11937" w:rsidRPr="00284A44" w:rsidRDefault="00D11937" w:rsidP="001E7DC8">
            <w:pPr>
              <w:pStyle w:val="TextCuadro"/>
              <w:jc w:val="right"/>
              <w:rPr>
                <w:lang w:val="es-ES" w:eastAsia="es-ES"/>
              </w:rPr>
            </w:pPr>
            <w:r w:rsidRPr="00284A44">
              <w:rPr>
                <w:lang w:val="es-ES" w:eastAsia="es-ES"/>
              </w:rPr>
              <w:t>49.88%</w:t>
            </w:r>
          </w:p>
        </w:tc>
      </w:tr>
      <w:tr w:rsidR="00D11937" w:rsidRPr="00284A44" w:rsidTr="001E7DC8">
        <w:trPr>
          <w:trHeight w:val="20"/>
          <w:jc w:val="center"/>
        </w:trPr>
        <w:tc>
          <w:tcPr>
            <w:tcW w:w="0" w:type="auto"/>
            <w:shd w:val="clear" w:color="auto" w:fill="auto"/>
            <w:noWrap/>
            <w:vAlign w:val="bottom"/>
          </w:tcPr>
          <w:p w:rsidR="00D11937" w:rsidRPr="00284A44" w:rsidRDefault="00D11937" w:rsidP="001E7DC8">
            <w:pPr>
              <w:pStyle w:val="TextCuadro"/>
              <w:rPr>
                <w:lang w:val="es-ES" w:eastAsia="es-ES"/>
              </w:rPr>
            </w:pPr>
            <w:r w:rsidRPr="00284A44">
              <w:rPr>
                <w:lang w:val="es-ES" w:eastAsia="es-ES"/>
              </w:rPr>
              <w:t>2013</w:t>
            </w:r>
          </w:p>
        </w:tc>
        <w:tc>
          <w:tcPr>
            <w:tcW w:w="0" w:type="auto"/>
            <w:shd w:val="clear" w:color="auto" w:fill="auto"/>
            <w:noWrap/>
            <w:vAlign w:val="bottom"/>
          </w:tcPr>
          <w:p w:rsidR="00D11937" w:rsidRPr="00284A44" w:rsidRDefault="00D11937" w:rsidP="001E7DC8">
            <w:pPr>
              <w:pStyle w:val="TextCuadro"/>
              <w:jc w:val="right"/>
              <w:rPr>
                <w:lang w:val="es-ES" w:eastAsia="es-ES"/>
              </w:rPr>
            </w:pPr>
            <w:r w:rsidRPr="00284A44">
              <w:rPr>
                <w:lang w:val="es-ES" w:eastAsia="es-ES"/>
              </w:rPr>
              <w:t>63.60%</w:t>
            </w:r>
          </w:p>
        </w:tc>
      </w:tr>
      <w:tr w:rsidR="00D11937" w:rsidRPr="00284A44" w:rsidTr="001E7DC8">
        <w:trPr>
          <w:trHeight w:val="20"/>
          <w:jc w:val="center"/>
        </w:trPr>
        <w:tc>
          <w:tcPr>
            <w:tcW w:w="0" w:type="auto"/>
            <w:shd w:val="clear" w:color="auto" w:fill="auto"/>
            <w:noWrap/>
            <w:vAlign w:val="bottom"/>
          </w:tcPr>
          <w:p w:rsidR="00D11937" w:rsidRPr="00284A44" w:rsidRDefault="00D11937" w:rsidP="001E7DC8">
            <w:pPr>
              <w:pStyle w:val="TextCuadro"/>
              <w:rPr>
                <w:lang w:val="es-ES" w:eastAsia="es-ES"/>
              </w:rPr>
            </w:pPr>
            <w:r w:rsidRPr="00284A44">
              <w:rPr>
                <w:lang w:val="es-ES" w:eastAsia="es-ES"/>
              </w:rPr>
              <w:t>2014</w:t>
            </w:r>
          </w:p>
        </w:tc>
        <w:tc>
          <w:tcPr>
            <w:tcW w:w="0" w:type="auto"/>
            <w:shd w:val="clear" w:color="auto" w:fill="auto"/>
            <w:noWrap/>
            <w:vAlign w:val="bottom"/>
          </w:tcPr>
          <w:p w:rsidR="00D11937" w:rsidRPr="00284A44" w:rsidRDefault="00D11937" w:rsidP="001E7DC8">
            <w:pPr>
              <w:pStyle w:val="TextCuadro"/>
              <w:jc w:val="right"/>
              <w:rPr>
                <w:lang w:val="es-ES" w:eastAsia="es-ES"/>
              </w:rPr>
            </w:pPr>
            <w:r w:rsidRPr="00284A44">
              <w:rPr>
                <w:lang w:val="es-ES" w:eastAsia="es-ES"/>
              </w:rPr>
              <w:t>73.75%</w:t>
            </w:r>
          </w:p>
        </w:tc>
      </w:tr>
      <w:tr w:rsidR="00D11937" w:rsidRPr="00284A44" w:rsidTr="001E7DC8">
        <w:trPr>
          <w:trHeight w:val="20"/>
          <w:jc w:val="center"/>
        </w:trPr>
        <w:tc>
          <w:tcPr>
            <w:tcW w:w="0" w:type="auto"/>
            <w:shd w:val="clear" w:color="auto" w:fill="auto"/>
            <w:noWrap/>
            <w:vAlign w:val="bottom"/>
          </w:tcPr>
          <w:p w:rsidR="00D11937" w:rsidRPr="00284A44" w:rsidRDefault="00D11937" w:rsidP="001E7DC8">
            <w:pPr>
              <w:pStyle w:val="TextCuadro"/>
              <w:rPr>
                <w:lang w:val="es-ES" w:eastAsia="es-ES"/>
              </w:rPr>
            </w:pPr>
            <w:r w:rsidRPr="00284A44">
              <w:rPr>
                <w:lang w:val="es-ES" w:eastAsia="es-ES"/>
              </w:rPr>
              <w:t>2015</w:t>
            </w:r>
          </w:p>
        </w:tc>
        <w:tc>
          <w:tcPr>
            <w:tcW w:w="0" w:type="auto"/>
            <w:shd w:val="clear" w:color="auto" w:fill="auto"/>
            <w:noWrap/>
            <w:vAlign w:val="bottom"/>
          </w:tcPr>
          <w:p w:rsidR="00D11937" w:rsidRPr="00284A44" w:rsidRDefault="00D11937" w:rsidP="001E7DC8">
            <w:pPr>
              <w:pStyle w:val="TextCuadro"/>
              <w:jc w:val="right"/>
              <w:rPr>
                <w:lang w:val="es-ES" w:eastAsia="es-ES"/>
              </w:rPr>
            </w:pPr>
            <w:r w:rsidRPr="00284A44">
              <w:rPr>
                <w:lang w:val="es-ES" w:eastAsia="es-ES"/>
              </w:rPr>
              <w:t>86.26%</w:t>
            </w:r>
          </w:p>
        </w:tc>
      </w:tr>
      <w:tr w:rsidR="00D11937" w:rsidRPr="00284A44" w:rsidTr="001E7DC8">
        <w:trPr>
          <w:trHeight w:val="20"/>
          <w:jc w:val="center"/>
        </w:trPr>
        <w:tc>
          <w:tcPr>
            <w:tcW w:w="0" w:type="auto"/>
            <w:shd w:val="clear" w:color="auto" w:fill="auto"/>
            <w:noWrap/>
            <w:vAlign w:val="bottom"/>
          </w:tcPr>
          <w:p w:rsidR="00D11937" w:rsidRPr="00284A44" w:rsidRDefault="00D11937" w:rsidP="001E7DC8">
            <w:pPr>
              <w:pStyle w:val="TextCuadro"/>
              <w:rPr>
                <w:lang w:val="es-ES" w:eastAsia="es-ES"/>
              </w:rPr>
            </w:pPr>
            <w:r w:rsidRPr="00284A44">
              <w:rPr>
                <w:lang w:val="es-ES" w:eastAsia="es-ES"/>
              </w:rPr>
              <w:t>2016</w:t>
            </w:r>
          </w:p>
        </w:tc>
        <w:tc>
          <w:tcPr>
            <w:tcW w:w="0" w:type="auto"/>
            <w:shd w:val="clear" w:color="auto" w:fill="auto"/>
            <w:noWrap/>
            <w:vAlign w:val="bottom"/>
          </w:tcPr>
          <w:p w:rsidR="00D11937" w:rsidRPr="00284A44" w:rsidRDefault="00D11937" w:rsidP="001E7DC8">
            <w:pPr>
              <w:pStyle w:val="TextCuadro"/>
              <w:jc w:val="right"/>
              <w:rPr>
                <w:lang w:val="es-ES" w:eastAsia="es-ES"/>
              </w:rPr>
            </w:pPr>
            <w:r w:rsidRPr="00284A44">
              <w:rPr>
                <w:lang w:val="es-ES" w:eastAsia="es-ES"/>
              </w:rPr>
              <w:t>89.26%</w:t>
            </w:r>
          </w:p>
        </w:tc>
      </w:tr>
      <w:tr w:rsidR="00D11937" w:rsidRPr="00284A44" w:rsidTr="001E7DC8">
        <w:trPr>
          <w:trHeight w:val="20"/>
          <w:jc w:val="center"/>
        </w:trPr>
        <w:tc>
          <w:tcPr>
            <w:tcW w:w="0" w:type="auto"/>
            <w:shd w:val="clear" w:color="auto" w:fill="auto"/>
            <w:noWrap/>
            <w:vAlign w:val="bottom"/>
          </w:tcPr>
          <w:p w:rsidR="00D11937" w:rsidRPr="00284A44" w:rsidRDefault="00D11937" w:rsidP="001E7DC8">
            <w:pPr>
              <w:pStyle w:val="TextCuadro"/>
              <w:rPr>
                <w:lang w:val="es-ES" w:eastAsia="es-ES"/>
              </w:rPr>
            </w:pPr>
            <w:r w:rsidRPr="00284A44">
              <w:rPr>
                <w:lang w:val="es-ES" w:eastAsia="es-ES"/>
              </w:rPr>
              <w:t>2017</w:t>
            </w:r>
          </w:p>
        </w:tc>
        <w:tc>
          <w:tcPr>
            <w:tcW w:w="0" w:type="auto"/>
            <w:shd w:val="clear" w:color="auto" w:fill="auto"/>
            <w:noWrap/>
            <w:vAlign w:val="bottom"/>
          </w:tcPr>
          <w:p w:rsidR="00D11937" w:rsidRPr="00284A44" w:rsidRDefault="00D11937" w:rsidP="001E7DC8">
            <w:pPr>
              <w:pStyle w:val="TextCuadro"/>
              <w:jc w:val="right"/>
              <w:rPr>
                <w:lang w:val="es-ES" w:eastAsia="es-ES"/>
              </w:rPr>
            </w:pPr>
            <w:r w:rsidRPr="00284A44">
              <w:rPr>
                <w:lang w:val="es-ES" w:eastAsia="es-ES"/>
              </w:rPr>
              <w:t>91.26%</w:t>
            </w:r>
          </w:p>
        </w:tc>
      </w:tr>
      <w:tr w:rsidR="00D11937" w:rsidRPr="00284A44" w:rsidTr="001E7DC8">
        <w:trPr>
          <w:trHeight w:val="20"/>
          <w:jc w:val="center"/>
        </w:trPr>
        <w:tc>
          <w:tcPr>
            <w:tcW w:w="0" w:type="auto"/>
            <w:shd w:val="clear" w:color="auto" w:fill="auto"/>
            <w:noWrap/>
            <w:vAlign w:val="bottom"/>
          </w:tcPr>
          <w:p w:rsidR="00D11937" w:rsidRPr="00284A44" w:rsidRDefault="00D11937" w:rsidP="001E7DC8">
            <w:pPr>
              <w:pStyle w:val="TextCuadro"/>
              <w:rPr>
                <w:lang w:val="es-ES" w:eastAsia="es-ES"/>
              </w:rPr>
            </w:pPr>
            <w:r w:rsidRPr="00284A44">
              <w:rPr>
                <w:lang w:val="es-ES" w:eastAsia="es-ES"/>
              </w:rPr>
              <w:t>2018</w:t>
            </w:r>
          </w:p>
        </w:tc>
        <w:tc>
          <w:tcPr>
            <w:tcW w:w="0" w:type="auto"/>
            <w:shd w:val="clear" w:color="auto" w:fill="auto"/>
            <w:noWrap/>
            <w:vAlign w:val="bottom"/>
          </w:tcPr>
          <w:p w:rsidR="00D11937" w:rsidRPr="00284A44" w:rsidRDefault="00D11937" w:rsidP="001E7DC8">
            <w:pPr>
              <w:pStyle w:val="TextCuadro"/>
              <w:jc w:val="right"/>
              <w:rPr>
                <w:lang w:val="es-ES" w:eastAsia="es-ES"/>
              </w:rPr>
            </w:pPr>
            <w:r w:rsidRPr="00284A44">
              <w:rPr>
                <w:lang w:val="es-ES" w:eastAsia="es-ES"/>
              </w:rPr>
              <w:t>92.26%</w:t>
            </w:r>
          </w:p>
        </w:tc>
      </w:tr>
    </w:tbl>
    <w:p w:rsidR="00D11937" w:rsidRPr="00D72C10" w:rsidRDefault="00D11937" w:rsidP="0062594C">
      <w:pPr>
        <w:pStyle w:val="PiedeCuadro"/>
        <w:rPr>
          <w:sz w:val="20"/>
        </w:rPr>
      </w:pPr>
      <w:r w:rsidRPr="00D72C10">
        <w:rPr>
          <w:sz w:val="20"/>
        </w:rPr>
        <w:t>Fuente: Acuerdo CNTV 002/2012</w:t>
      </w:r>
    </w:p>
    <w:p w:rsidR="00D11937" w:rsidRDefault="00D11937" w:rsidP="00EC6911">
      <w:r>
        <w:t>Respecto del estándar mismo, la actualización del estándar a la versión T2 permite un mejor aprovechamiento técnico del espectro y una mayor capacidad de los MUX digitales resultantes tal como se presenta en el siguiente cuadro</w:t>
      </w:r>
    </w:p>
    <w:p w:rsidR="00D11937" w:rsidRPr="00923CD6" w:rsidRDefault="008B5F52" w:rsidP="00D11937">
      <w:pPr>
        <w:pStyle w:val="T-Figura"/>
      </w:pPr>
      <w:r>
        <w:t>Cuadro 1.11</w:t>
      </w:r>
      <w:r w:rsidR="00D11937" w:rsidRPr="00923CD6">
        <w:t xml:space="preserve"> – Comparativo y mejoras en estándar TDT - DVB</w:t>
      </w:r>
    </w:p>
    <w:p w:rsidR="00D11937" w:rsidRPr="00411633" w:rsidRDefault="00D11937" w:rsidP="00D11937">
      <w:pPr>
        <w:autoSpaceDE w:val="0"/>
        <w:autoSpaceDN w:val="0"/>
        <w:adjustRightInd w:val="0"/>
        <w:spacing w:line="240" w:lineRule="auto"/>
        <w:jc w:val="center"/>
      </w:pPr>
      <w:r>
        <w:rPr>
          <w:noProof/>
          <w:lang w:val="es-CO" w:eastAsia="es-CO"/>
        </w:rPr>
        <w:drawing>
          <wp:inline distT="0" distB="0" distL="0" distR="0">
            <wp:extent cx="5039833" cy="2232837"/>
            <wp:effectExtent l="0" t="0" r="0" b="0"/>
            <wp:docPr id="37"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2796" cy="2234150"/>
                    </a:xfrm>
                    <a:prstGeom prst="rect">
                      <a:avLst/>
                    </a:prstGeom>
                    <a:noFill/>
                    <a:ln>
                      <a:noFill/>
                    </a:ln>
                  </pic:spPr>
                </pic:pic>
              </a:graphicData>
            </a:graphic>
          </wp:inline>
        </w:drawing>
      </w:r>
    </w:p>
    <w:p w:rsidR="00D11937" w:rsidRPr="00D72C10" w:rsidRDefault="00D11937" w:rsidP="0062594C">
      <w:pPr>
        <w:pStyle w:val="PiedeCuadro"/>
        <w:rPr>
          <w:sz w:val="20"/>
        </w:rPr>
      </w:pPr>
      <w:r w:rsidRPr="00D72C10">
        <w:rPr>
          <w:sz w:val="20"/>
        </w:rPr>
        <w:t xml:space="preserve">Fuente </w:t>
      </w:r>
      <w:hyperlink r:id="rId34" w:history="1">
        <w:r w:rsidRPr="00D72C10">
          <w:rPr>
            <w:rStyle w:val="Hipervnculo"/>
            <w:sz w:val="20"/>
          </w:rPr>
          <w:t>www.dvb.org</w:t>
        </w:r>
      </w:hyperlink>
      <w:r w:rsidRPr="00D72C10">
        <w:rPr>
          <w:sz w:val="20"/>
        </w:rPr>
        <w:t xml:space="preserve"> </w:t>
      </w:r>
    </w:p>
    <w:p w:rsidR="00D11937" w:rsidRDefault="00D11937" w:rsidP="001607E1">
      <w:r>
        <w:lastRenderedPageBreak/>
        <w:t>Debe destacarse que, si bien la adopción del estándar europeo no es masiva en la región de las Américas, en el mundo existe una amplia adopción de dicho estándar y en particular una porción importante de países que adoptaron el estándar europeo, adoptaron o se encuentran migrando a la versión T2 incorporada por Colombia. Con lo anterior, se asegura, aparte de las características técnicas de avanzada de este estándar, una masa crítica de consumidores y de operadores que asegura economías de escala en producción de equipos con el fin de obtener costos eficientes en los mismos.</w:t>
      </w:r>
    </w:p>
    <w:p w:rsidR="00D11937" w:rsidRPr="00847EBD" w:rsidRDefault="00D11937" w:rsidP="001607E1">
      <w:pPr>
        <w:pStyle w:val="T-Figura"/>
        <w:spacing w:after="0"/>
      </w:pPr>
      <w:r w:rsidRPr="00847EBD">
        <w:t xml:space="preserve">Figura </w:t>
      </w:r>
      <w:r w:rsidR="008B5F52">
        <w:t>1</w:t>
      </w:r>
      <w:r w:rsidRPr="00847EBD">
        <w:t>.</w:t>
      </w:r>
      <w:r>
        <w:t>10</w:t>
      </w:r>
      <w:r w:rsidRPr="00847EBD">
        <w:t xml:space="preserve"> </w:t>
      </w:r>
      <w:r>
        <w:t>–</w:t>
      </w:r>
      <w:r w:rsidRPr="00847EBD">
        <w:t xml:space="preserve"> </w:t>
      </w:r>
      <w:r>
        <w:t>Adopción actual de estándares de TDT</w:t>
      </w:r>
    </w:p>
    <w:p w:rsidR="00D11937" w:rsidRDefault="00D11937" w:rsidP="00D11937">
      <w:pPr>
        <w:autoSpaceDE w:val="0"/>
        <w:autoSpaceDN w:val="0"/>
        <w:adjustRightInd w:val="0"/>
        <w:spacing w:line="240" w:lineRule="auto"/>
        <w:jc w:val="center"/>
      </w:pPr>
      <w:r>
        <w:rPr>
          <w:noProof/>
          <w:lang w:val="es-CO" w:eastAsia="es-CO"/>
        </w:rPr>
        <w:drawing>
          <wp:inline distT="0" distB="0" distL="0" distR="0">
            <wp:extent cx="4391025" cy="2419350"/>
            <wp:effectExtent l="0" t="0" r="9525" b="0"/>
            <wp:docPr id="3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91025" cy="2419350"/>
                    </a:xfrm>
                    <a:prstGeom prst="rect">
                      <a:avLst/>
                    </a:prstGeom>
                    <a:noFill/>
                    <a:ln>
                      <a:noFill/>
                    </a:ln>
                  </pic:spPr>
                </pic:pic>
              </a:graphicData>
            </a:graphic>
          </wp:inline>
        </w:drawing>
      </w:r>
    </w:p>
    <w:p w:rsidR="00D11937" w:rsidRPr="00D72C10" w:rsidRDefault="00D11937" w:rsidP="0062594C">
      <w:pPr>
        <w:pStyle w:val="PiedeCuadro"/>
        <w:rPr>
          <w:sz w:val="20"/>
        </w:rPr>
      </w:pPr>
      <w:r w:rsidRPr="00D72C10">
        <w:rPr>
          <w:sz w:val="20"/>
        </w:rPr>
        <w:t xml:space="preserve">Fuente DVB Project consultado en </w:t>
      </w:r>
      <w:hyperlink r:id="rId36" w:history="1">
        <w:r w:rsidRPr="00D72C10">
          <w:rPr>
            <w:rStyle w:val="Hipervnculo"/>
            <w:sz w:val="20"/>
          </w:rPr>
          <w:t>www.dvb.org</w:t>
        </w:r>
      </w:hyperlink>
      <w:r w:rsidRPr="00D72C10">
        <w:rPr>
          <w:sz w:val="20"/>
        </w:rPr>
        <w:t xml:space="preserve"> . Datos a agosto de 2013</w:t>
      </w:r>
    </w:p>
    <w:p w:rsidR="00D11937" w:rsidRDefault="00D11937" w:rsidP="001607E1">
      <w:r w:rsidRPr="00FB6C85">
        <w:t xml:space="preserve">Así mismo, </w:t>
      </w:r>
      <w:r>
        <w:t xml:space="preserve">en complemento a lo anterior, </w:t>
      </w:r>
      <w:r w:rsidRPr="00FB6C85">
        <w:t xml:space="preserve">la CRC mediante Resolución CRC 4047 de 2012, estableció las especificaciones técnicas aplicables a la red del servicio de Televisión Digital </w:t>
      </w:r>
      <w:r w:rsidRPr="00B22E54">
        <w:t xml:space="preserve">Terrestre - TDT-; dicha norma fue actualizada y ajustada mediante </w:t>
      </w:r>
      <w:r w:rsidRPr="00B22E54">
        <w:rPr>
          <w:bCs/>
        </w:rPr>
        <w:t xml:space="preserve">Resolución CRC 4337 de 2013 </w:t>
      </w:r>
      <w:r w:rsidRPr="00B22E54">
        <w:t>"</w:t>
      </w:r>
      <w:r w:rsidRPr="00B22E54">
        <w:rPr>
          <w:i/>
        </w:rPr>
        <w:t>Por la cual se actualizan y complementan las especificaciones técnicas aplicables a la red del servicio de</w:t>
      </w:r>
      <w:r w:rsidRPr="00FB6C85">
        <w:rPr>
          <w:i/>
        </w:rPr>
        <w:t xml:space="preserve"> Televisión Digital Terrestre - TDT- establecidas en la Resolución CRC 4047 de 2012</w:t>
      </w:r>
      <w:r w:rsidRPr="00FB6C85">
        <w:t>", publicada el 15 de octubre de 2013. En dicha norma se detallan tanto las especificaciones mínimas que deben existir en equipos de red, como en equipos terminales de usuarios, así como unas condiciones mínimas de divulgación de información respecto a la posibilidad o no de decepcionar señales con los estándares DVB-T y DVB-T2, considerando los periodos de transición necesarios para el cambio de transmisión análoga a digital, y los periodos de transición que se establecieron para el cambio de DVB-T a DVB-T2 en las zonas del país que alcanzaron a ser cubiertas con el primero de ellos antes de la decisión de actualización del estándar.</w:t>
      </w:r>
    </w:p>
    <w:p w:rsidR="00D11937" w:rsidRPr="00042BCD" w:rsidRDefault="00D11937" w:rsidP="001607E1">
      <w:r>
        <w:lastRenderedPageBreak/>
        <w:t>Ahora bien, respecto al despliegue actual de la TDT en el país, la misma avanzó bajo el estándar DVB-T y actualmente se encuentra en período de transición al estándar DVB-T2. Existe actualmente cubrimiento de las principales zonas metropolitanas del país por parte de los operadores de televisión privados y parcialmente por parte del operador público nacional RTVC, sin embargo esta se dio inicialmente mediante avances previos en el estándar DVB-T, con lo cual los operadores se encuentran actualmente en el proceso de transición y actualización al estándar</w:t>
      </w:r>
    </w:p>
    <w:p w:rsidR="00D11937" w:rsidRPr="00847EBD" w:rsidRDefault="00D11937" w:rsidP="001607E1">
      <w:pPr>
        <w:pStyle w:val="T-Figura"/>
        <w:spacing w:after="0"/>
      </w:pPr>
      <w:r w:rsidRPr="00847EBD">
        <w:t xml:space="preserve">Figura </w:t>
      </w:r>
      <w:r w:rsidR="008B5F52">
        <w:t>1</w:t>
      </w:r>
      <w:r>
        <w:t>.11</w:t>
      </w:r>
      <w:r w:rsidRPr="00847EBD">
        <w:t xml:space="preserve"> </w:t>
      </w:r>
      <w:r>
        <w:t>–</w:t>
      </w:r>
      <w:r w:rsidRPr="00847EBD">
        <w:t xml:space="preserve"> </w:t>
      </w:r>
      <w:r>
        <w:t>Cubrimiento actual estimado de la TDT de canales privados</w:t>
      </w:r>
    </w:p>
    <w:p w:rsidR="00D11937" w:rsidRDefault="00D11937" w:rsidP="00D11937">
      <w:pPr>
        <w:spacing w:before="120" w:after="120"/>
        <w:jc w:val="center"/>
      </w:pPr>
      <w:r>
        <w:rPr>
          <w:noProof/>
          <w:lang w:val="es-CO" w:eastAsia="es-CO"/>
        </w:rPr>
        <w:drawing>
          <wp:inline distT="0" distB="0" distL="0" distR="0">
            <wp:extent cx="3333750" cy="3000375"/>
            <wp:effectExtent l="0" t="0" r="0" b="9525"/>
            <wp:docPr id="3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0" cy="3000375"/>
                    </a:xfrm>
                    <a:prstGeom prst="rect">
                      <a:avLst/>
                    </a:prstGeom>
                    <a:noFill/>
                    <a:ln>
                      <a:noFill/>
                    </a:ln>
                  </pic:spPr>
                </pic:pic>
              </a:graphicData>
            </a:graphic>
          </wp:inline>
        </w:drawing>
      </w:r>
    </w:p>
    <w:p w:rsidR="00D11937" w:rsidRPr="00D72C10" w:rsidRDefault="00D11937" w:rsidP="0062594C">
      <w:pPr>
        <w:pStyle w:val="PiedeCuadro"/>
        <w:rPr>
          <w:sz w:val="20"/>
        </w:rPr>
      </w:pPr>
      <w:r w:rsidRPr="00D72C10">
        <w:rPr>
          <w:sz w:val="20"/>
        </w:rPr>
        <w:t xml:space="preserve">Fuente. CCNP tomado de </w:t>
      </w:r>
      <w:hyperlink r:id="rId38" w:history="1">
        <w:r w:rsidRPr="00D72C10">
          <w:rPr>
            <w:rStyle w:val="Hipervnculo"/>
            <w:sz w:val="20"/>
          </w:rPr>
          <w:t>www.tdt.com.co</w:t>
        </w:r>
      </w:hyperlink>
    </w:p>
    <w:p w:rsidR="00D11937" w:rsidRDefault="00D11937" w:rsidP="001607E1">
      <w:r>
        <w:t>En el caso de la Sabana de Bogotá, donde se concentra gran parte de la población del país, existe un cubrimiento casi completo de los principales núcleos de población, incluyendo la capital misma Bogotá D.C.; no obstante, este cubrimiento y el suministro final del servicio depende en gran medida de la disponibilidad de terminales y decodificadores adecuados para la recepción de la señal, y de la disponibilidad de antenas adecuadas. En esta zona consta cubrimiento tanto de operadores privados (azul en la gráfica) como del operador RTVC (rojo en la gráfica)</w:t>
      </w:r>
    </w:p>
    <w:p w:rsidR="00D11937" w:rsidRDefault="00D11937" w:rsidP="00D11937">
      <w:pPr>
        <w:pStyle w:val="T-Figura"/>
      </w:pPr>
      <w:r w:rsidRPr="00847EBD">
        <w:lastRenderedPageBreak/>
        <w:t xml:space="preserve">Figura </w:t>
      </w:r>
      <w:r w:rsidR="008B5F52">
        <w:t>1</w:t>
      </w:r>
      <w:r w:rsidRPr="00847EBD">
        <w:t>.</w:t>
      </w:r>
      <w:r>
        <w:t>12</w:t>
      </w:r>
      <w:r w:rsidRPr="00847EBD">
        <w:t xml:space="preserve"> </w:t>
      </w:r>
      <w:r>
        <w:t>–</w:t>
      </w:r>
      <w:r w:rsidRPr="00847EBD">
        <w:t xml:space="preserve"> </w:t>
      </w:r>
      <w:r>
        <w:t xml:space="preserve">Detalle cubrimiento TDT zona Sabana de Bogotá </w:t>
      </w:r>
    </w:p>
    <w:p w:rsidR="00D11937" w:rsidRDefault="00D11937" w:rsidP="00D11937">
      <w:pPr>
        <w:spacing w:before="120" w:after="120"/>
        <w:jc w:val="center"/>
      </w:pPr>
      <w:r>
        <w:rPr>
          <w:noProof/>
          <w:lang w:val="es-CO" w:eastAsia="es-CO"/>
        </w:rPr>
        <w:drawing>
          <wp:inline distT="0" distB="0" distL="0" distR="0">
            <wp:extent cx="3627918" cy="4026759"/>
            <wp:effectExtent l="19050" t="0" r="0" b="0"/>
            <wp:docPr id="4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8064" cy="4026921"/>
                    </a:xfrm>
                    <a:prstGeom prst="rect">
                      <a:avLst/>
                    </a:prstGeom>
                    <a:noFill/>
                    <a:ln>
                      <a:noFill/>
                    </a:ln>
                  </pic:spPr>
                </pic:pic>
              </a:graphicData>
            </a:graphic>
          </wp:inline>
        </w:drawing>
      </w:r>
    </w:p>
    <w:p w:rsidR="00D11937" w:rsidRPr="00D72C10" w:rsidRDefault="00D11937" w:rsidP="0062594C">
      <w:pPr>
        <w:pStyle w:val="PiedeCuadro"/>
        <w:rPr>
          <w:sz w:val="20"/>
        </w:rPr>
      </w:pPr>
      <w:r w:rsidRPr="00D72C10">
        <w:rPr>
          <w:sz w:val="20"/>
        </w:rPr>
        <w:t xml:space="preserve">Fuente. CCNP tomado de </w:t>
      </w:r>
      <w:hyperlink r:id="rId40" w:history="1">
        <w:r w:rsidRPr="00D72C10">
          <w:rPr>
            <w:rStyle w:val="Hipervnculo"/>
            <w:sz w:val="20"/>
          </w:rPr>
          <w:t>www.tdt.com.co</w:t>
        </w:r>
      </w:hyperlink>
    </w:p>
    <w:p w:rsidR="00D11937" w:rsidRDefault="00D11937" w:rsidP="00921D32">
      <w:r>
        <w:t>Debe indicarse que una gran porción de la población en las principales zonas metropolitanas no acceden directamente a la señal de TDT por cuanto son en su mayoría suscriptores de sistemas cerrados de televisión de cable o satelital (incluyendo sistemas de televisión comunitaria), que incorporan en su parrilla los canales de televisión abierta, típicamente en sus versiones análogas o en versiones de definición estándar. Otro mercado importante donde consta así mismo cubrimiento en TDT del operador público es la zona del valle de Aburra.</w:t>
      </w:r>
    </w:p>
    <w:p w:rsidR="00D11937" w:rsidRDefault="00D11937" w:rsidP="00D11937">
      <w:pPr>
        <w:spacing w:before="120" w:after="120"/>
        <w:jc w:val="center"/>
        <w:rPr>
          <w:rFonts w:ascii="Century Gothic" w:hAnsi="Century Gothic"/>
          <w:b/>
          <w:color w:val="C0504D"/>
          <w:sz w:val="20"/>
          <w:szCs w:val="20"/>
        </w:rPr>
      </w:pPr>
    </w:p>
    <w:p w:rsidR="00D11937" w:rsidRDefault="00D11937" w:rsidP="00D11937">
      <w:pPr>
        <w:pStyle w:val="T-Figura"/>
      </w:pPr>
      <w:r w:rsidRPr="00847EBD">
        <w:lastRenderedPageBreak/>
        <w:t xml:space="preserve">Figura </w:t>
      </w:r>
      <w:r w:rsidR="008B5F52">
        <w:t>1</w:t>
      </w:r>
      <w:r w:rsidRPr="00847EBD">
        <w:t>.</w:t>
      </w:r>
      <w:r>
        <w:t>13</w:t>
      </w:r>
      <w:r w:rsidRPr="00847EBD">
        <w:t xml:space="preserve"> </w:t>
      </w:r>
      <w:r>
        <w:t>–</w:t>
      </w:r>
      <w:r w:rsidRPr="00847EBD">
        <w:t xml:space="preserve"> </w:t>
      </w:r>
      <w:r>
        <w:t xml:space="preserve">Detalle cubrimiento TDT zona Valle de </w:t>
      </w:r>
      <w:proofErr w:type="spellStart"/>
      <w:r>
        <w:t>Aburrá</w:t>
      </w:r>
      <w:proofErr w:type="spellEnd"/>
    </w:p>
    <w:p w:rsidR="00D11937" w:rsidRPr="00B86D78" w:rsidRDefault="00D11937" w:rsidP="00D11937">
      <w:pPr>
        <w:spacing w:before="120" w:after="120"/>
        <w:jc w:val="center"/>
      </w:pPr>
      <w:r>
        <w:rPr>
          <w:noProof/>
          <w:lang w:val="es-CO" w:eastAsia="es-CO"/>
        </w:rPr>
        <w:drawing>
          <wp:inline distT="0" distB="0" distL="0" distR="0">
            <wp:extent cx="4146697" cy="4021263"/>
            <wp:effectExtent l="19050" t="0" r="6203" b="0"/>
            <wp:docPr id="41"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0476" cy="4024928"/>
                    </a:xfrm>
                    <a:prstGeom prst="rect">
                      <a:avLst/>
                    </a:prstGeom>
                    <a:noFill/>
                    <a:ln>
                      <a:noFill/>
                    </a:ln>
                  </pic:spPr>
                </pic:pic>
              </a:graphicData>
            </a:graphic>
          </wp:inline>
        </w:drawing>
      </w:r>
    </w:p>
    <w:p w:rsidR="00D11937" w:rsidRPr="00D72C10" w:rsidRDefault="00D11937" w:rsidP="0062594C">
      <w:pPr>
        <w:pStyle w:val="PiedeCuadro"/>
        <w:rPr>
          <w:sz w:val="20"/>
        </w:rPr>
      </w:pPr>
      <w:r w:rsidRPr="00D72C10">
        <w:rPr>
          <w:sz w:val="20"/>
        </w:rPr>
        <w:t xml:space="preserve">Fuente. CCNP tomado de </w:t>
      </w:r>
      <w:hyperlink r:id="rId42" w:history="1">
        <w:r w:rsidRPr="00D72C10">
          <w:rPr>
            <w:rStyle w:val="Hipervnculo"/>
            <w:sz w:val="20"/>
          </w:rPr>
          <w:t>www.tdt.com.co</w:t>
        </w:r>
      </w:hyperlink>
    </w:p>
    <w:p w:rsidR="00D11937" w:rsidRDefault="00D11937" w:rsidP="00921D32">
      <w:r>
        <w:t>En cuanto a la actualización y expansión de la red TDT del operador RTVC, debe indicarse que en el año 2013 se han llevado a cabo procesos concursales tendientes a adquirir e instalar los equipos necesarios para el despliegue de la red de TDT en el territorio nacional con el fin de cumplir con la meta propuesta de 63.6% de la población del país a final del presente año 2013, procesos estos que tienen avances significativos y que ya en los casos principales han sido asignados al proveedor del caso. Este proceso de digitalización ha comportado la aplicación de importantes recursos para el caso de la TV pública por parte del fondo de TV de la CNTV y ahora de la ANTV, aplicando en el año 2011 un total de $1.909 millones de pesos al rubro de implementación de la TDT, y de $57.163 millones de pesos durante el año 2012 (ANTV 2013). El total de esta primera fase por $59.810 millones se ha distribuido así:</w:t>
      </w:r>
    </w:p>
    <w:p w:rsidR="00D11937" w:rsidRDefault="00D11937" w:rsidP="00D11937">
      <w:pPr>
        <w:pStyle w:val="T-Figura"/>
      </w:pPr>
      <w:r w:rsidRPr="00847EBD">
        <w:lastRenderedPageBreak/>
        <w:t xml:space="preserve">Figura </w:t>
      </w:r>
      <w:r w:rsidR="008B5F52">
        <w:t>1</w:t>
      </w:r>
      <w:r w:rsidRPr="00847EBD">
        <w:t>.</w:t>
      </w:r>
      <w:r>
        <w:t>14</w:t>
      </w:r>
      <w:r w:rsidRPr="00847EBD">
        <w:t xml:space="preserve"> </w:t>
      </w:r>
      <w:r>
        <w:t>–</w:t>
      </w:r>
      <w:r w:rsidRPr="00847EBD">
        <w:t xml:space="preserve"> </w:t>
      </w:r>
      <w:r>
        <w:t>Distribución recursos TDT pública fase I</w:t>
      </w:r>
    </w:p>
    <w:p w:rsidR="00D11937" w:rsidRPr="00931FBE" w:rsidRDefault="00D11937" w:rsidP="00D11937">
      <w:pPr>
        <w:spacing w:before="120" w:after="120"/>
        <w:jc w:val="center"/>
      </w:pPr>
      <w:r>
        <w:rPr>
          <w:noProof/>
          <w:lang w:val="es-CO" w:eastAsia="es-CO"/>
        </w:rPr>
        <w:drawing>
          <wp:inline distT="0" distB="0" distL="0" distR="0">
            <wp:extent cx="4448175" cy="3095625"/>
            <wp:effectExtent l="0" t="0" r="0" b="0"/>
            <wp:docPr id="4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48175" cy="3095625"/>
                    </a:xfrm>
                    <a:prstGeom prst="rect">
                      <a:avLst/>
                    </a:prstGeom>
                    <a:noFill/>
                    <a:ln>
                      <a:noFill/>
                    </a:ln>
                  </pic:spPr>
                </pic:pic>
              </a:graphicData>
            </a:graphic>
          </wp:inline>
        </w:drawing>
      </w:r>
    </w:p>
    <w:p w:rsidR="00D72C10" w:rsidRPr="00D72C10" w:rsidRDefault="00D72C10" w:rsidP="00921D32">
      <w:pPr>
        <w:pStyle w:val="PiedeCuadro"/>
        <w:spacing w:before="0"/>
        <w:rPr>
          <w:sz w:val="20"/>
        </w:rPr>
      </w:pPr>
      <w:r w:rsidRPr="00D72C10">
        <w:rPr>
          <w:sz w:val="20"/>
        </w:rPr>
        <w:t xml:space="preserve">Fuente. </w:t>
      </w:r>
      <w:r>
        <w:rPr>
          <w:sz w:val="20"/>
        </w:rPr>
        <w:t>ANTV 2013.</w:t>
      </w:r>
    </w:p>
    <w:p w:rsidR="00D11937" w:rsidRDefault="00D11937" w:rsidP="00921D32">
      <w:r>
        <w:t xml:space="preserve">Esta inversión se focaliza en las zonas de mayor población y considera las regiones de Cundinamarca  y Bogotá (estaciones de Calatrava, Cruz verde y </w:t>
      </w:r>
      <w:proofErr w:type="spellStart"/>
      <w:r>
        <w:t>Manjuí</w:t>
      </w:r>
      <w:proofErr w:type="spellEnd"/>
      <w:r>
        <w:t xml:space="preserve">), Antioquia y Medellín (estaciones de Bello, Padre Amaya e </w:t>
      </w:r>
      <w:proofErr w:type="spellStart"/>
      <w:r>
        <w:t>Itagüi</w:t>
      </w:r>
      <w:proofErr w:type="spellEnd"/>
      <w:r>
        <w:t>), Costa Caribe (estaciones de Cerro Kennedy, La Popa y Los Nogales), Santanderes (estaciones de Lebrija y Pasajero), Valle del Cauca y Cali (estaciones de La Azalea y tres Cruces).</w:t>
      </w:r>
    </w:p>
    <w:p w:rsidR="00D11937" w:rsidRDefault="00D11937" w:rsidP="00921D32">
      <w:pPr>
        <w:pStyle w:val="Ttulo3"/>
        <w:numPr>
          <w:ilvl w:val="2"/>
          <w:numId w:val="42"/>
        </w:numPr>
        <w:ind w:left="567" w:hanging="567"/>
        <w:rPr>
          <w:sz w:val="26"/>
          <w:szCs w:val="26"/>
        </w:rPr>
      </w:pPr>
      <w:r w:rsidRPr="00A11D6D">
        <w:rPr>
          <w:sz w:val="26"/>
          <w:szCs w:val="26"/>
        </w:rPr>
        <w:t>Instrumentos de política pública impl</w:t>
      </w:r>
      <w:r w:rsidR="001F4EE6">
        <w:rPr>
          <w:sz w:val="26"/>
          <w:szCs w:val="26"/>
        </w:rPr>
        <w:t>ementados (reducción de precios y</w:t>
      </w:r>
      <w:r>
        <w:rPr>
          <w:sz w:val="26"/>
          <w:szCs w:val="26"/>
        </w:rPr>
        <w:t xml:space="preserve"> reducción de IVA, entre otros)</w:t>
      </w:r>
    </w:p>
    <w:p w:rsidR="00D11937" w:rsidRDefault="00D11937" w:rsidP="00921D32">
      <w:r>
        <w:t xml:space="preserve">Son varios los instrumentos de política implementados con el fin de dar una mayor fluidez a la implementación del Plan Vive Digital; es el caso de la exención del IVA y la reducción de aranceles para computadores y tabletas que cuesten menos de $1.120.000. </w:t>
      </w:r>
      <w:r w:rsidRPr="00BE2ADA">
        <w:t>Adicionalmente, se prorrogó la exención en la renta para los desarrollos de software</w:t>
      </w:r>
      <w:r>
        <w:t xml:space="preserve"> innovador y una reducción de la retención en la fuente de 11% a 3.5%. Todas estas acciones mu</w:t>
      </w:r>
      <w:r w:rsidRPr="0039553B">
        <w:t>estra</w:t>
      </w:r>
      <w:r>
        <w:t>n</w:t>
      </w:r>
      <w:r w:rsidRPr="0039553B">
        <w:t xml:space="preserve"> el importante apoyo al desarrollo de la industria TIC</w:t>
      </w:r>
      <w:r>
        <w:t>.</w:t>
      </w:r>
    </w:p>
    <w:p w:rsidR="00D11937" w:rsidRDefault="00D11937" w:rsidP="00921D32">
      <w:r>
        <w:t>No o</w:t>
      </w:r>
      <w:r w:rsidR="00A22F22">
        <w:t>bstante, en el taller Delphos con</w:t>
      </w:r>
      <w:r>
        <w:t xml:space="preserve"> funcionarios del MINTIC, se mencionó </w:t>
      </w:r>
      <w:r w:rsidRPr="00580918">
        <w:rPr>
          <w:lang w:val="es-MX" w:eastAsia="es-CO"/>
        </w:rPr>
        <w:t>el componente de aplicaciones como uno carente de desarrollo</w:t>
      </w:r>
      <w:r>
        <w:rPr>
          <w:lang w:val="es-MX" w:eastAsia="es-CO"/>
        </w:rPr>
        <w:t xml:space="preserve"> debido a</w:t>
      </w:r>
      <w:r>
        <w:t xml:space="preserve"> los beneficios fiscales que están orientados a la creación de empresa</w:t>
      </w:r>
      <w:r w:rsidR="00A22F22">
        <w:t>s</w:t>
      </w:r>
      <w:r>
        <w:t xml:space="preserve"> de aplicaciones</w:t>
      </w:r>
      <w:r w:rsidR="00A22F22">
        <w:t>,</w:t>
      </w:r>
      <w:r>
        <w:t xml:space="preserve"> más que a su </w:t>
      </w:r>
      <w:r w:rsidRPr="00CC3ABB">
        <w:t>sostenibilidad</w:t>
      </w:r>
      <w:r w:rsidR="00A22F22">
        <w:t>,</w:t>
      </w:r>
      <w:r w:rsidRPr="00CC3ABB">
        <w:t xml:space="preserve"> por lo que se señala que </w:t>
      </w:r>
      <w:r w:rsidRPr="00CC3ABB">
        <w:rPr>
          <w:lang w:val="es-MX" w:eastAsia="es-CO"/>
        </w:rPr>
        <w:t xml:space="preserve">tienen un componente perverso en el sentido </w:t>
      </w:r>
      <w:r>
        <w:rPr>
          <w:lang w:val="es-MX" w:eastAsia="es-CO"/>
        </w:rPr>
        <w:t xml:space="preserve">que </w:t>
      </w:r>
      <w:r w:rsidRPr="00580918">
        <w:rPr>
          <w:lang w:val="es-MX" w:eastAsia="es-CO"/>
        </w:rPr>
        <w:t xml:space="preserve">no </w:t>
      </w:r>
      <w:r>
        <w:rPr>
          <w:lang w:val="es-MX" w:eastAsia="es-CO"/>
        </w:rPr>
        <w:t>impulsan la</w:t>
      </w:r>
      <w:r w:rsidRPr="00580918">
        <w:rPr>
          <w:lang w:val="es-MX" w:eastAsia="es-CO"/>
        </w:rPr>
        <w:t xml:space="preserve"> maduración de los negocios</w:t>
      </w:r>
      <w:r>
        <w:rPr>
          <w:lang w:val="es-MX" w:eastAsia="es-CO"/>
        </w:rPr>
        <w:t xml:space="preserve"> (Ver anexo 1).</w:t>
      </w:r>
    </w:p>
    <w:p w:rsidR="00D11937" w:rsidRDefault="00D11937" w:rsidP="00921D32">
      <w:r>
        <w:lastRenderedPageBreak/>
        <w:t>Adicionalmente, en el marco del Plan, se han subsidiado</w:t>
      </w:r>
      <w:r w:rsidRPr="0086195E">
        <w:t xml:space="preserve"> las tarifas de Internet de 150.000 familias de los estratos</w:t>
      </w:r>
      <w:r>
        <w:t xml:space="preserve"> uno y dos, y se firmó</w:t>
      </w:r>
      <w:r w:rsidRPr="00135819">
        <w:t xml:space="preserve"> un convenio con el Ministerio de Vivienda para garantizar que las casas de interés social y prioritario, cuenten con al menos una conexión de Internet de banda ancha y un equipo terminal</w:t>
      </w:r>
      <w:r>
        <w:t>. Esto implica una intervención de 300.000 millones de pesos y se espera que sea más de un millón el número de beneficiarios. Como complemento, se expidió</w:t>
      </w:r>
      <w:r w:rsidRPr="00135819">
        <w:t xml:space="preserve"> la regulación para beneficiar con subsidios para acceder a Internet de banda ancha a cerca de un millón de familias. A través de los operadores de Internet, en promedio un nuevo usuario recibirá 300 mil pesos que podrán ser utilizados para subsidiar el computador o la tarifa de Internet</w:t>
      </w:r>
      <w:r>
        <w:rPr>
          <w:rStyle w:val="Refdenotaalpie"/>
        </w:rPr>
        <w:footnoteReference w:id="13"/>
      </w:r>
      <w:r>
        <w:t>.</w:t>
      </w:r>
    </w:p>
    <w:p w:rsidR="00D11937" w:rsidRDefault="00D11937" w:rsidP="00921D32">
      <w:r>
        <w:t>Estas herramientas apuntan a solventar los cuellos de botella socioeconómicos revisados en el capítulo anterior, en particular, se orientan a subsanar la capacidad de pago de los usuarios.</w:t>
      </w:r>
    </w:p>
    <w:p w:rsidR="00D11937" w:rsidRPr="00513C63" w:rsidRDefault="00D11937" w:rsidP="00921D32">
      <w:pPr>
        <w:pStyle w:val="Ttulo3"/>
        <w:numPr>
          <w:ilvl w:val="2"/>
          <w:numId w:val="42"/>
        </w:numPr>
        <w:rPr>
          <w:sz w:val="26"/>
          <w:szCs w:val="26"/>
        </w:rPr>
      </w:pPr>
      <w:bookmarkStart w:id="93" w:name="_Toc374109419"/>
      <w:r w:rsidRPr="00513C63">
        <w:rPr>
          <w:sz w:val="26"/>
          <w:szCs w:val="26"/>
        </w:rPr>
        <w:t>Análisis consolidado de los proyectos principales</w:t>
      </w:r>
      <w:bookmarkEnd w:id="93"/>
    </w:p>
    <w:p w:rsidR="00D11937" w:rsidRDefault="00D11937" w:rsidP="00921D32">
      <w:r w:rsidRPr="00E17F32">
        <w:t xml:space="preserve">De los anteriores </w:t>
      </w:r>
      <w:r>
        <w:t>análisis se encuentra evidencia de un desarrollo armónico y adecuado de los proyectos medulares del Plan Vive Digital respecto de las metas propuestas.</w:t>
      </w:r>
    </w:p>
    <w:p w:rsidR="00D11937" w:rsidRDefault="00D11937" w:rsidP="00921D32">
      <w:r>
        <w:t>Si bien pueden existir algunos retrasos en algunos aspectos, entendibles dada la complejidad de cada proyecto individualmente y de la planeación armónica de recursos y de los diversos agentes que ejecutan los mismos, en general se encuentran avances significativos y que apuntan al cumplimiento a tiempo de las metas originalmente propuestas.</w:t>
      </w:r>
    </w:p>
    <w:p w:rsidR="00D11937" w:rsidRDefault="00D11937" w:rsidP="00921D32">
      <w:r>
        <w:t>Se evidencia un gran desarrollo y avance muy significativo en el despliegue de infraestructura que debe concretarse en el corto plazo en un aumento del acceso de los ciudadanos a los diversos servicios o a la mejora de los indicadores técnicos de calidad y disponibilidad de los mismos, con lo cual se avanza en el ciclo de creación de demanda por parte de los usuarios como parte del desarrollo integral del ecosistema digital propuesto.</w:t>
      </w:r>
    </w:p>
    <w:p w:rsidR="00D11937" w:rsidRPr="00625A03" w:rsidRDefault="00D11937" w:rsidP="00D11937">
      <w:pPr>
        <w:spacing w:before="120" w:after="120"/>
        <w:rPr>
          <w:rFonts w:eastAsia="Calibri" w:cs="Times New Roman"/>
        </w:rPr>
      </w:pPr>
      <w:r w:rsidRPr="007700A9">
        <w:rPr>
          <w:rFonts w:eastAsia="Times New Roman" w:cs="Times New Roman"/>
          <w:bCs/>
          <w:caps/>
          <w:color w:val="C00000"/>
          <w:lang w:eastAsia="es-ES"/>
        </w:rPr>
        <w:br w:type="page"/>
      </w:r>
    </w:p>
    <w:p w:rsidR="00A212BE" w:rsidRDefault="00A212BE" w:rsidP="006F058E">
      <w:pPr>
        <w:pStyle w:val="Ttulo1"/>
        <w:numPr>
          <w:ilvl w:val="0"/>
          <w:numId w:val="0"/>
        </w:numPr>
        <w:rPr>
          <w:rFonts w:eastAsia="Times New Roman"/>
          <w:lang w:eastAsia="es-ES"/>
        </w:rPr>
      </w:pPr>
    </w:p>
    <w:p w:rsidR="006F058E" w:rsidRPr="006F058E" w:rsidRDefault="006F058E" w:rsidP="006F058E">
      <w:pPr>
        <w:pStyle w:val="Ttulo1"/>
        <w:rPr>
          <w:lang w:eastAsia="es-ES"/>
        </w:rPr>
      </w:pPr>
      <w:bookmarkStart w:id="94" w:name="_Toc405992292"/>
      <w:bookmarkEnd w:id="94"/>
    </w:p>
    <w:p w:rsidR="007700A9" w:rsidRPr="007700A9" w:rsidRDefault="00035879" w:rsidP="00273E57">
      <w:pPr>
        <w:pStyle w:val="Titulocaptulo-Econometra"/>
        <w:rPr>
          <w:rFonts w:eastAsia="Times New Roman"/>
          <w:lang w:eastAsia="es-ES"/>
        </w:rPr>
      </w:pPr>
      <w:bookmarkStart w:id="95" w:name="_Toc405992293"/>
      <w:r>
        <w:rPr>
          <w:rFonts w:eastAsia="Times New Roman"/>
          <w:lang w:eastAsia="es-ES"/>
        </w:rPr>
        <w:t>Resultados de las Intervenciones a Nivel Social y Económico</w:t>
      </w:r>
      <w:bookmarkEnd w:id="95"/>
    </w:p>
    <w:p w:rsidR="007700A9" w:rsidRPr="00415A55" w:rsidRDefault="00534CF0" w:rsidP="008B625C">
      <w:pPr>
        <w:pStyle w:val="Ttulo2"/>
        <w:numPr>
          <w:ilvl w:val="1"/>
          <w:numId w:val="40"/>
        </w:numPr>
        <w:spacing w:after="0"/>
      </w:pPr>
      <w:bookmarkStart w:id="96" w:name="_Toc405992294"/>
      <w:bookmarkEnd w:id="32"/>
      <w:r>
        <w:t>R</w:t>
      </w:r>
      <w:r w:rsidR="007700A9" w:rsidRPr="00415A55">
        <w:t>elaciones de causalidad por el lado de la demanda: un análisis preliminar</w:t>
      </w:r>
      <w:r w:rsidR="006F59AD" w:rsidRPr="00415A55">
        <w:t xml:space="preserve"> </w:t>
      </w:r>
      <w:r w:rsidR="004A2FED">
        <w:t xml:space="preserve"> </w:t>
      </w:r>
      <w:r w:rsidR="006F59AD" w:rsidRPr="00415A55">
        <w:t>2010 - 2012</w:t>
      </w:r>
      <w:bookmarkEnd w:id="96"/>
    </w:p>
    <w:p w:rsidR="00CD2A6A" w:rsidRDefault="007700A9" w:rsidP="008B625C">
      <w:pPr>
        <w:rPr>
          <w:rFonts w:eastAsia="Calibri" w:cs="Times New Roman"/>
        </w:rPr>
      </w:pPr>
      <w:bookmarkStart w:id="97" w:name="_Toc345407166"/>
      <w:r w:rsidRPr="00415A55">
        <w:rPr>
          <w:rFonts w:eastAsia="Calibri" w:cs="Times New Roman"/>
        </w:rPr>
        <w:t xml:space="preserve">Como se mencionó en el Informe 2, (Numeral 7.4 - Metodología para estimar relaciones de causalidad entre el uso de las TIC y las características de las poblaciones demandantes), las acciones de promoción del </w:t>
      </w:r>
      <w:r w:rsidR="00CD2A6A">
        <w:rPr>
          <w:rFonts w:eastAsia="Calibri" w:cs="Times New Roman"/>
        </w:rPr>
        <w:t>Plan</w:t>
      </w:r>
      <w:r w:rsidRPr="00415A55">
        <w:rPr>
          <w:rFonts w:eastAsia="Calibri" w:cs="Times New Roman"/>
        </w:rPr>
        <w:t xml:space="preserve"> </w:t>
      </w:r>
      <w:r w:rsidR="00A8609D" w:rsidRPr="00415A55">
        <w:rPr>
          <w:rFonts w:eastAsia="Calibri" w:cs="Times New Roman"/>
        </w:rPr>
        <w:t xml:space="preserve">Vive Digital </w:t>
      </w:r>
      <w:r w:rsidRPr="00415A55">
        <w:rPr>
          <w:rFonts w:eastAsia="Calibri" w:cs="Times New Roman"/>
        </w:rPr>
        <w:t xml:space="preserve">buscan actuar sobre los cuellos de botella que </w:t>
      </w:r>
      <w:r w:rsidRPr="00D5656D">
        <w:rPr>
          <w:rFonts w:eastAsia="Calibri" w:cs="Times New Roman"/>
        </w:rPr>
        <w:t xml:space="preserve">limitan el uso de las nuevas tecnologías de la información y las comunicaciones, para generar una mayor demanda hacia el futuro. Estas barreras son </w:t>
      </w:r>
      <w:r w:rsidRPr="008A74F1">
        <w:rPr>
          <w:rFonts w:eastAsia="Calibri" w:cs="Times New Roman"/>
          <w:b/>
        </w:rPr>
        <w:t>económicas</w:t>
      </w:r>
      <w:r w:rsidRPr="00D5656D">
        <w:rPr>
          <w:rFonts w:eastAsia="Calibri" w:cs="Times New Roman"/>
        </w:rPr>
        <w:t xml:space="preserve"> (ingresos familiares y de los otros agentes demandantes), de </w:t>
      </w:r>
      <w:r w:rsidRPr="008A74F1">
        <w:rPr>
          <w:rFonts w:eastAsia="Calibri" w:cs="Times New Roman"/>
          <w:b/>
        </w:rPr>
        <w:t>ubicación</w:t>
      </w:r>
      <w:r w:rsidRPr="00D5656D">
        <w:rPr>
          <w:rFonts w:eastAsia="Calibri" w:cs="Times New Roman"/>
        </w:rPr>
        <w:t xml:space="preserve"> (comunidades apartadas, donde no llegan los servicios), de </w:t>
      </w:r>
      <w:r w:rsidRPr="008A74F1">
        <w:rPr>
          <w:rFonts w:eastAsia="Calibri" w:cs="Times New Roman"/>
          <w:b/>
        </w:rPr>
        <w:t>capacidad de aprendizaje</w:t>
      </w:r>
      <w:r w:rsidRPr="00D5656D">
        <w:rPr>
          <w:rFonts w:eastAsia="Calibri" w:cs="Times New Roman"/>
        </w:rPr>
        <w:t xml:space="preserve"> (el nivel de educación condiciona la capacidad de hacer uso de estas nuevas tecnologías</w:t>
      </w:r>
      <w:r w:rsidR="008A74F1">
        <w:rPr>
          <w:rFonts w:eastAsia="Calibri" w:cs="Times New Roman"/>
        </w:rPr>
        <w:t>)</w:t>
      </w:r>
      <w:r w:rsidRPr="00D5656D">
        <w:rPr>
          <w:rFonts w:eastAsia="Calibri" w:cs="Times New Roman"/>
        </w:rPr>
        <w:t xml:space="preserve">, </w:t>
      </w:r>
      <w:r w:rsidR="008A74F1">
        <w:rPr>
          <w:rFonts w:eastAsia="Calibri" w:cs="Times New Roman"/>
        </w:rPr>
        <w:t xml:space="preserve">y </w:t>
      </w:r>
      <w:r w:rsidRPr="00D5656D">
        <w:rPr>
          <w:rFonts w:eastAsia="Calibri" w:cs="Times New Roman"/>
        </w:rPr>
        <w:t xml:space="preserve">de </w:t>
      </w:r>
      <w:r w:rsidRPr="008A74F1">
        <w:rPr>
          <w:rFonts w:eastAsia="Calibri" w:cs="Times New Roman"/>
          <w:b/>
        </w:rPr>
        <w:t>edad</w:t>
      </w:r>
      <w:r w:rsidRPr="00D5656D">
        <w:rPr>
          <w:rFonts w:eastAsia="Calibri" w:cs="Times New Roman"/>
        </w:rPr>
        <w:t xml:space="preserve"> (población adulta tiene más dificultad de adoptar estas herramientas que la población más joven)</w:t>
      </w:r>
      <w:r w:rsidR="008A74F1">
        <w:rPr>
          <w:rFonts w:eastAsia="Calibri" w:cs="Times New Roman"/>
        </w:rPr>
        <w:t>, entre otras</w:t>
      </w:r>
      <w:r w:rsidRPr="00D5656D">
        <w:rPr>
          <w:rFonts w:eastAsia="Calibri" w:cs="Times New Roman"/>
        </w:rPr>
        <w:t>. Estos cuellos de botella por el lado de la demanda generan desigualdades en el acceso a estos servicios de nueva generación y limitan las posibilidades de aumentar la productividad y de obtener los beneficios asociados con el bienestar del consumidor (excedente del consumidor en la literatura).</w:t>
      </w:r>
      <w:r w:rsidRPr="00415A55">
        <w:rPr>
          <w:rFonts w:eastAsia="Calibri" w:cs="Times New Roman"/>
        </w:rPr>
        <w:t xml:space="preserve"> </w:t>
      </w:r>
    </w:p>
    <w:p w:rsidR="00C042D6" w:rsidRPr="00415A55" w:rsidRDefault="00CD2A6A" w:rsidP="008B625C">
      <w:pPr>
        <w:rPr>
          <w:rFonts w:eastAsia="Calibri" w:cs="Times New Roman"/>
        </w:rPr>
      </w:pPr>
      <w:r>
        <w:rPr>
          <w:rFonts w:eastAsia="Calibri" w:cs="Times New Roman"/>
        </w:rPr>
        <w:t>Como se encontr</w:t>
      </w:r>
      <w:r w:rsidR="00B64E7F">
        <w:rPr>
          <w:rFonts w:eastAsia="Calibri" w:cs="Times New Roman"/>
        </w:rPr>
        <w:t>ó en los t</w:t>
      </w:r>
      <w:r>
        <w:rPr>
          <w:rFonts w:eastAsia="Calibri" w:cs="Times New Roman"/>
        </w:rPr>
        <w:t xml:space="preserve">alleres </w:t>
      </w:r>
      <w:r w:rsidR="00B64E7F">
        <w:rPr>
          <w:rFonts w:eastAsia="Calibri" w:cs="Times New Roman"/>
        </w:rPr>
        <w:t>Delphos</w:t>
      </w:r>
      <w:r w:rsidR="002178A7">
        <w:rPr>
          <w:rFonts w:eastAsia="Calibri" w:cs="Times New Roman"/>
        </w:rPr>
        <w:t xml:space="preserve">, al examinar el Ecosistema Digital, en el componente de infraestructura se señala </w:t>
      </w:r>
      <w:r w:rsidR="008A74F1">
        <w:rPr>
          <w:rFonts w:eastAsia="Calibri" w:cs="Times New Roman"/>
        </w:rPr>
        <w:t>la red de acceso rural como una de las más importantes (ubicación). En servicios, el tema de datos móviles</w:t>
      </w:r>
      <w:r w:rsidR="00AA05FD">
        <w:rPr>
          <w:rFonts w:eastAsia="Calibri" w:cs="Times New Roman"/>
        </w:rPr>
        <w:t xml:space="preserve"> es el más mencionado, específicamente en cuanto a su deficiente calidad</w:t>
      </w:r>
      <w:r w:rsidR="009C437D">
        <w:rPr>
          <w:rFonts w:eastAsia="Calibri" w:cs="Times New Roman"/>
        </w:rPr>
        <w:t>. En el componente de usuarios, los aspectos de capacidad de pago (económicos) y apropiación son subrayados como importantes cuellos de botella; las autoridades del sector señalan la alfabetización digital (capacidad de aprendizaje) como otro aspecto clave</w:t>
      </w:r>
      <w:r w:rsidR="008A74F1">
        <w:rPr>
          <w:rStyle w:val="Refdenotaalpie"/>
          <w:rFonts w:eastAsia="Calibri" w:cs="Times New Roman"/>
        </w:rPr>
        <w:footnoteReference w:id="14"/>
      </w:r>
      <w:r w:rsidR="009C437D">
        <w:rPr>
          <w:rFonts w:eastAsia="Calibri" w:cs="Times New Roman"/>
        </w:rPr>
        <w:t>.</w:t>
      </w:r>
    </w:p>
    <w:p w:rsidR="007700A9" w:rsidRPr="00F3025E" w:rsidRDefault="007700A9" w:rsidP="008B625C">
      <w:pPr>
        <w:pStyle w:val="Ttulo3"/>
        <w:numPr>
          <w:ilvl w:val="2"/>
          <w:numId w:val="40"/>
        </w:numPr>
        <w:rPr>
          <w:sz w:val="26"/>
          <w:szCs w:val="26"/>
        </w:rPr>
      </w:pPr>
      <w:r w:rsidRPr="00F3025E">
        <w:rPr>
          <w:sz w:val="26"/>
          <w:szCs w:val="26"/>
        </w:rPr>
        <w:lastRenderedPageBreak/>
        <w:t>Metodología utilizada para examinar las relaciones de causalidad por el lado de la demanda</w:t>
      </w:r>
    </w:p>
    <w:p w:rsidR="007700A9" w:rsidRPr="00415A55" w:rsidRDefault="007700A9" w:rsidP="008B625C">
      <w:pPr>
        <w:rPr>
          <w:rFonts w:eastAsia="Calibri" w:cs="Times New Roman"/>
        </w:rPr>
      </w:pPr>
      <w:r w:rsidRPr="00415A55">
        <w:rPr>
          <w:rFonts w:eastAsia="Calibri" w:cs="Times New Roman"/>
        </w:rPr>
        <w:t>La metodología e</w:t>
      </w:r>
      <w:r w:rsidR="00EC000E">
        <w:rPr>
          <w:rFonts w:eastAsia="Calibri" w:cs="Times New Roman"/>
        </w:rPr>
        <w:t>conométrica que se recomendó</w:t>
      </w:r>
      <w:r w:rsidRPr="00415A55">
        <w:rPr>
          <w:rFonts w:eastAsia="Calibri" w:cs="Times New Roman"/>
        </w:rPr>
        <w:t xml:space="preserve"> para  estimar las relaciones de cau</w:t>
      </w:r>
      <w:r w:rsidR="00CA2DED">
        <w:rPr>
          <w:rFonts w:eastAsia="Calibri" w:cs="Times New Roman"/>
        </w:rPr>
        <w:t>salidad entre el uso de las TIC</w:t>
      </w:r>
      <w:r w:rsidRPr="00415A55">
        <w:rPr>
          <w:rFonts w:eastAsia="Calibri" w:cs="Times New Roman"/>
        </w:rPr>
        <w:t>, como variable</w:t>
      </w:r>
      <w:r w:rsidR="00EC000E">
        <w:rPr>
          <w:rFonts w:eastAsia="Calibri" w:cs="Times New Roman"/>
        </w:rPr>
        <w:t>s</w:t>
      </w:r>
      <w:r w:rsidRPr="00415A55">
        <w:rPr>
          <w:rFonts w:eastAsia="Calibri" w:cs="Times New Roman"/>
        </w:rPr>
        <w:t xml:space="preserve"> discreta</w:t>
      </w:r>
      <w:r w:rsidR="00EC000E">
        <w:rPr>
          <w:rFonts w:eastAsia="Calibri" w:cs="Times New Roman"/>
        </w:rPr>
        <w:t>s</w:t>
      </w:r>
      <w:r w:rsidRPr="00415A55">
        <w:rPr>
          <w:rFonts w:eastAsia="Calibri" w:cs="Times New Roman"/>
        </w:rPr>
        <w:t xml:space="preserve"> (se usa o no se usa)</w:t>
      </w:r>
      <w:r w:rsidR="00EC000E">
        <w:rPr>
          <w:rFonts w:eastAsia="Calibri" w:cs="Times New Roman"/>
        </w:rPr>
        <w:t>,</w:t>
      </w:r>
      <w:r w:rsidRPr="00415A55">
        <w:rPr>
          <w:rFonts w:eastAsia="Calibri" w:cs="Times New Roman"/>
        </w:rPr>
        <w:t xml:space="preserve"> y sus determinantes (características de los demandantes, niveles de ingreso y otros.) fue la utilización un modelo </w:t>
      </w:r>
      <w:proofErr w:type="spellStart"/>
      <w:r w:rsidRPr="00415A55">
        <w:rPr>
          <w:rFonts w:eastAsia="Calibri" w:cs="Times New Roman"/>
        </w:rPr>
        <w:t>Logit</w:t>
      </w:r>
      <w:proofErr w:type="spellEnd"/>
      <w:r w:rsidRPr="00415A55">
        <w:rPr>
          <w:rFonts w:eastAsia="Calibri" w:cs="Times New Roman"/>
        </w:rPr>
        <w:t xml:space="preserve">, donde la variable dependiente es la escogencia binaria (0/1), que hace el agente demandante de si  adquiere o usa el instrumento o servicio en cuestión, donde la variable dependiente adquiere el valor 1 si lo usa y 0 si no lo usa. </w:t>
      </w:r>
    </w:p>
    <w:p w:rsidR="007700A9" w:rsidRPr="00415A55" w:rsidRDefault="00EC000E" w:rsidP="008B625C">
      <w:pPr>
        <w:rPr>
          <w:rFonts w:eastAsia="Calibri" w:cs="Times New Roman"/>
        </w:rPr>
      </w:pPr>
      <w:r>
        <w:rPr>
          <w:rFonts w:eastAsia="Calibri" w:cs="Times New Roman"/>
        </w:rPr>
        <w:t>La demanda o uso</w:t>
      </w:r>
      <w:r w:rsidR="00D443F5">
        <w:rPr>
          <w:rFonts w:eastAsia="Calibri" w:cs="Times New Roman"/>
        </w:rPr>
        <w:t xml:space="preserve"> </w:t>
      </w:r>
      <w:r w:rsidR="007700A9" w:rsidRPr="00415A55">
        <w:rPr>
          <w:rFonts w:eastAsia="Calibri" w:cs="Times New Roman"/>
        </w:rPr>
        <w:t xml:space="preserve">de un bien o servicio particular de las TIC por parte de un agente de demanda se puede estimar mediante el siguiente tipo de regresión </w:t>
      </w:r>
      <w:proofErr w:type="spellStart"/>
      <w:r w:rsidR="007700A9" w:rsidRPr="00415A55">
        <w:rPr>
          <w:rFonts w:eastAsia="Calibri" w:cs="Times New Roman"/>
        </w:rPr>
        <w:t>Logit</w:t>
      </w:r>
      <w:proofErr w:type="spellEnd"/>
      <w:r w:rsidR="007700A9" w:rsidRPr="00415A55">
        <w:rPr>
          <w:rFonts w:eastAsia="Calibri" w:cs="Times New Roman"/>
        </w:rPr>
        <w:t>:</w:t>
      </w:r>
    </w:p>
    <w:p w:rsidR="007700A9" w:rsidRPr="005A4439" w:rsidRDefault="007700A9" w:rsidP="008B625C">
      <w:pPr>
        <w:jc w:val="center"/>
        <w:rPr>
          <w:rFonts w:ascii="Cambria Math" w:eastAsia="Calibri" w:hAnsi="Cambria Math" w:cs="Times New Roman"/>
        </w:rPr>
      </w:pPr>
      <w:proofErr w:type="spellStart"/>
      <w:r w:rsidRPr="005A4439">
        <w:rPr>
          <w:rFonts w:ascii="Cambria Math" w:eastAsia="Calibri" w:hAnsi="Cambria Math" w:cs="Times New Roman"/>
        </w:rPr>
        <w:t>Prob</w:t>
      </w:r>
      <w:proofErr w:type="spellEnd"/>
      <w:r w:rsidRPr="005A4439">
        <w:rPr>
          <w:rFonts w:ascii="Cambria Math" w:eastAsia="Calibri" w:hAnsi="Cambria Math" w:cs="Times New Roman"/>
        </w:rPr>
        <w:t xml:space="preserve"> (Y=1/X) = F(X, b)  y   </w:t>
      </w:r>
      <w:proofErr w:type="spellStart"/>
      <w:r w:rsidRPr="005A4439">
        <w:rPr>
          <w:rFonts w:ascii="Cambria Math" w:eastAsia="Calibri" w:hAnsi="Cambria Math" w:cs="Times New Roman"/>
        </w:rPr>
        <w:t>Prob</w:t>
      </w:r>
      <w:proofErr w:type="spellEnd"/>
      <w:r w:rsidRPr="005A4439">
        <w:rPr>
          <w:rFonts w:ascii="Cambria Math" w:eastAsia="Calibri" w:hAnsi="Cambria Math" w:cs="Times New Roman"/>
        </w:rPr>
        <w:t xml:space="preserve"> (Y=0/X) = 1 -  F(x, b)</w:t>
      </w:r>
    </w:p>
    <w:p w:rsidR="007700A9" w:rsidRPr="00415A55" w:rsidRDefault="007700A9" w:rsidP="008B625C">
      <w:pPr>
        <w:rPr>
          <w:rFonts w:eastAsia="Calibri" w:cs="Times New Roman"/>
        </w:rPr>
      </w:pPr>
      <w:r w:rsidRPr="00415A55">
        <w:rPr>
          <w:rFonts w:eastAsia="Calibri" w:cs="Times New Roman"/>
        </w:rPr>
        <w:t>Donde Y es la variable dependiente (</w:t>
      </w:r>
      <w:r w:rsidR="00A8609D">
        <w:rPr>
          <w:rFonts w:eastAsia="Calibri" w:cs="Times New Roman"/>
        </w:rPr>
        <w:t>que puede tomar los valores “</w:t>
      </w:r>
      <w:r w:rsidRPr="00415A55">
        <w:rPr>
          <w:rFonts w:eastAsia="Calibri" w:cs="Times New Roman"/>
        </w:rPr>
        <w:t>si</w:t>
      </w:r>
      <w:r w:rsidR="00A8609D">
        <w:rPr>
          <w:rFonts w:eastAsia="Calibri" w:cs="Times New Roman"/>
        </w:rPr>
        <w:t>” o “</w:t>
      </w:r>
      <w:r w:rsidRPr="00415A55">
        <w:rPr>
          <w:rFonts w:eastAsia="Calibri" w:cs="Times New Roman"/>
        </w:rPr>
        <w:t>no</w:t>
      </w:r>
      <w:r w:rsidR="00A8609D">
        <w:rPr>
          <w:rFonts w:eastAsia="Calibri" w:cs="Times New Roman"/>
        </w:rPr>
        <w:t>”</w:t>
      </w:r>
      <w:r w:rsidRPr="00415A55">
        <w:rPr>
          <w:rFonts w:eastAsia="Calibri" w:cs="Times New Roman"/>
        </w:rPr>
        <w:t xml:space="preserve">),  X es el vector de variables independientes </w:t>
      </w:r>
      <w:proofErr w:type="spellStart"/>
      <w:r w:rsidRPr="00415A55">
        <w:rPr>
          <w:rFonts w:eastAsia="Calibri" w:cs="Times New Roman"/>
        </w:rPr>
        <w:t>explicatorias</w:t>
      </w:r>
      <w:proofErr w:type="spellEnd"/>
      <w:r w:rsidRPr="00415A55">
        <w:rPr>
          <w:rFonts w:eastAsia="Calibri" w:cs="Times New Roman"/>
        </w:rPr>
        <w:t xml:space="preserve"> y b son los coeficientes que miden el impacto de las variables del vector X  sobre la variable dependiente Y. En el </w:t>
      </w:r>
      <w:r w:rsidRPr="00415A55">
        <w:rPr>
          <w:rFonts w:eastAsia="Calibri" w:cs="Times New Roman"/>
          <w:b/>
        </w:rPr>
        <w:t xml:space="preserve">modelo </w:t>
      </w:r>
      <w:proofErr w:type="spellStart"/>
      <w:r w:rsidRPr="00EC000E">
        <w:rPr>
          <w:rFonts w:eastAsia="Calibri" w:cs="Times New Roman"/>
          <w:b/>
        </w:rPr>
        <w:t>Logit</w:t>
      </w:r>
      <w:proofErr w:type="spellEnd"/>
      <w:r w:rsidRPr="00415A55">
        <w:rPr>
          <w:rFonts w:eastAsia="Calibri" w:cs="Times New Roman"/>
          <w:b/>
        </w:rPr>
        <w:t xml:space="preserve"> </w:t>
      </w:r>
      <w:r w:rsidRPr="00415A55">
        <w:rPr>
          <w:rFonts w:eastAsia="Calibri" w:cs="Times New Roman"/>
        </w:rPr>
        <w:t>se supone que la variable dependiente sigue una distribución logística:</w:t>
      </w:r>
    </w:p>
    <w:p w:rsidR="007700A9" w:rsidRPr="005A4439" w:rsidRDefault="007700A9" w:rsidP="008B625C">
      <w:pPr>
        <w:jc w:val="center"/>
        <w:rPr>
          <w:rFonts w:ascii="Cambria Math" w:eastAsia="Calibri" w:hAnsi="Cambria Math" w:cs="Times New Roman"/>
        </w:rPr>
      </w:pPr>
      <w:proofErr w:type="spellStart"/>
      <w:r w:rsidRPr="005A4439">
        <w:rPr>
          <w:rFonts w:ascii="Cambria Math" w:eastAsia="Calibri" w:hAnsi="Cambria Math" w:cs="Times New Roman"/>
        </w:rPr>
        <w:t>Prob</w:t>
      </w:r>
      <w:proofErr w:type="spellEnd"/>
      <w:r w:rsidRPr="005A4439">
        <w:rPr>
          <w:rFonts w:ascii="Cambria Math" w:eastAsia="Calibri" w:hAnsi="Cambria Math" w:cs="Times New Roman"/>
        </w:rPr>
        <w:t xml:space="preserve"> </w:t>
      </w:r>
      <w:proofErr w:type="gramStart"/>
      <w:r w:rsidRPr="005A4439">
        <w:rPr>
          <w:rFonts w:ascii="Cambria Math" w:eastAsia="Calibri" w:hAnsi="Cambria Math" w:cs="Times New Roman"/>
        </w:rPr>
        <w:t>( Y</w:t>
      </w:r>
      <w:proofErr w:type="gramEnd"/>
      <w:r w:rsidRPr="005A4439">
        <w:rPr>
          <w:rFonts w:ascii="Cambria Math" w:eastAsia="Calibri" w:hAnsi="Cambria Math" w:cs="Times New Roman"/>
        </w:rPr>
        <w:t xml:space="preserve">=1/X ) = </w:t>
      </w:r>
      <w:proofErr w:type="spellStart"/>
      <w:r w:rsidRPr="005A4439">
        <w:rPr>
          <w:rFonts w:ascii="Cambria Math" w:eastAsia="Calibri" w:hAnsi="Cambria Math" w:cs="Times New Roman"/>
        </w:rPr>
        <w:t>e</w:t>
      </w:r>
      <w:r w:rsidRPr="005A4439">
        <w:rPr>
          <w:rFonts w:ascii="Cambria Math" w:eastAsia="Calibri" w:hAnsi="Cambria Math" w:cs="Times New Roman"/>
          <w:vertAlign w:val="superscript"/>
        </w:rPr>
        <w:t>xb</w:t>
      </w:r>
      <w:proofErr w:type="spellEnd"/>
      <w:r w:rsidR="003A6AF9" w:rsidRPr="005A4439">
        <w:rPr>
          <w:rFonts w:ascii="Cambria Math" w:eastAsia="Calibri" w:hAnsi="Cambria Math" w:cs="Times New Roman"/>
        </w:rPr>
        <w:t xml:space="preserve"> / (1 +</w:t>
      </w:r>
      <w:r w:rsidRPr="005A4439">
        <w:rPr>
          <w:rFonts w:ascii="Cambria Math" w:eastAsia="Calibri" w:hAnsi="Cambria Math" w:cs="Times New Roman"/>
        </w:rPr>
        <w:t xml:space="preserve"> </w:t>
      </w:r>
      <w:proofErr w:type="spellStart"/>
      <w:r w:rsidRPr="005A4439">
        <w:rPr>
          <w:rFonts w:ascii="Cambria Math" w:eastAsia="Calibri" w:hAnsi="Cambria Math" w:cs="Times New Roman"/>
        </w:rPr>
        <w:t>e</w:t>
      </w:r>
      <w:r w:rsidRPr="005A4439">
        <w:rPr>
          <w:rFonts w:ascii="Cambria Math" w:eastAsia="Calibri" w:hAnsi="Cambria Math" w:cs="Times New Roman"/>
          <w:vertAlign w:val="superscript"/>
        </w:rPr>
        <w:t>xb</w:t>
      </w:r>
      <w:proofErr w:type="spellEnd"/>
      <w:r w:rsidRPr="005A4439">
        <w:rPr>
          <w:rFonts w:ascii="Cambria Math" w:eastAsia="Calibri" w:hAnsi="Cambria Math" w:cs="Times New Roman"/>
        </w:rPr>
        <w:t xml:space="preserve"> ).</w:t>
      </w:r>
    </w:p>
    <w:p w:rsidR="007700A9" w:rsidRPr="00415A55" w:rsidRDefault="00EC000E" w:rsidP="008B625C">
      <w:pPr>
        <w:rPr>
          <w:rFonts w:eastAsia="Calibri" w:cs="Times New Roman"/>
        </w:rPr>
      </w:pPr>
      <w:r>
        <w:rPr>
          <w:rFonts w:eastAsia="Calibri" w:cs="Times New Roman"/>
        </w:rPr>
        <w:t>En el Anexo A1</w:t>
      </w:r>
      <w:r w:rsidR="007700A9" w:rsidRPr="00415A55">
        <w:rPr>
          <w:rFonts w:eastAsia="Calibri" w:cs="Times New Roman"/>
        </w:rPr>
        <w:t xml:space="preserve"> se presentan los resultados de la estimación de las funciones de demanda por servicios de Internet Fijo, Tel</w:t>
      </w:r>
      <w:r w:rsidR="001653EA">
        <w:rPr>
          <w:rFonts w:eastAsia="Calibri" w:cs="Times New Roman"/>
        </w:rPr>
        <w:t>evisión por Suscripción, Telefonía Móvil</w:t>
      </w:r>
      <w:r w:rsidR="007700A9" w:rsidRPr="00415A55">
        <w:rPr>
          <w:rFonts w:eastAsia="Calibri" w:cs="Times New Roman"/>
        </w:rPr>
        <w:t xml:space="preserve"> y Telefonía Fija a nivel de hogares, </w:t>
      </w:r>
      <w:r>
        <w:rPr>
          <w:rFonts w:eastAsia="Calibri" w:cs="Times New Roman"/>
        </w:rPr>
        <w:t xml:space="preserve">usando la especificación de un modelo </w:t>
      </w:r>
      <w:proofErr w:type="spellStart"/>
      <w:r>
        <w:rPr>
          <w:rFonts w:eastAsia="Calibri" w:cs="Times New Roman"/>
        </w:rPr>
        <w:t>Logit</w:t>
      </w:r>
      <w:proofErr w:type="spellEnd"/>
      <w:r>
        <w:rPr>
          <w:rFonts w:eastAsia="Calibri" w:cs="Times New Roman"/>
        </w:rPr>
        <w:t xml:space="preserve"> y </w:t>
      </w:r>
      <w:r w:rsidR="007700A9" w:rsidRPr="00415A55">
        <w:rPr>
          <w:rFonts w:eastAsia="Calibri" w:cs="Times New Roman"/>
        </w:rPr>
        <w:t>con la información reportada por las Encuestas de Calidad de Vida del DANE para los años 2010 y 2012</w:t>
      </w:r>
      <w:r w:rsidR="003B68F6">
        <w:rPr>
          <w:rStyle w:val="Refdenotaalpie"/>
          <w:rFonts w:eastAsia="Calibri" w:cs="Times New Roman"/>
        </w:rPr>
        <w:footnoteReference w:id="15"/>
      </w:r>
      <w:r w:rsidR="007700A9" w:rsidRPr="00415A55">
        <w:rPr>
          <w:rFonts w:eastAsia="Calibri" w:cs="Times New Roman"/>
        </w:rPr>
        <w:t xml:space="preserve">.  </w:t>
      </w:r>
    </w:p>
    <w:p w:rsidR="00E72A6C" w:rsidRPr="00415A55" w:rsidRDefault="00E72A6C" w:rsidP="008B625C">
      <w:pPr>
        <w:rPr>
          <w:rFonts w:eastAsia="Calibri" w:cs="Times New Roman"/>
        </w:rPr>
      </w:pPr>
      <w:r w:rsidRPr="00415A55">
        <w:rPr>
          <w:rFonts w:eastAsia="Calibri" w:cs="Times New Roman"/>
        </w:rPr>
        <w:t xml:space="preserve">En la presentación de resultados, además de los valores reportados por el paquete estadístico </w:t>
      </w:r>
      <w:proofErr w:type="spellStart"/>
      <w:r w:rsidRPr="00415A55">
        <w:rPr>
          <w:rFonts w:eastAsia="Calibri" w:cs="Times New Roman"/>
        </w:rPr>
        <w:t>Stata</w:t>
      </w:r>
      <w:proofErr w:type="spellEnd"/>
      <w:r w:rsidRPr="00415A55">
        <w:rPr>
          <w:rFonts w:eastAsia="Calibri" w:cs="Times New Roman"/>
        </w:rPr>
        <w:t xml:space="preserve">, con el cual se corrieron las regresiones con el modelo </w:t>
      </w:r>
      <w:proofErr w:type="spellStart"/>
      <w:r w:rsidRPr="00415A55">
        <w:rPr>
          <w:rFonts w:eastAsia="Calibri" w:cs="Times New Roman"/>
        </w:rPr>
        <w:t>Logit</w:t>
      </w:r>
      <w:proofErr w:type="spellEnd"/>
      <w:r w:rsidRPr="00415A55">
        <w:rPr>
          <w:rFonts w:eastAsia="Calibri" w:cs="Times New Roman"/>
        </w:rPr>
        <w:t xml:space="preserve">, se </w:t>
      </w:r>
      <w:r w:rsidR="00135256" w:rsidRPr="00415A55">
        <w:rPr>
          <w:rFonts w:eastAsia="Calibri" w:cs="Times New Roman"/>
        </w:rPr>
        <w:t xml:space="preserve">agregaron dos variables calculadas: </w:t>
      </w:r>
    </w:p>
    <w:p w:rsidR="00135256" w:rsidRPr="00415A55" w:rsidRDefault="00A8609D" w:rsidP="008B625C">
      <w:pPr>
        <w:pStyle w:val="Prrafodelista"/>
        <w:numPr>
          <w:ilvl w:val="0"/>
          <w:numId w:val="7"/>
        </w:numPr>
        <w:ind w:left="714" w:hanging="357"/>
        <w:contextualSpacing w:val="0"/>
        <w:rPr>
          <w:rFonts w:eastAsia="Calibri"/>
        </w:rPr>
      </w:pPr>
      <w:r>
        <w:rPr>
          <w:rFonts w:eastAsia="Calibri"/>
          <w:lang w:val="es-CO"/>
        </w:rPr>
        <w:t>L</w:t>
      </w:r>
      <w:r w:rsidR="00135256" w:rsidRPr="00415A55">
        <w:rPr>
          <w:rFonts w:eastAsia="Calibri"/>
        </w:rPr>
        <w:t>a llamada “</w:t>
      </w:r>
      <w:proofErr w:type="spellStart"/>
      <w:r w:rsidR="00135256" w:rsidRPr="00415A55">
        <w:rPr>
          <w:rFonts w:eastAsia="Calibri"/>
        </w:rPr>
        <w:t>odds</w:t>
      </w:r>
      <w:proofErr w:type="spellEnd"/>
      <w:r w:rsidR="00135256" w:rsidRPr="00415A55">
        <w:rPr>
          <w:rFonts w:eastAsia="Calibri"/>
        </w:rPr>
        <w:t xml:space="preserve"> ratio” que es la relación P/(1-P), donde P es la probabilidad estimada de demandar el servicio y (1-P) </w:t>
      </w:r>
      <w:r w:rsidR="000E7F1E" w:rsidRPr="00415A55">
        <w:rPr>
          <w:rFonts w:eastAsia="Calibri"/>
        </w:rPr>
        <w:t>la probabilidad de no demandarlo</w:t>
      </w:r>
      <w:r w:rsidR="00135256" w:rsidRPr="00415A55">
        <w:rPr>
          <w:rFonts w:eastAsia="Calibri"/>
        </w:rPr>
        <w:t>; y</w:t>
      </w:r>
    </w:p>
    <w:p w:rsidR="00014EEF" w:rsidRPr="00634374" w:rsidRDefault="00135256" w:rsidP="008B625C">
      <w:pPr>
        <w:pStyle w:val="Prrafodelista"/>
        <w:numPr>
          <w:ilvl w:val="0"/>
          <w:numId w:val="7"/>
        </w:numPr>
        <w:ind w:left="714" w:hanging="357"/>
        <w:contextualSpacing w:val="0"/>
        <w:rPr>
          <w:rFonts w:eastAsia="Calibri"/>
        </w:rPr>
      </w:pPr>
      <w:proofErr w:type="spellStart"/>
      <w:r w:rsidRPr="00415A55">
        <w:rPr>
          <w:rFonts w:eastAsia="Calibri"/>
        </w:rPr>
        <w:lastRenderedPageBreak/>
        <w:t>dP</w:t>
      </w:r>
      <w:proofErr w:type="spellEnd"/>
      <w:r w:rsidRPr="00415A55">
        <w:rPr>
          <w:rFonts w:eastAsia="Calibri"/>
        </w:rPr>
        <w:t xml:space="preserve"> = P(si) – P(no), que es el incremento en el valor de la probabilidad del “si”, con respecto a la probabilidad del “no”, que con p</w:t>
      </w:r>
      <w:r w:rsidR="003A6AF9">
        <w:rPr>
          <w:rFonts w:eastAsia="Calibri"/>
        </w:rPr>
        <w:t>(no)</w:t>
      </w:r>
      <w:r w:rsidRPr="00415A55">
        <w:rPr>
          <w:rFonts w:eastAsia="Calibri"/>
        </w:rPr>
        <w:t xml:space="preserve"> es 50%, para todas las variables analizadas.</w:t>
      </w:r>
    </w:p>
    <w:p w:rsidR="001E239E" w:rsidRDefault="003A6CA4" w:rsidP="008B625C">
      <w:pPr>
        <w:rPr>
          <w:rFonts w:eastAsia="Calibri"/>
        </w:rPr>
      </w:pPr>
      <w:r w:rsidRPr="003A6CA4">
        <w:rPr>
          <w:rFonts w:eastAsia="Calibri"/>
        </w:rPr>
        <w:t>En particular, para la especificación log</w:t>
      </w:r>
      <w:r>
        <w:rPr>
          <w:rFonts w:eastAsia="Calibri"/>
        </w:rPr>
        <w:t>ís</w:t>
      </w:r>
      <w:r w:rsidRPr="003A6CA4">
        <w:rPr>
          <w:rFonts w:eastAsia="Calibri"/>
        </w:rPr>
        <w:t>tica</w:t>
      </w:r>
      <w:r w:rsidR="00014EEF">
        <w:rPr>
          <w:rFonts w:eastAsia="Calibri"/>
        </w:rPr>
        <w:t xml:space="preserve"> </w:t>
      </w:r>
      <w:r w:rsidR="001E239E">
        <w:rPr>
          <w:rFonts w:eastAsia="Calibri"/>
        </w:rPr>
        <w:t>se cumple que:</w:t>
      </w:r>
      <w:r>
        <w:rPr>
          <w:rFonts w:eastAsia="Calibri"/>
        </w:rPr>
        <w:t xml:space="preserve"> </w:t>
      </w:r>
    </w:p>
    <w:p w:rsidR="00014EEF" w:rsidRPr="005A4439" w:rsidRDefault="00014EEF" w:rsidP="008B625C">
      <w:pPr>
        <w:jc w:val="center"/>
        <w:rPr>
          <w:rFonts w:ascii="Cambria Math" w:eastAsia="Calibri" w:hAnsi="Cambria Math"/>
        </w:rPr>
      </w:pPr>
      <w:proofErr w:type="gramStart"/>
      <w:r w:rsidRPr="005A4439">
        <w:rPr>
          <w:rFonts w:ascii="Cambria Math" w:eastAsia="Calibri" w:hAnsi="Cambria Math"/>
        </w:rPr>
        <w:t>P(</w:t>
      </w:r>
      <w:proofErr w:type="gramEnd"/>
      <w:r w:rsidRPr="005A4439">
        <w:rPr>
          <w:rFonts w:ascii="Cambria Math" w:eastAsia="Calibri" w:hAnsi="Cambria Math"/>
        </w:rPr>
        <w:t xml:space="preserve">si) =  </w:t>
      </w:r>
      <w:proofErr w:type="spellStart"/>
      <w:r w:rsidRPr="005A4439">
        <w:rPr>
          <w:rFonts w:ascii="Cambria Math" w:eastAsia="Calibri" w:hAnsi="Cambria Math"/>
        </w:rPr>
        <w:t>e</w:t>
      </w:r>
      <w:r w:rsidRPr="005A4439">
        <w:rPr>
          <w:rFonts w:ascii="Cambria Math" w:eastAsia="Calibri" w:hAnsi="Cambria Math"/>
          <w:vertAlign w:val="superscript"/>
        </w:rPr>
        <w:t>bx</w:t>
      </w:r>
      <w:proofErr w:type="spellEnd"/>
      <w:r w:rsidRPr="005A4439">
        <w:rPr>
          <w:rFonts w:ascii="Cambria Math" w:eastAsia="Calibri" w:hAnsi="Cambria Math"/>
        </w:rPr>
        <w:t xml:space="preserve"> /(1+e</w:t>
      </w:r>
      <w:r w:rsidRPr="005A4439">
        <w:rPr>
          <w:rFonts w:ascii="Cambria Math" w:eastAsia="Calibri" w:hAnsi="Cambria Math"/>
          <w:vertAlign w:val="superscript"/>
        </w:rPr>
        <w:t>bx</w:t>
      </w:r>
      <w:r w:rsidR="004B0A01" w:rsidRPr="005A4439">
        <w:rPr>
          <w:rFonts w:ascii="Cambria Math" w:eastAsia="Calibri" w:hAnsi="Cambria Math"/>
        </w:rPr>
        <w:t>)</w:t>
      </w:r>
      <w:r w:rsidR="004B0A01" w:rsidRPr="005A4439">
        <w:rPr>
          <w:rFonts w:ascii="Cambria Math" w:eastAsia="Calibri" w:hAnsi="Cambria Math"/>
        </w:rPr>
        <w:tab/>
        <w:t>y</w:t>
      </w:r>
    </w:p>
    <w:p w:rsidR="00014EEF" w:rsidRPr="005A4439" w:rsidRDefault="00014EEF" w:rsidP="008B625C">
      <w:pPr>
        <w:jc w:val="center"/>
        <w:rPr>
          <w:rFonts w:ascii="Cambria Math" w:eastAsia="Calibri" w:hAnsi="Cambria Math"/>
        </w:rPr>
      </w:pPr>
      <w:proofErr w:type="gramStart"/>
      <w:r w:rsidRPr="005A4439">
        <w:rPr>
          <w:rFonts w:ascii="Cambria Math" w:eastAsia="Calibri" w:hAnsi="Cambria Math"/>
        </w:rPr>
        <w:t>P(</w:t>
      </w:r>
      <w:proofErr w:type="gramEnd"/>
      <w:r w:rsidRPr="005A4439">
        <w:rPr>
          <w:rFonts w:ascii="Cambria Math" w:eastAsia="Calibri" w:hAnsi="Cambria Math"/>
        </w:rPr>
        <w:t xml:space="preserve">no) = 1 – P(si) =  1 – </w:t>
      </w:r>
      <w:proofErr w:type="spellStart"/>
      <w:r w:rsidRPr="005A4439">
        <w:rPr>
          <w:rFonts w:ascii="Cambria Math" w:eastAsia="Calibri" w:hAnsi="Cambria Math"/>
        </w:rPr>
        <w:t>e</w:t>
      </w:r>
      <w:r w:rsidRPr="005A4439">
        <w:rPr>
          <w:rFonts w:ascii="Cambria Math" w:eastAsia="Calibri" w:hAnsi="Cambria Math"/>
          <w:vertAlign w:val="superscript"/>
        </w:rPr>
        <w:t>bx</w:t>
      </w:r>
      <w:proofErr w:type="spellEnd"/>
      <w:r w:rsidRPr="005A4439">
        <w:rPr>
          <w:rFonts w:ascii="Cambria Math" w:eastAsia="Calibri" w:hAnsi="Cambria Math"/>
        </w:rPr>
        <w:t xml:space="preserve"> /(1 + </w:t>
      </w:r>
      <w:proofErr w:type="spellStart"/>
      <w:r w:rsidRPr="005A4439">
        <w:rPr>
          <w:rFonts w:ascii="Cambria Math" w:eastAsia="Calibri" w:hAnsi="Cambria Math"/>
        </w:rPr>
        <w:t>e</w:t>
      </w:r>
      <w:r w:rsidRPr="005A4439">
        <w:rPr>
          <w:rFonts w:ascii="Cambria Math" w:eastAsia="Calibri" w:hAnsi="Cambria Math"/>
          <w:vertAlign w:val="superscript"/>
        </w:rPr>
        <w:t>bx</w:t>
      </w:r>
      <w:proofErr w:type="spellEnd"/>
      <w:r w:rsidRPr="005A4439">
        <w:rPr>
          <w:rFonts w:ascii="Cambria Math" w:eastAsia="Calibri" w:hAnsi="Cambria Math"/>
        </w:rPr>
        <w:t xml:space="preserve">) = 1/ (1 + </w:t>
      </w:r>
      <w:proofErr w:type="spellStart"/>
      <w:r w:rsidRPr="005A4439">
        <w:rPr>
          <w:rFonts w:ascii="Cambria Math" w:eastAsia="Calibri" w:hAnsi="Cambria Math"/>
        </w:rPr>
        <w:t>e</w:t>
      </w:r>
      <w:r w:rsidRPr="005A4439">
        <w:rPr>
          <w:rFonts w:ascii="Cambria Math" w:eastAsia="Calibri" w:hAnsi="Cambria Math"/>
          <w:vertAlign w:val="superscript"/>
        </w:rPr>
        <w:t>bx</w:t>
      </w:r>
      <w:proofErr w:type="spellEnd"/>
      <w:r w:rsidRPr="005A4439">
        <w:rPr>
          <w:rFonts w:ascii="Cambria Math" w:eastAsia="Calibri" w:hAnsi="Cambria Math"/>
        </w:rPr>
        <w:t>)</w:t>
      </w:r>
    </w:p>
    <w:p w:rsidR="004B0A01" w:rsidRPr="005A4439" w:rsidRDefault="004B0A01" w:rsidP="008B625C">
      <w:pPr>
        <w:jc w:val="center"/>
        <w:rPr>
          <w:rFonts w:ascii="Cambria Math" w:eastAsia="Calibri" w:hAnsi="Cambria Math"/>
        </w:rPr>
      </w:pPr>
      <w:proofErr w:type="gramStart"/>
      <w:r w:rsidRPr="005A4439">
        <w:rPr>
          <w:rFonts w:ascii="Cambria Math" w:eastAsia="Calibri" w:hAnsi="Cambria Math"/>
        </w:rPr>
        <w:t>P(</w:t>
      </w:r>
      <w:proofErr w:type="gramEnd"/>
      <w:r w:rsidRPr="005A4439">
        <w:rPr>
          <w:rFonts w:ascii="Cambria Math" w:eastAsia="Calibri" w:hAnsi="Cambria Math"/>
        </w:rPr>
        <w:t xml:space="preserve">si) / P(no) = </w:t>
      </w:r>
      <w:proofErr w:type="spellStart"/>
      <w:r w:rsidRPr="005A4439">
        <w:rPr>
          <w:rFonts w:ascii="Cambria Math" w:eastAsia="Calibri" w:hAnsi="Cambria Math"/>
        </w:rPr>
        <w:t>e</w:t>
      </w:r>
      <w:r w:rsidRPr="005A4439">
        <w:rPr>
          <w:rFonts w:ascii="Cambria Math" w:eastAsia="Calibri" w:hAnsi="Cambria Math"/>
          <w:vertAlign w:val="superscript"/>
        </w:rPr>
        <w:t>bx</w:t>
      </w:r>
      <w:proofErr w:type="spellEnd"/>
    </w:p>
    <w:p w:rsidR="00014EEF" w:rsidRPr="002A509F" w:rsidRDefault="00014EEF" w:rsidP="008B625C">
      <w:pPr>
        <w:rPr>
          <w:rFonts w:eastAsia="Calibri"/>
        </w:rPr>
      </w:pPr>
      <w:r w:rsidRPr="002A509F">
        <w:rPr>
          <w:rFonts w:eastAsia="Calibri"/>
        </w:rPr>
        <w:t>Estas ecuaciones de usan</w:t>
      </w:r>
      <w:r w:rsidR="00EC000E" w:rsidRPr="002A509F">
        <w:rPr>
          <w:rFonts w:eastAsia="Calibri"/>
        </w:rPr>
        <w:t xml:space="preserve"> únicamente</w:t>
      </w:r>
      <w:r w:rsidRPr="002A509F">
        <w:rPr>
          <w:rFonts w:eastAsia="Calibri"/>
        </w:rPr>
        <w:t xml:space="preserve"> para estimar los impactos en el caso del ingreso familiar, que es la única variable continua utilizada en las ecuaciones</w:t>
      </w:r>
      <w:r w:rsidR="00634374" w:rsidRPr="002A509F">
        <w:rPr>
          <w:rFonts w:eastAsia="Calibri"/>
        </w:rPr>
        <w:t xml:space="preserve"> de</w:t>
      </w:r>
      <w:r w:rsidRPr="002A509F">
        <w:rPr>
          <w:rFonts w:eastAsia="Calibri"/>
        </w:rPr>
        <w:t xml:space="preserve"> demand</w:t>
      </w:r>
      <w:r w:rsidR="00634374" w:rsidRPr="002A509F">
        <w:rPr>
          <w:rFonts w:eastAsia="Calibri"/>
        </w:rPr>
        <w:t>a.</w:t>
      </w:r>
      <w:r w:rsidRPr="002A509F">
        <w:rPr>
          <w:rFonts w:eastAsia="Calibri"/>
        </w:rPr>
        <w:t xml:space="preserve"> </w:t>
      </w:r>
    </w:p>
    <w:p w:rsidR="00014EEF" w:rsidRDefault="00014EEF" w:rsidP="008B625C">
      <w:pPr>
        <w:rPr>
          <w:rFonts w:eastAsia="Calibri"/>
        </w:rPr>
      </w:pPr>
      <w:r w:rsidRPr="002A509F">
        <w:rPr>
          <w:rFonts w:eastAsia="Calibri"/>
        </w:rPr>
        <w:t>Para todas las otras variables x utilizadas  como</w:t>
      </w:r>
      <w:r w:rsidR="00634374" w:rsidRPr="002A509F">
        <w:rPr>
          <w:rFonts w:eastAsia="Calibri"/>
        </w:rPr>
        <w:t xml:space="preserve"> determinantes de la demanda</w:t>
      </w:r>
      <w:r w:rsidR="004B0A01" w:rsidRPr="002A509F">
        <w:rPr>
          <w:rFonts w:eastAsia="Calibri"/>
        </w:rPr>
        <w:t>,</w:t>
      </w:r>
      <w:r w:rsidR="00634374" w:rsidRPr="002A509F">
        <w:rPr>
          <w:rFonts w:eastAsia="Calibri"/>
        </w:rPr>
        <w:t xml:space="preserve"> que</w:t>
      </w:r>
      <w:r w:rsidRPr="002A509F">
        <w:rPr>
          <w:rFonts w:eastAsia="Calibri"/>
        </w:rPr>
        <w:t xml:space="preserve"> son</w:t>
      </w:r>
      <w:r>
        <w:rPr>
          <w:rFonts w:eastAsia="Calibri"/>
        </w:rPr>
        <w:t xml:space="preserve"> dicótomas (1,0)</w:t>
      </w:r>
      <w:r w:rsidR="004B0A01">
        <w:rPr>
          <w:rFonts w:eastAsia="Calibri"/>
        </w:rPr>
        <w:t>,</w:t>
      </w:r>
      <w:r>
        <w:rPr>
          <w:rFonts w:eastAsia="Calibri"/>
        </w:rPr>
        <w:t xml:space="preserve"> estas ecuaciones se simplifican a:</w:t>
      </w:r>
    </w:p>
    <w:p w:rsidR="003A6CA4" w:rsidRPr="005A4439" w:rsidRDefault="003A6CA4" w:rsidP="008B625C">
      <w:pPr>
        <w:jc w:val="center"/>
        <w:rPr>
          <w:rFonts w:ascii="Cambria Math" w:eastAsia="Calibri" w:hAnsi="Cambria Math"/>
        </w:rPr>
      </w:pPr>
      <w:proofErr w:type="gramStart"/>
      <w:r w:rsidRPr="005A4439">
        <w:rPr>
          <w:rFonts w:ascii="Cambria Math" w:eastAsia="Calibri" w:hAnsi="Cambria Math"/>
        </w:rPr>
        <w:t>P(</w:t>
      </w:r>
      <w:proofErr w:type="gramEnd"/>
      <w:r w:rsidRPr="005A4439">
        <w:rPr>
          <w:rFonts w:ascii="Cambria Math" w:eastAsia="Calibri" w:hAnsi="Cambria Math"/>
        </w:rPr>
        <w:t xml:space="preserve">si) =  </w:t>
      </w:r>
      <w:proofErr w:type="spellStart"/>
      <w:r w:rsidRPr="005A4439">
        <w:rPr>
          <w:rFonts w:ascii="Cambria Math" w:eastAsia="Calibri" w:hAnsi="Cambria Math"/>
        </w:rPr>
        <w:t>e</w:t>
      </w:r>
      <w:r w:rsidRPr="005A4439">
        <w:rPr>
          <w:rFonts w:ascii="Cambria Math" w:eastAsia="Calibri" w:hAnsi="Cambria Math"/>
          <w:vertAlign w:val="superscript"/>
        </w:rPr>
        <w:t>b</w:t>
      </w:r>
      <w:proofErr w:type="spellEnd"/>
      <w:r w:rsidRPr="005A4439">
        <w:rPr>
          <w:rFonts w:ascii="Cambria Math" w:eastAsia="Calibri" w:hAnsi="Cambria Math"/>
        </w:rPr>
        <w:t xml:space="preserve"> /(1+e</w:t>
      </w:r>
      <w:r w:rsidRPr="005A4439">
        <w:rPr>
          <w:rFonts w:ascii="Cambria Math" w:eastAsia="Calibri" w:hAnsi="Cambria Math"/>
          <w:vertAlign w:val="superscript"/>
        </w:rPr>
        <w:t>b</w:t>
      </w:r>
      <w:r w:rsidRPr="005A4439">
        <w:rPr>
          <w:rFonts w:ascii="Cambria Math" w:eastAsia="Calibri" w:hAnsi="Cambria Math"/>
        </w:rPr>
        <w:t>)</w:t>
      </w:r>
      <w:r w:rsidR="001E239E" w:rsidRPr="005A4439">
        <w:rPr>
          <w:rFonts w:ascii="Cambria Math" w:eastAsia="Calibri" w:hAnsi="Cambria Math"/>
        </w:rPr>
        <w:tab/>
        <w:t>y</w:t>
      </w:r>
    </w:p>
    <w:p w:rsidR="001E239E" w:rsidRPr="005A4439" w:rsidRDefault="00EC000E" w:rsidP="008B625C">
      <w:pPr>
        <w:jc w:val="center"/>
        <w:rPr>
          <w:rFonts w:ascii="Cambria Math" w:eastAsia="Calibri" w:hAnsi="Cambria Math"/>
        </w:rPr>
      </w:pPr>
      <w:proofErr w:type="gramStart"/>
      <w:r w:rsidRPr="005A4439">
        <w:rPr>
          <w:rFonts w:ascii="Cambria Math" w:eastAsia="Calibri" w:hAnsi="Cambria Math"/>
        </w:rPr>
        <w:t>P(</w:t>
      </w:r>
      <w:proofErr w:type="gramEnd"/>
      <w:r w:rsidRPr="005A4439">
        <w:rPr>
          <w:rFonts w:ascii="Cambria Math" w:eastAsia="Calibri" w:hAnsi="Cambria Math"/>
        </w:rPr>
        <w:t>no) = e</w:t>
      </w:r>
      <w:r w:rsidRPr="005A4439">
        <w:rPr>
          <w:rFonts w:ascii="Cambria Math" w:eastAsia="Calibri" w:hAnsi="Cambria Math"/>
          <w:vertAlign w:val="superscript"/>
        </w:rPr>
        <w:t>0</w:t>
      </w:r>
      <w:r w:rsidR="001E239E" w:rsidRPr="005A4439">
        <w:rPr>
          <w:rFonts w:ascii="Cambria Math" w:eastAsia="Calibri" w:hAnsi="Cambria Math"/>
        </w:rPr>
        <w:t xml:space="preserve"> / (1 +e</w:t>
      </w:r>
      <w:r w:rsidR="001E239E" w:rsidRPr="005A4439">
        <w:rPr>
          <w:rFonts w:ascii="Cambria Math" w:eastAsia="Calibri" w:hAnsi="Cambria Math"/>
          <w:vertAlign w:val="superscript"/>
        </w:rPr>
        <w:t>0</w:t>
      </w:r>
      <w:r w:rsidR="001E239E" w:rsidRPr="005A4439">
        <w:rPr>
          <w:rFonts w:ascii="Cambria Math" w:eastAsia="Calibri" w:hAnsi="Cambria Math"/>
        </w:rPr>
        <w:t xml:space="preserve"> ) = </w:t>
      </w:r>
      <w:r w:rsidR="004B0A01" w:rsidRPr="005A4439">
        <w:rPr>
          <w:rFonts w:ascii="Cambria Math" w:eastAsia="Calibri" w:hAnsi="Cambria Math"/>
        </w:rPr>
        <w:t>½</w:t>
      </w:r>
      <w:r w:rsidRPr="005A4439">
        <w:rPr>
          <w:rFonts w:ascii="Cambria Math" w:eastAsia="Calibri" w:hAnsi="Cambria Math"/>
        </w:rPr>
        <w:tab/>
        <w:t>dado que e</w:t>
      </w:r>
      <w:r w:rsidRPr="005A4439">
        <w:rPr>
          <w:rFonts w:ascii="Cambria Math" w:eastAsia="Calibri" w:hAnsi="Cambria Math"/>
          <w:vertAlign w:val="superscript"/>
        </w:rPr>
        <w:t xml:space="preserve">0 </w:t>
      </w:r>
      <w:r w:rsidRPr="005A4439">
        <w:rPr>
          <w:rFonts w:ascii="Cambria Math" w:eastAsia="Calibri" w:hAnsi="Cambria Math"/>
        </w:rPr>
        <w:t>= 1</w:t>
      </w:r>
    </w:p>
    <w:p w:rsidR="001E239E" w:rsidRDefault="00EC000E" w:rsidP="008B625C">
      <w:pPr>
        <w:rPr>
          <w:rFonts w:eastAsia="Calibri"/>
        </w:rPr>
      </w:pPr>
      <w:r>
        <w:rPr>
          <w:rFonts w:eastAsia="Calibri"/>
        </w:rPr>
        <w:t>En particular para la</w:t>
      </w:r>
      <w:r w:rsidR="00135256" w:rsidRPr="00415A55">
        <w:rPr>
          <w:rFonts w:eastAsia="Calibri"/>
        </w:rPr>
        <w:t xml:space="preserve"> variable T, que vale 1 en 2012 y 0 en 2010, esta variable mide el % de incremento de la demanda del servicio en c</w:t>
      </w:r>
      <w:r w:rsidR="003A6AF9">
        <w:rPr>
          <w:rFonts w:eastAsia="Calibri"/>
        </w:rPr>
        <w:t>uestión, que se podría imputar</w:t>
      </w:r>
      <w:r w:rsidR="00135256" w:rsidRPr="00415A55">
        <w:rPr>
          <w:rFonts w:eastAsia="Calibri"/>
        </w:rPr>
        <w:t xml:space="preserve"> </w:t>
      </w:r>
      <w:r w:rsidR="000E7F1E" w:rsidRPr="00415A55">
        <w:rPr>
          <w:rFonts w:eastAsia="Calibri"/>
        </w:rPr>
        <w:t xml:space="preserve">a los efectos del Plan </w:t>
      </w:r>
      <w:r w:rsidR="00A8609D" w:rsidRPr="00415A55">
        <w:rPr>
          <w:rFonts w:eastAsia="Calibri"/>
        </w:rPr>
        <w:t xml:space="preserve">Vive Digital.  </w:t>
      </w:r>
    </w:p>
    <w:p w:rsidR="007700A9" w:rsidRPr="009E4261" w:rsidRDefault="007700A9" w:rsidP="008B625C">
      <w:pPr>
        <w:pStyle w:val="Ttulo3"/>
        <w:numPr>
          <w:ilvl w:val="2"/>
          <w:numId w:val="40"/>
        </w:numPr>
        <w:rPr>
          <w:sz w:val="26"/>
          <w:szCs w:val="26"/>
        </w:rPr>
      </w:pPr>
      <w:r w:rsidRPr="009E4261">
        <w:rPr>
          <w:sz w:val="26"/>
          <w:szCs w:val="26"/>
        </w:rPr>
        <w:t xml:space="preserve">Variables y </w:t>
      </w:r>
      <w:r w:rsidR="005A1F16" w:rsidRPr="009E4261">
        <w:rPr>
          <w:sz w:val="26"/>
          <w:szCs w:val="26"/>
        </w:rPr>
        <w:t>f</w:t>
      </w:r>
      <w:r w:rsidRPr="009E4261">
        <w:rPr>
          <w:sz w:val="26"/>
          <w:szCs w:val="26"/>
        </w:rPr>
        <w:t>uentes de Información para estimar las relaciones de causalidad</w:t>
      </w:r>
      <w:r w:rsidR="000E7F1E" w:rsidRPr="009E4261">
        <w:rPr>
          <w:sz w:val="26"/>
          <w:szCs w:val="26"/>
        </w:rPr>
        <w:t>.</w:t>
      </w:r>
    </w:p>
    <w:p w:rsidR="007700A9" w:rsidRPr="00A8609D" w:rsidRDefault="007700A9" w:rsidP="008B625C">
      <w:pPr>
        <w:rPr>
          <w:rFonts w:eastAsia="Calibri" w:cs="Times New Roman"/>
        </w:rPr>
      </w:pPr>
      <w:r w:rsidRPr="00A8609D">
        <w:rPr>
          <w:rFonts w:eastAsia="Calibri" w:cs="Times New Roman"/>
        </w:rPr>
        <w:t xml:space="preserve">Para probar la posible influencia del </w:t>
      </w:r>
      <w:r w:rsidR="00A32ADE">
        <w:rPr>
          <w:rFonts w:eastAsia="Calibri" w:cs="Times New Roman"/>
        </w:rPr>
        <w:t>Plan</w:t>
      </w:r>
      <w:r w:rsidRPr="00A8609D">
        <w:rPr>
          <w:rFonts w:eastAsia="Calibri" w:cs="Times New Roman"/>
        </w:rPr>
        <w:t xml:space="preserve"> </w:t>
      </w:r>
      <w:r w:rsidR="009745F3">
        <w:rPr>
          <w:rFonts w:eastAsia="Calibri" w:cs="Times New Roman"/>
        </w:rPr>
        <w:t>Vive Digital</w:t>
      </w:r>
      <w:r w:rsidRPr="00A8609D">
        <w:rPr>
          <w:rFonts w:eastAsia="Calibri" w:cs="Times New Roman"/>
        </w:rPr>
        <w:t xml:space="preserve"> sobre la demanda de bienes o servicios de las </w:t>
      </w:r>
      <w:r w:rsidR="00CA2DED">
        <w:rPr>
          <w:rFonts w:eastAsia="Calibri" w:cs="Times New Roman"/>
        </w:rPr>
        <w:t>TIC</w:t>
      </w:r>
      <w:r w:rsidRPr="00A8609D">
        <w:rPr>
          <w:rFonts w:eastAsia="Calibri" w:cs="Times New Roman"/>
        </w:rPr>
        <w:t xml:space="preserve"> consideradas (servicios de Internet Fijo, Tel</w:t>
      </w:r>
      <w:r w:rsidR="00E32488">
        <w:rPr>
          <w:rFonts w:eastAsia="Calibri" w:cs="Times New Roman"/>
        </w:rPr>
        <w:t>evisión por Suscripción, Telefonía Móvil</w:t>
      </w:r>
      <w:r w:rsidRPr="00A8609D">
        <w:rPr>
          <w:rFonts w:eastAsia="Calibri" w:cs="Times New Roman"/>
        </w:rPr>
        <w:t xml:space="preserve"> y Telefonía Fija) se tomará el año 2010, como la situación antes del </w:t>
      </w:r>
      <w:r w:rsidR="00F45AD7">
        <w:rPr>
          <w:rFonts w:eastAsia="Calibri" w:cs="Times New Roman"/>
        </w:rPr>
        <w:t>Plan</w:t>
      </w:r>
      <w:r w:rsidRPr="00A8609D">
        <w:rPr>
          <w:rFonts w:eastAsia="Calibri" w:cs="Times New Roman"/>
        </w:rPr>
        <w:t xml:space="preserve"> y la situación en el año 2012 como la situación después del </w:t>
      </w:r>
      <w:r w:rsidR="00F45AD7">
        <w:rPr>
          <w:rFonts w:eastAsia="Calibri" w:cs="Times New Roman"/>
        </w:rPr>
        <w:t>Plan</w:t>
      </w:r>
      <w:r w:rsidRPr="00A8609D">
        <w:rPr>
          <w:rFonts w:eastAsia="Calibri" w:cs="Times New Roman"/>
        </w:rPr>
        <w:t>. La unidad  de observación es el hogar.</w:t>
      </w:r>
    </w:p>
    <w:p w:rsidR="007700A9" w:rsidRPr="00A8609D" w:rsidRDefault="007700A9" w:rsidP="008B625C">
      <w:pPr>
        <w:rPr>
          <w:rFonts w:eastAsia="Calibri" w:cs="Times New Roman"/>
        </w:rPr>
      </w:pPr>
      <w:r w:rsidRPr="00A8609D">
        <w:rPr>
          <w:rFonts w:eastAsia="Calibri" w:cs="Times New Roman"/>
        </w:rPr>
        <w:t>La especificación del modelo para medir impactos es la siguiente:</w:t>
      </w:r>
    </w:p>
    <w:p w:rsidR="007700A9" w:rsidRPr="00A8609D" w:rsidRDefault="007700A9" w:rsidP="008B625C">
      <w:pPr>
        <w:rPr>
          <w:rFonts w:eastAsia="Calibri" w:cs="Times New Roman"/>
        </w:rPr>
      </w:pPr>
      <w:r w:rsidRPr="00A8609D">
        <w:rPr>
          <w:rFonts w:eastAsia="Calibri" w:cs="Times New Roman"/>
        </w:rPr>
        <w:t xml:space="preserve">El </w:t>
      </w:r>
      <w:r w:rsidR="00F45AD7">
        <w:rPr>
          <w:rFonts w:eastAsia="Calibri" w:cs="Times New Roman"/>
        </w:rPr>
        <w:t>u</w:t>
      </w:r>
      <w:r w:rsidRPr="00A8609D">
        <w:rPr>
          <w:rFonts w:eastAsia="Calibri" w:cs="Times New Roman"/>
        </w:rPr>
        <w:t xml:space="preserve">niverso de hogares demandantes se desagrega en tres </w:t>
      </w:r>
      <w:r w:rsidR="00F45AD7">
        <w:rPr>
          <w:rFonts w:eastAsia="Calibri" w:cs="Times New Roman"/>
        </w:rPr>
        <w:t>d</w:t>
      </w:r>
      <w:r w:rsidRPr="00A8609D">
        <w:rPr>
          <w:rFonts w:eastAsia="Calibri" w:cs="Times New Roman"/>
        </w:rPr>
        <w:t xml:space="preserve">ominios: </w:t>
      </w:r>
    </w:p>
    <w:p w:rsidR="007700A9" w:rsidRPr="00A8609D" w:rsidRDefault="007700A9" w:rsidP="008B625C">
      <w:pPr>
        <w:numPr>
          <w:ilvl w:val="0"/>
          <w:numId w:val="5"/>
        </w:numPr>
        <w:rPr>
          <w:rFonts w:eastAsia="Times New Roman" w:cs="Times New Roman"/>
          <w:lang w:eastAsia="es-CO"/>
        </w:rPr>
      </w:pPr>
      <w:r w:rsidRPr="00A8609D">
        <w:rPr>
          <w:rFonts w:eastAsia="Times New Roman" w:cs="Times New Roman"/>
          <w:lang w:eastAsia="es-CO"/>
        </w:rPr>
        <w:t>Cabeceras Municipales</w:t>
      </w:r>
    </w:p>
    <w:p w:rsidR="007700A9" w:rsidRPr="00A8609D" w:rsidRDefault="007700A9" w:rsidP="008B625C">
      <w:pPr>
        <w:numPr>
          <w:ilvl w:val="0"/>
          <w:numId w:val="5"/>
        </w:numPr>
        <w:rPr>
          <w:rFonts w:eastAsia="Times New Roman" w:cs="Times New Roman"/>
          <w:lang w:eastAsia="es-CO"/>
        </w:rPr>
      </w:pPr>
      <w:r w:rsidRPr="00A8609D">
        <w:rPr>
          <w:rFonts w:eastAsia="Times New Roman" w:cs="Times New Roman"/>
          <w:lang w:eastAsia="es-CO"/>
        </w:rPr>
        <w:t>Centros poblados</w:t>
      </w:r>
      <w:r w:rsidR="002109F6">
        <w:rPr>
          <w:rFonts w:eastAsia="Times New Roman" w:cs="Times New Roman"/>
          <w:lang w:eastAsia="es-CO"/>
        </w:rPr>
        <w:t xml:space="preserve"> menores</w:t>
      </w:r>
      <w:r w:rsidRPr="00A8609D">
        <w:rPr>
          <w:rFonts w:eastAsia="Times New Roman" w:cs="Times New Roman"/>
          <w:lang w:eastAsia="es-CO"/>
        </w:rPr>
        <w:t xml:space="preserve"> o inspecciones de policía</w:t>
      </w:r>
    </w:p>
    <w:p w:rsidR="007700A9" w:rsidRPr="00A8609D" w:rsidRDefault="002109F6" w:rsidP="004F1B17">
      <w:pPr>
        <w:numPr>
          <w:ilvl w:val="0"/>
          <w:numId w:val="5"/>
        </w:numPr>
        <w:ind w:left="714" w:hanging="357"/>
        <w:rPr>
          <w:rFonts w:eastAsia="Times New Roman" w:cs="Times New Roman"/>
          <w:lang w:eastAsia="es-CO"/>
        </w:rPr>
      </w:pPr>
      <w:r>
        <w:rPr>
          <w:rFonts w:eastAsia="Times New Roman" w:cs="Times New Roman"/>
          <w:lang w:eastAsia="es-CO"/>
        </w:rPr>
        <w:lastRenderedPageBreak/>
        <w:t>Área</w:t>
      </w:r>
      <w:r w:rsidR="007700A9" w:rsidRPr="00A8609D">
        <w:rPr>
          <w:rFonts w:eastAsia="Times New Roman" w:cs="Times New Roman"/>
          <w:lang w:eastAsia="es-CO"/>
        </w:rPr>
        <w:t xml:space="preserve"> rural dispersa.</w:t>
      </w:r>
    </w:p>
    <w:p w:rsidR="007700A9" w:rsidRPr="00A8609D" w:rsidRDefault="007700A9" w:rsidP="004F1B17">
      <w:pPr>
        <w:rPr>
          <w:rFonts w:eastAsia="Calibri" w:cs="Times New Roman"/>
        </w:rPr>
      </w:pPr>
      <w:r w:rsidRPr="00A8609D">
        <w:rPr>
          <w:rFonts w:eastAsia="Calibri" w:cs="Times New Roman"/>
        </w:rPr>
        <w:t>De esta manera se podrá examinar el impacto en estos tres dominios del universo, como un indicador de concentración/dispersión de la demanda</w:t>
      </w:r>
    </w:p>
    <w:p w:rsidR="007700A9" w:rsidRPr="00A8609D" w:rsidRDefault="007700A9" w:rsidP="004F1B17">
      <w:pPr>
        <w:rPr>
          <w:rFonts w:eastAsia="Calibri" w:cs="Times New Roman"/>
        </w:rPr>
      </w:pPr>
      <w:r w:rsidRPr="00A8609D">
        <w:rPr>
          <w:rFonts w:eastAsia="Calibri" w:cs="Times New Roman"/>
        </w:rPr>
        <w:t>Por otro lado, los modelos de demanda  identifican todas las variables de la encuesta de hogares que desde un punto de vista conceptual influyen sobre las decisiones de demanda de los hogares. Teniendo en cuenta el diccionario de variables de la encuesta a nivel de hogares, la siguiente es la lista de variables que incluye el modelo, para cada dominio de la muestra:</w:t>
      </w:r>
    </w:p>
    <w:p w:rsidR="007700A9" w:rsidRPr="00D61C98" w:rsidRDefault="00D61C98" w:rsidP="004F1B17">
      <w:pPr>
        <w:pStyle w:val="Prrafodelista"/>
        <w:numPr>
          <w:ilvl w:val="0"/>
          <w:numId w:val="8"/>
        </w:numPr>
        <w:contextualSpacing w:val="0"/>
        <w:rPr>
          <w:rFonts w:ascii="Century Gothic" w:eastAsia="Calibri" w:hAnsi="Century Gothic"/>
          <w:color w:val="404040" w:themeColor="text1" w:themeTint="BF"/>
        </w:rPr>
      </w:pPr>
      <w:r w:rsidRPr="00D61C98">
        <w:rPr>
          <w:rFonts w:ascii="Century Gothic" w:eastAsia="Calibri" w:hAnsi="Century Gothic"/>
          <w:color w:val="404040" w:themeColor="text1" w:themeTint="BF"/>
        </w:rPr>
        <w:t>Región</w:t>
      </w:r>
    </w:p>
    <w:p w:rsidR="007700A9" w:rsidRPr="00A8609D" w:rsidRDefault="007700A9" w:rsidP="004F1B17">
      <w:pPr>
        <w:rPr>
          <w:rFonts w:eastAsia="Calibri" w:cs="Times New Roman"/>
        </w:rPr>
      </w:pPr>
      <w:r w:rsidRPr="00A8609D">
        <w:rPr>
          <w:rFonts w:eastAsia="Calibri" w:cs="Times New Roman"/>
        </w:rPr>
        <w:t>Esta variable permite identificar si hay efectos fijos de la región en que vive el hogar en cada uno de los dominios considerados. Se identifican las siguientes ocho (8) regiones</w:t>
      </w:r>
      <w:r w:rsidR="00F63654" w:rsidRPr="00A8609D">
        <w:rPr>
          <w:rFonts w:eastAsia="Calibri" w:cs="Times New Roman"/>
        </w:rPr>
        <w:t>, tomando a Bogotá D.C. como referencia</w:t>
      </w:r>
      <w:r w:rsidR="001653EA">
        <w:rPr>
          <w:rFonts w:eastAsia="Calibri" w:cs="Times New Roman"/>
        </w:rPr>
        <w:t xml:space="preserve">: A cada hogar se le asigna el valor 1 a la región donde vive y </w:t>
      </w:r>
      <w:r w:rsidR="003B68F6">
        <w:rPr>
          <w:rFonts w:eastAsia="Calibri" w:cs="Times New Roman"/>
        </w:rPr>
        <w:t>0</w:t>
      </w:r>
      <w:r w:rsidR="001653EA">
        <w:rPr>
          <w:rFonts w:eastAsia="Calibri" w:cs="Times New Roman"/>
        </w:rPr>
        <w:t xml:space="preserve"> a todas las otras regiones. </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Atlántica</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Oriental</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Central</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Pacífica</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Antioquia</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Valle</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Santanderes</w:t>
      </w:r>
    </w:p>
    <w:p w:rsidR="00A97260" w:rsidRPr="00A8609D" w:rsidRDefault="00D61C98" w:rsidP="004F1B17">
      <w:pPr>
        <w:numPr>
          <w:ilvl w:val="0"/>
          <w:numId w:val="6"/>
        </w:numPr>
        <w:ind w:left="714" w:hanging="357"/>
        <w:rPr>
          <w:rFonts w:eastAsia="Times New Roman" w:cs="Times New Roman"/>
          <w:lang w:eastAsia="es-CO"/>
        </w:rPr>
      </w:pPr>
      <w:r>
        <w:rPr>
          <w:rFonts w:eastAsia="Times New Roman" w:cs="Times New Roman"/>
          <w:lang w:eastAsia="es-CO"/>
        </w:rPr>
        <w:t>Orinoquia - Amazonia</w:t>
      </w:r>
    </w:p>
    <w:p w:rsidR="007700A9" w:rsidRPr="00D61C98" w:rsidRDefault="00D61C98" w:rsidP="004F1B17">
      <w:pPr>
        <w:pStyle w:val="Prrafodelista"/>
        <w:numPr>
          <w:ilvl w:val="0"/>
          <w:numId w:val="8"/>
        </w:numPr>
        <w:contextualSpacing w:val="0"/>
        <w:rPr>
          <w:rFonts w:ascii="Century Gothic" w:eastAsia="Calibri" w:hAnsi="Century Gothic"/>
          <w:color w:val="404040" w:themeColor="text1" w:themeTint="BF"/>
        </w:rPr>
      </w:pPr>
      <w:r>
        <w:rPr>
          <w:rFonts w:ascii="Century Gothic" w:eastAsia="Calibri" w:hAnsi="Century Gothic"/>
          <w:color w:val="404040" w:themeColor="text1" w:themeTint="BF"/>
        </w:rPr>
        <w:t>Educación</w:t>
      </w:r>
    </w:p>
    <w:p w:rsidR="007700A9" w:rsidRPr="00A8609D" w:rsidRDefault="007700A9" w:rsidP="004F1B17">
      <w:pPr>
        <w:rPr>
          <w:rFonts w:eastAsia="Calibri" w:cs="Times New Roman"/>
        </w:rPr>
      </w:pPr>
      <w:r w:rsidRPr="00A8609D">
        <w:rPr>
          <w:rFonts w:eastAsia="Calibri" w:cs="Times New Roman"/>
        </w:rPr>
        <w:t>Esta pregunta permite identificar el efecto de la escolaridad alcanzada sobre la demanda.</w:t>
      </w:r>
      <w:r w:rsidR="005A4439">
        <w:rPr>
          <w:rFonts w:eastAsia="Calibri" w:cs="Times New Roman"/>
        </w:rPr>
        <w:t xml:space="preserve"> </w:t>
      </w:r>
      <w:r w:rsidRPr="00A8609D">
        <w:rPr>
          <w:rFonts w:eastAsia="Calibri" w:cs="Times New Roman"/>
        </w:rPr>
        <w:t>La pregunta es: ¿Existe (si o no) e</w:t>
      </w:r>
      <w:r w:rsidR="00D61C98">
        <w:rPr>
          <w:rFonts w:eastAsia="Calibri" w:cs="Times New Roman"/>
        </w:rPr>
        <w:t xml:space="preserve">n el  Hogar algún miembro con…? </w:t>
      </w:r>
      <w:r w:rsidRPr="00A8609D">
        <w:rPr>
          <w:rFonts w:eastAsia="Calibri" w:cs="Times New Roman"/>
        </w:rPr>
        <w:t>Se identifican los siguientes cuatro (4) niveles:</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Educación Básica (1 a 9 años de escolaridad)</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lastRenderedPageBreak/>
        <w:t>Educación Media (10 a 11 años)</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Educación Técnica o Tecnológica (12 a 14)</w:t>
      </w:r>
    </w:p>
    <w:p w:rsidR="0021564F"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Educación Superior (15 años o más de escolaridad).</w:t>
      </w:r>
    </w:p>
    <w:p w:rsidR="001653EA" w:rsidRDefault="001653EA" w:rsidP="004F1B17">
      <w:pPr>
        <w:rPr>
          <w:rFonts w:eastAsia="Calibri" w:cs="Times New Roman"/>
        </w:rPr>
      </w:pPr>
      <w:r>
        <w:rPr>
          <w:rFonts w:eastAsia="Calibri" w:cs="Times New Roman"/>
        </w:rPr>
        <w:t>En</w:t>
      </w:r>
      <w:r w:rsidRPr="001653EA">
        <w:rPr>
          <w:rFonts w:eastAsia="Calibri" w:cs="Times New Roman"/>
        </w:rPr>
        <w:t xml:space="preserve"> cada hogar se </w:t>
      </w:r>
      <w:proofErr w:type="gramStart"/>
      <w:r w:rsidRPr="001653EA">
        <w:rPr>
          <w:rFonts w:eastAsia="Calibri" w:cs="Times New Roman"/>
        </w:rPr>
        <w:t>le</w:t>
      </w:r>
      <w:proofErr w:type="gramEnd"/>
      <w:r w:rsidRPr="001653EA">
        <w:rPr>
          <w:rFonts w:eastAsia="Calibri" w:cs="Times New Roman"/>
        </w:rPr>
        <w:t xml:space="preserve"> asigna el valor 1</w:t>
      </w:r>
      <w:r>
        <w:rPr>
          <w:rFonts w:eastAsia="Calibri" w:cs="Times New Roman"/>
        </w:rPr>
        <w:t xml:space="preserve"> a todos los niveles</w:t>
      </w:r>
      <w:r w:rsidR="00E32488">
        <w:rPr>
          <w:rFonts w:eastAsia="Calibri" w:cs="Times New Roman"/>
        </w:rPr>
        <w:t xml:space="preserve"> de escolaridad</w:t>
      </w:r>
      <w:r>
        <w:rPr>
          <w:rFonts w:eastAsia="Calibri" w:cs="Times New Roman"/>
        </w:rPr>
        <w:t xml:space="preserve"> donde haya</w:t>
      </w:r>
      <w:r w:rsidR="00E32488">
        <w:rPr>
          <w:rFonts w:eastAsia="Calibri" w:cs="Times New Roman"/>
        </w:rPr>
        <w:t xml:space="preserve"> al menos una</w:t>
      </w:r>
      <w:r>
        <w:rPr>
          <w:rFonts w:eastAsia="Calibri" w:cs="Times New Roman"/>
        </w:rPr>
        <w:t xml:space="preserve"> per</w:t>
      </w:r>
      <w:r w:rsidR="00E32488">
        <w:rPr>
          <w:rFonts w:eastAsia="Calibri" w:cs="Times New Roman"/>
        </w:rPr>
        <w:t>sona del hogar</w:t>
      </w:r>
      <w:r>
        <w:rPr>
          <w:rFonts w:eastAsia="Calibri" w:cs="Times New Roman"/>
        </w:rPr>
        <w:t xml:space="preserve"> y </w:t>
      </w:r>
      <w:r w:rsidR="00F45AD7">
        <w:rPr>
          <w:rFonts w:eastAsia="Calibri" w:cs="Times New Roman"/>
        </w:rPr>
        <w:t>0</w:t>
      </w:r>
      <w:r>
        <w:rPr>
          <w:rFonts w:eastAsia="Calibri" w:cs="Times New Roman"/>
        </w:rPr>
        <w:t xml:space="preserve"> a todos los niveles de e</w:t>
      </w:r>
      <w:r w:rsidR="00E32488">
        <w:rPr>
          <w:rFonts w:eastAsia="Calibri" w:cs="Times New Roman"/>
        </w:rPr>
        <w:t>s</w:t>
      </w:r>
      <w:r>
        <w:rPr>
          <w:rFonts w:eastAsia="Calibri" w:cs="Times New Roman"/>
        </w:rPr>
        <w:t>colaridad</w:t>
      </w:r>
      <w:r w:rsidR="00E32488">
        <w:rPr>
          <w:rFonts w:eastAsia="Calibri" w:cs="Times New Roman"/>
        </w:rPr>
        <w:t xml:space="preserve"> donde no haya ninguna persona del hogar. </w:t>
      </w:r>
    </w:p>
    <w:p w:rsidR="007700A9" w:rsidRPr="00D61C98" w:rsidRDefault="00D61C98" w:rsidP="004F1B17">
      <w:pPr>
        <w:pStyle w:val="Prrafodelista"/>
        <w:numPr>
          <w:ilvl w:val="0"/>
          <w:numId w:val="8"/>
        </w:numPr>
        <w:contextualSpacing w:val="0"/>
        <w:rPr>
          <w:rFonts w:ascii="Century Gothic" w:eastAsia="Calibri" w:hAnsi="Century Gothic"/>
          <w:color w:val="404040" w:themeColor="text1" w:themeTint="BF"/>
        </w:rPr>
      </w:pPr>
      <w:r>
        <w:rPr>
          <w:rFonts w:ascii="Century Gothic" w:eastAsia="Calibri" w:hAnsi="Century Gothic"/>
          <w:color w:val="404040" w:themeColor="text1" w:themeTint="BF"/>
        </w:rPr>
        <w:t>Edad</w:t>
      </w:r>
    </w:p>
    <w:p w:rsidR="007700A9" w:rsidRPr="00A8609D" w:rsidRDefault="007700A9" w:rsidP="004F1B17">
      <w:pPr>
        <w:rPr>
          <w:rFonts w:eastAsia="Calibri" w:cs="Times New Roman"/>
        </w:rPr>
      </w:pPr>
      <w:r w:rsidRPr="00A8609D">
        <w:rPr>
          <w:rFonts w:eastAsia="Calibri" w:cs="Times New Roman"/>
        </w:rPr>
        <w:t>Esta pregunta permite identificar el efecto de la edad sobre la demanda. La pregunta es: ¿Existe (si o no) en el  Hogar algún miembro en el rango de……?. Se identifican los siguientes cuatro (4) rangos:</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7 a 17 años</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18 a 34 años</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35 a 59 años</w:t>
      </w:r>
    </w:p>
    <w:p w:rsidR="007700A9" w:rsidRDefault="00D61C98" w:rsidP="004F1B17">
      <w:pPr>
        <w:numPr>
          <w:ilvl w:val="0"/>
          <w:numId w:val="6"/>
        </w:numPr>
        <w:ind w:left="714" w:hanging="357"/>
        <w:rPr>
          <w:rFonts w:eastAsia="Times New Roman" w:cs="Times New Roman"/>
          <w:lang w:eastAsia="es-CO"/>
        </w:rPr>
      </w:pPr>
      <w:r>
        <w:rPr>
          <w:rFonts w:eastAsia="Times New Roman" w:cs="Times New Roman"/>
          <w:lang w:eastAsia="es-CO"/>
        </w:rPr>
        <w:t>60 o más años</w:t>
      </w:r>
    </w:p>
    <w:p w:rsidR="00732AA1" w:rsidRPr="00E32488" w:rsidRDefault="00E32488" w:rsidP="004F1B17">
      <w:pPr>
        <w:rPr>
          <w:rFonts w:eastAsia="Calibri" w:cs="Times New Roman"/>
        </w:rPr>
      </w:pPr>
      <w:r>
        <w:rPr>
          <w:rFonts w:eastAsia="Calibri" w:cs="Times New Roman"/>
        </w:rPr>
        <w:t>Lo mismo que e</w:t>
      </w:r>
      <w:r w:rsidRPr="00E32488">
        <w:rPr>
          <w:rFonts w:eastAsia="Calibri" w:cs="Times New Roman"/>
        </w:rPr>
        <w:t>n</w:t>
      </w:r>
      <w:r>
        <w:rPr>
          <w:rFonts w:eastAsia="Calibri" w:cs="Times New Roman"/>
        </w:rPr>
        <w:t xml:space="preserve"> el caso anterior, a</w:t>
      </w:r>
      <w:r w:rsidRPr="00E32488">
        <w:rPr>
          <w:rFonts w:eastAsia="Calibri" w:cs="Times New Roman"/>
        </w:rPr>
        <w:t xml:space="preserve"> cada hogar se le asigna el valor 1 a todos los</w:t>
      </w:r>
      <w:r>
        <w:rPr>
          <w:rFonts w:eastAsia="Calibri" w:cs="Times New Roman"/>
        </w:rPr>
        <w:t xml:space="preserve"> rangos de edad</w:t>
      </w:r>
      <w:r w:rsidRPr="00E32488">
        <w:rPr>
          <w:rFonts w:eastAsia="Calibri" w:cs="Times New Roman"/>
        </w:rPr>
        <w:t xml:space="preserve"> donde haya al</w:t>
      </w:r>
      <w:r w:rsidR="005A1F16">
        <w:rPr>
          <w:rFonts w:eastAsia="Calibri" w:cs="Times New Roman"/>
        </w:rPr>
        <w:t xml:space="preserve"> menos una persona del hogar y 0</w:t>
      </w:r>
      <w:r w:rsidRPr="00E32488">
        <w:rPr>
          <w:rFonts w:eastAsia="Calibri" w:cs="Times New Roman"/>
        </w:rPr>
        <w:t xml:space="preserve"> a tod</w:t>
      </w:r>
      <w:r>
        <w:rPr>
          <w:rFonts w:eastAsia="Calibri" w:cs="Times New Roman"/>
        </w:rPr>
        <w:t>os los rangos de edad</w:t>
      </w:r>
      <w:r w:rsidRPr="00E32488">
        <w:rPr>
          <w:rFonts w:eastAsia="Calibri" w:cs="Times New Roman"/>
        </w:rPr>
        <w:t xml:space="preserve"> donde no haya ninguna persona del hogar. </w:t>
      </w:r>
    </w:p>
    <w:p w:rsidR="007700A9" w:rsidRPr="00D61C98" w:rsidRDefault="00D61C98" w:rsidP="004F1B17">
      <w:pPr>
        <w:pStyle w:val="Prrafodelista"/>
        <w:numPr>
          <w:ilvl w:val="0"/>
          <w:numId w:val="8"/>
        </w:numPr>
        <w:contextualSpacing w:val="0"/>
        <w:rPr>
          <w:rFonts w:ascii="Century Gothic" w:eastAsia="Calibri" w:hAnsi="Century Gothic"/>
          <w:color w:val="404040" w:themeColor="text1" w:themeTint="BF"/>
        </w:rPr>
      </w:pPr>
      <w:r>
        <w:rPr>
          <w:rFonts w:ascii="Century Gothic" w:eastAsia="Calibri" w:hAnsi="Century Gothic"/>
          <w:color w:val="404040" w:themeColor="text1" w:themeTint="BF"/>
        </w:rPr>
        <w:t>Ingreso del hogar</w:t>
      </w:r>
    </w:p>
    <w:p w:rsidR="00A97260" w:rsidRPr="00A8609D" w:rsidRDefault="007700A9" w:rsidP="004F1B17">
      <w:pPr>
        <w:rPr>
          <w:rFonts w:eastAsia="Calibri" w:cs="Times New Roman"/>
        </w:rPr>
      </w:pPr>
      <w:r w:rsidRPr="00A8609D">
        <w:rPr>
          <w:rFonts w:eastAsia="Calibri" w:cs="Times New Roman"/>
        </w:rPr>
        <w:t>Esta variable es la suma de los ingresos de todos los miembros del h</w:t>
      </w:r>
      <w:r w:rsidR="00732AA1">
        <w:rPr>
          <w:rFonts w:eastAsia="Calibri" w:cs="Times New Roman"/>
        </w:rPr>
        <w:t>ogar (medidos  en Millones de $</w:t>
      </w:r>
      <w:r w:rsidRPr="00A8609D">
        <w:rPr>
          <w:rFonts w:eastAsia="Calibri" w:cs="Times New Roman"/>
        </w:rPr>
        <w:t>/mes), la cual permite identificar  el efecto del ingreso familiar sobre la demanda, que es la barrera económica más  importante. Dado que la demanda por este tipo de bienes y servicios ha sido demostrado en muchos estudios que tiende a ser, en general, bastante inelástica al precio, el Ingreso se convierte en prácticamente la única variable económica que recoge todas las restricciones económicas para este tipo de demanda.</w:t>
      </w:r>
    </w:p>
    <w:p w:rsidR="007700A9" w:rsidRPr="00D61C98" w:rsidRDefault="007700A9" w:rsidP="004F1B17">
      <w:pPr>
        <w:pStyle w:val="Prrafodelista"/>
        <w:numPr>
          <w:ilvl w:val="0"/>
          <w:numId w:val="8"/>
        </w:numPr>
        <w:contextualSpacing w:val="0"/>
        <w:rPr>
          <w:rFonts w:ascii="Century Gothic" w:eastAsia="Calibri" w:hAnsi="Century Gothic"/>
          <w:color w:val="404040" w:themeColor="text1" w:themeTint="BF"/>
        </w:rPr>
      </w:pPr>
      <w:r w:rsidRPr="00D61C98">
        <w:rPr>
          <w:rFonts w:ascii="Century Gothic" w:eastAsia="Calibri" w:hAnsi="Century Gothic"/>
          <w:color w:val="404040" w:themeColor="text1" w:themeTint="BF"/>
        </w:rPr>
        <w:t xml:space="preserve">Indicador de situación antes y después del </w:t>
      </w:r>
      <w:r w:rsidR="00245D35">
        <w:rPr>
          <w:rFonts w:ascii="Century Gothic" w:eastAsia="Calibri" w:hAnsi="Century Gothic"/>
          <w:color w:val="404040" w:themeColor="text1" w:themeTint="BF"/>
        </w:rPr>
        <w:t>Plan</w:t>
      </w:r>
      <w:r w:rsidRPr="00D61C98">
        <w:rPr>
          <w:rFonts w:ascii="Century Gothic" w:eastAsia="Calibri" w:hAnsi="Century Gothic"/>
          <w:color w:val="404040" w:themeColor="text1" w:themeTint="BF"/>
        </w:rPr>
        <w:t xml:space="preserve"> Vive Digital</w:t>
      </w:r>
    </w:p>
    <w:p w:rsidR="003A6AF9" w:rsidRDefault="007700A9" w:rsidP="004F1B17">
      <w:pPr>
        <w:rPr>
          <w:rFonts w:eastAsia="Calibri" w:cs="Times New Roman"/>
        </w:rPr>
      </w:pPr>
      <w:r w:rsidRPr="00A8609D">
        <w:rPr>
          <w:rFonts w:eastAsia="Calibri" w:cs="Times New Roman"/>
        </w:rPr>
        <w:t xml:space="preserve">Finalmente, se incluye una variable </w:t>
      </w:r>
      <w:r w:rsidR="00732AA1" w:rsidRPr="00A222A3">
        <w:rPr>
          <w:rFonts w:eastAsia="Calibri" w:cs="Times New Roman"/>
        </w:rPr>
        <w:t>T</w:t>
      </w:r>
      <w:r w:rsidR="00732AA1">
        <w:rPr>
          <w:rFonts w:eastAsia="Calibri" w:cs="Times New Roman"/>
          <w:b/>
        </w:rPr>
        <w:t xml:space="preserve"> </w:t>
      </w:r>
      <w:r w:rsidR="00732AA1">
        <w:rPr>
          <w:rFonts w:eastAsia="Calibri" w:cs="Times New Roman"/>
        </w:rPr>
        <w:t xml:space="preserve">(= 1 en 2012, </w:t>
      </w:r>
      <w:r w:rsidRPr="00A8609D">
        <w:rPr>
          <w:rFonts w:eastAsia="Calibri" w:cs="Times New Roman"/>
        </w:rPr>
        <w:t xml:space="preserve">= 0 en 2010), que permite medir el efecto de otras variables que han influido en este período sobre la demanda de bienes y </w:t>
      </w:r>
      <w:r w:rsidRPr="00A8609D">
        <w:rPr>
          <w:rFonts w:eastAsia="Calibri" w:cs="Times New Roman"/>
        </w:rPr>
        <w:lastRenderedPageBreak/>
        <w:t xml:space="preserve">servicios del sector, no consideradas como atributos de los hogares demandantes, pero que influyen sobre su consumo. Esta es la variable clave para medir el impacto del </w:t>
      </w:r>
      <w:r w:rsidR="00245D35">
        <w:rPr>
          <w:rFonts w:eastAsia="Calibri" w:cs="Times New Roman"/>
        </w:rPr>
        <w:t>Plan</w:t>
      </w:r>
      <w:r w:rsidRPr="00A8609D">
        <w:rPr>
          <w:rFonts w:eastAsia="Calibri" w:cs="Times New Roman"/>
        </w:rPr>
        <w:t xml:space="preserve"> </w:t>
      </w:r>
      <w:r w:rsidR="009745F3">
        <w:rPr>
          <w:rFonts w:eastAsia="Calibri" w:cs="Times New Roman"/>
        </w:rPr>
        <w:t>Vive Digital</w:t>
      </w:r>
      <w:r w:rsidRPr="00A8609D">
        <w:rPr>
          <w:rFonts w:eastAsia="Calibri" w:cs="Times New Roman"/>
        </w:rPr>
        <w:t>.</w:t>
      </w:r>
    </w:p>
    <w:p w:rsidR="00A97260" w:rsidRPr="00D61C98" w:rsidRDefault="007700A9" w:rsidP="004F1B17">
      <w:pPr>
        <w:pStyle w:val="Prrafodelista"/>
        <w:numPr>
          <w:ilvl w:val="0"/>
          <w:numId w:val="8"/>
        </w:numPr>
        <w:contextualSpacing w:val="0"/>
        <w:rPr>
          <w:rFonts w:ascii="Century Gothic" w:eastAsia="Calibri" w:hAnsi="Century Gothic"/>
          <w:color w:val="404040" w:themeColor="text1" w:themeTint="BF"/>
        </w:rPr>
      </w:pPr>
      <w:r w:rsidRPr="00D61C98">
        <w:rPr>
          <w:rFonts w:ascii="Century Gothic" w:eastAsia="Calibri" w:hAnsi="Century Gothic"/>
          <w:color w:val="404040" w:themeColor="text1" w:themeTint="BF"/>
        </w:rPr>
        <w:t>Variables dependientes del análisis</w:t>
      </w:r>
    </w:p>
    <w:p w:rsidR="007700A9" w:rsidRPr="00A8609D" w:rsidRDefault="00A97260" w:rsidP="004F1B17">
      <w:pPr>
        <w:rPr>
          <w:rFonts w:eastAsia="Calibri" w:cs="Times New Roman"/>
          <w:b/>
        </w:rPr>
      </w:pPr>
      <w:r w:rsidRPr="00A8609D">
        <w:rPr>
          <w:rFonts w:eastAsia="Calibri" w:cs="Times New Roman"/>
        </w:rPr>
        <w:t>Con el anterior conjunto de variables</w:t>
      </w:r>
      <w:r w:rsidRPr="00A8609D">
        <w:rPr>
          <w:rFonts w:eastAsia="Calibri" w:cs="Times New Roman"/>
          <w:b/>
        </w:rPr>
        <w:t xml:space="preserve"> </w:t>
      </w:r>
      <w:r w:rsidRPr="00A8609D">
        <w:rPr>
          <w:rFonts w:eastAsia="Calibri" w:cs="Times New Roman"/>
        </w:rPr>
        <w:t>se estimó</w:t>
      </w:r>
      <w:r w:rsidR="007700A9" w:rsidRPr="00A8609D">
        <w:rPr>
          <w:rFonts w:eastAsia="Calibri" w:cs="Times New Roman"/>
        </w:rPr>
        <w:t xml:space="preserve"> la demanda por cuatro productos TIC, incluidos en el diccionario de variables investigadas a través de las Encuestas de Calidad de Vida del DANE</w:t>
      </w:r>
      <w:r w:rsidR="00E32488">
        <w:rPr>
          <w:rFonts w:eastAsia="Calibri" w:cs="Times New Roman"/>
        </w:rPr>
        <w:t>, en el siguiente orden</w:t>
      </w:r>
      <w:r w:rsidR="007700A9" w:rsidRPr="00A8609D">
        <w:rPr>
          <w:rFonts w:eastAsia="Calibri" w:cs="Times New Roman"/>
        </w:rPr>
        <w:t>:</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Telefonía fija</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 xml:space="preserve">Telefonía </w:t>
      </w:r>
      <w:r w:rsidR="00E32488">
        <w:rPr>
          <w:rFonts w:eastAsia="Times New Roman" w:cs="Times New Roman"/>
          <w:lang w:eastAsia="es-CO"/>
        </w:rPr>
        <w:t>móvil</w:t>
      </w:r>
    </w:p>
    <w:p w:rsidR="007700A9" w:rsidRPr="00A8609D"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Televisión por suscripción</w:t>
      </w:r>
    </w:p>
    <w:p w:rsidR="007700A9" w:rsidRDefault="007700A9" w:rsidP="004F1B17">
      <w:pPr>
        <w:numPr>
          <w:ilvl w:val="0"/>
          <w:numId w:val="6"/>
        </w:numPr>
        <w:ind w:left="714" w:hanging="357"/>
        <w:rPr>
          <w:rFonts w:eastAsia="Times New Roman" w:cs="Times New Roman"/>
          <w:lang w:eastAsia="es-CO"/>
        </w:rPr>
      </w:pPr>
      <w:r w:rsidRPr="00A8609D">
        <w:rPr>
          <w:rFonts w:eastAsia="Times New Roman" w:cs="Times New Roman"/>
          <w:lang w:eastAsia="es-CO"/>
        </w:rPr>
        <w:t>Internet</w:t>
      </w:r>
    </w:p>
    <w:p w:rsidR="007700A9" w:rsidRPr="009E4261" w:rsidRDefault="00AC2F58" w:rsidP="004F1B17">
      <w:pPr>
        <w:pStyle w:val="Ttulo3"/>
        <w:numPr>
          <w:ilvl w:val="2"/>
          <w:numId w:val="40"/>
        </w:numPr>
        <w:rPr>
          <w:sz w:val="26"/>
          <w:szCs w:val="26"/>
        </w:rPr>
      </w:pPr>
      <w:r w:rsidRPr="009E4261">
        <w:rPr>
          <w:sz w:val="26"/>
          <w:szCs w:val="26"/>
        </w:rPr>
        <w:t>Hallazgos relevantes</w:t>
      </w:r>
    </w:p>
    <w:p w:rsidR="00D61CF1" w:rsidRPr="00D61CF1" w:rsidRDefault="00D61CF1" w:rsidP="004F1B17">
      <w:pPr>
        <w:pStyle w:val="Ttulo3"/>
        <w:numPr>
          <w:ilvl w:val="0"/>
          <w:numId w:val="0"/>
        </w:numPr>
        <w:jc w:val="both"/>
        <w:rPr>
          <w:rFonts w:ascii="Garamond" w:eastAsia="Calibri" w:hAnsi="Garamond" w:cs="Times New Roman"/>
          <w:color w:val="auto"/>
          <w:spacing w:val="0"/>
          <w:sz w:val="26"/>
          <w:szCs w:val="26"/>
          <w:lang w:eastAsia="en-US"/>
        </w:rPr>
      </w:pPr>
      <w:r w:rsidRPr="00D61CF1">
        <w:rPr>
          <w:rFonts w:ascii="Garamond" w:eastAsia="Calibri" w:hAnsi="Garamond" w:cs="Times New Roman"/>
          <w:color w:val="auto"/>
          <w:spacing w:val="0"/>
          <w:sz w:val="26"/>
          <w:szCs w:val="26"/>
          <w:lang w:eastAsia="en-US"/>
        </w:rPr>
        <w:t xml:space="preserve">De acuerdo con la especificación del modelo de demanda anterior, si en la ecuación se incluyen todas las variables de caracterización de los hogares que determinan su demanda por los bienes y servicios de TIC considerados en el análisis, el coeficiente de la Variable T mediría el efecto de todas las variables que influyen sobre la demanda, pero no están bajo el control de los hogares demandantes. Esta variable, en consecuencia, mediría principalmente los impactos del </w:t>
      </w:r>
      <w:r w:rsidR="00993F3E">
        <w:rPr>
          <w:rFonts w:ascii="Garamond" w:eastAsia="Calibri" w:hAnsi="Garamond" w:cs="Times New Roman"/>
          <w:color w:val="auto"/>
          <w:spacing w:val="0"/>
          <w:sz w:val="26"/>
          <w:szCs w:val="26"/>
          <w:lang w:eastAsia="en-US"/>
        </w:rPr>
        <w:t>Plan</w:t>
      </w:r>
      <w:r w:rsidRPr="00D61CF1">
        <w:rPr>
          <w:rFonts w:ascii="Garamond" w:eastAsia="Calibri" w:hAnsi="Garamond" w:cs="Times New Roman"/>
          <w:color w:val="auto"/>
          <w:spacing w:val="0"/>
          <w:sz w:val="26"/>
          <w:szCs w:val="26"/>
          <w:lang w:eastAsia="en-US"/>
        </w:rPr>
        <w:t xml:space="preserve"> Vive Digital, que es la principal fuente de incentivos a la demanda en este período de análisis. </w:t>
      </w:r>
    </w:p>
    <w:p w:rsidR="00D61CF1" w:rsidRPr="00D61CF1" w:rsidRDefault="00D61CF1" w:rsidP="004F1B17">
      <w:pPr>
        <w:pStyle w:val="Ttulo3"/>
        <w:numPr>
          <w:ilvl w:val="0"/>
          <w:numId w:val="0"/>
        </w:numPr>
        <w:jc w:val="both"/>
        <w:rPr>
          <w:sz w:val="26"/>
          <w:szCs w:val="26"/>
        </w:rPr>
      </w:pPr>
      <w:r w:rsidRPr="00D61CF1">
        <w:rPr>
          <w:rFonts w:ascii="Garamond" w:eastAsia="Calibri" w:hAnsi="Garamond" w:cs="Times New Roman"/>
          <w:color w:val="auto"/>
          <w:spacing w:val="0"/>
          <w:sz w:val="26"/>
          <w:szCs w:val="26"/>
          <w:lang w:eastAsia="en-US"/>
        </w:rPr>
        <w:t xml:space="preserve">A continuación se describen y analizan los hallazgos relevantes encontrados con el uso de la metodología descrita en la sección anterior, a partir de la estimación de las funciones de demanda, mediante el uso del modelo </w:t>
      </w:r>
      <w:proofErr w:type="spellStart"/>
      <w:r w:rsidRPr="00D61CF1">
        <w:rPr>
          <w:rFonts w:ascii="Garamond" w:eastAsia="Calibri" w:hAnsi="Garamond" w:cs="Times New Roman"/>
          <w:color w:val="auto"/>
          <w:spacing w:val="0"/>
          <w:sz w:val="26"/>
          <w:szCs w:val="26"/>
          <w:lang w:eastAsia="en-US"/>
        </w:rPr>
        <w:t>Logit</w:t>
      </w:r>
      <w:proofErr w:type="spellEnd"/>
      <w:r w:rsidRPr="00D61CF1">
        <w:rPr>
          <w:rFonts w:ascii="Garamond" w:eastAsia="Calibri" w:hAnsi="Garamond" w:cs="Times New Roman"/>
          <w:color w:val="auto"/>
          <w:spacing w:val="0"/>
          <w:sz w:val="26"/>
          <w:szCs w:val="26"/>
          <w:lang w:eastAsia="en-US"/>
        </w:rPr>
        <w:t>, que se presentan en el Anexo A1. Estos resultados se presentan siguiendo la secuencia de acceso al mundo digital que se inicia a partir de los servicios de telefonía fija convencional, siguiendo con la introducción de la telefonía móvil, la televisión por suscripción y, finalmente, con el Internet.</w:t>
      </w:r>
    </w:p>
    <w:p w:rsidR="00562726" w:rsidRPr="00685B66" w:rsidRDefault="00562726" w:rsidP="004F1B17">
      <w:pPr>
        <w:pStyle w:val="Ttulo3"/>
        <w:numPr>
          <w:ilvl w:val="0"/>
          <w:numId w:val="15"/>
        </w:numPr>
        <w:rPr>
          <w:sz w:val="26"/>
          <w:szCs w:val="26"/>
        </w:rPr>
      </w:pPr>
      <w:r w:rsidRPr="00685B66">
        <w:rPr>
          <w:sz w:val="26"/>
          <w:szCs w:val="26"/>
        </w:rPr>
        <w:t>Telefonía Fija</w:t>
      </w:r>
    </w:p>
    <w:p w:rsidR="00562726" w:rsidRDefault="00562726" w:rsidP="004F1B17">
      <w:pPr>
        <w:rPr>
          <w:rFonts w:eastAsia="Calibri" w:cs="Times New Roman"/>
        </w:rPr>
      </w:pPr>
      <w:r w:rsidRPr="00D61C98">
        <w:rPr>
          <w:rFonts w:eastAsia="Calibri" w:cs="Times New Roman"/>
        </w:rPr>
        <w:t xml:space="preserve">La demanda de los hogares por telefonía fija está compitiendo fuertemente con la telefonía </w:t>
      </w:r>
      <w:r w:rsidR="00534CF0">
        <w:rPr>
          <w:rFonts w:eastAsia="Calibri" w:cs="Times New Roman"/>
        </w:rPr>
        <w:t>móvil</w:t>
      </w:r>
      <w:r w:rsidRPr="00D61C98">
        <w:rPr>
          <w:rFonts w:eastAsia="Calibri" w:cs="Times New Roman"/>
        </w:rPr>
        <w:t>, que es el</w:t>
      </w:r>
      <w:r w:rsidR="004A16DC">
        <w:rPr>
          <w:rFonts w:eastAsia="Calibri" w:cs="Times New Roman"/>
        </w:rPr>
        <w:t xml:space="preserve"> primer paso en la secuencia de</w:t>
      </w:r>
      <w:r w:rsidRPr="00D61C98">
        <w:rPr>
          <w:rFonts w:eastAsia="Calibri" w:cs="Times New Roman"/>
        </w:rPr>
        <w:t xml:space="preserve"> acceso al mundo digital, seguida posteriormente por la televisión por suscripción y el Internet.</w:t>
      </w:r>
      <w:r w:rsidR="00893AC6">
        <w:rPr>
          <w:rFonts w:eastAsia="Calibri" w:cs="Times New Roman"/>
        </w:rPr>
        <w:t xml:space="preserve"> Los resultados</w:t>
      </w:r>
      <w:r w:rsidR="00FE1E0E">
        <w:rPr>
          <w:rFonts w:eastAsia="Calibri" w:cs="Times New Roman"/>
        </w:rPr>
        <w:t xml:space="preserve"> de </w:t>
      </w:r>
      <w:r w:rsidR="00FE1E0E">
        <w:rPr>
          <w:rFonts w:eastAsia="Calibri" w:cs="Times New Roman"/>
        </w:rPr>
        <w:lastRenderedPageBreak/>
        <w:t>la demanda por telefonía fija,</w:t>
      </w:r>
      <w:r w:rsidR="00893AC6">
        <w:rPr>
          <w:rFonts w:eastAsia="Calibri" w:cs="Times New Roman"/>
        </w:rPr>
        <w:t xml:space="preserve"> que se discuten a continuación</w:t>
      </w:r>
      <w:r w:rsidR="00FE1E0E">
        <w:rPr>
          <w:rFonts w:eastAsia="Calibri" w:cs="Times New Roman"/>
        </w:rPr>
        <w:t>,</w:t>
      </w:r>
      <w:r w:rsidR="00893AC6">
        <w:rPr>
          <w:rFonts w:eastAsia="Calibri" w:cs="Times New Roman"/>
        </w:rPr>
        <w:t xml:space="preserve"> están presentados en los</w:t>
      </w:r>
      <w:r w:rsidR="004A16DC">
        <w:rPr>
          <w:rFonts w:eastAsia="Calibri" w:cs="Times New Roman"/>
        </w:rPr>
        <w:t xml:space="preserve"> cuadros A1.2</w:t>
      </w:r>
      <w:r w:rsidR="00FE1E0E">
        <w:rPr>
          <w:rFonts w:eastAsia="Calibri" w:cs="Times New Roman"/>
        </w:rPr>
        <w:t xml:space="preserve"> a A1.4 del Anexo A1.</w:t>
      </w:r>
    </w:p>
    <w:p w:rsidR="00750270" w:rsidRPr="00D61C98" w:rsidRDefault="00893AC6" w:rsidP="004F1B17">
      <w:pPr>
        <w:rPr>
          <w:rFonts w:eastAsia="Calibri" w:cs="Times New Roman"/>
        </w:rPr>
      </w:pPr>
      <w:r>
        <w:rPr>
          <w:rFonts w:eastAsia="Calibri" w:cs="Times New Roman"/>
        </w:rPr>
        <w:t>Según indica el C</w:t>
      </w:r>
      <w:r w:rsidR="007F25A6">
        <w:rPr>
          <w:rFonts w:eastAsia="Calibri" w:cs="Times New Roman"/>
        </w:rPr>
        <w:t xml:space="preserve">uadro </w:t>
      </w:r>
      <w:r>
        <w:rPr>
          <w:rFonts w:eastAsia="Calibri" w:cs="Times New Roman"/>
        </w:rPr>
        <w:t>A</w:t>
      </w:r>
      <w:r w:rsidR="007F25A6">
        <w:rPr>
          <w:rFonts w:eastAsia="Calibri" w:cs="Times New Roman"/>
        </w:rPr>
        <w:t>1.2</w:t>
      </w:r>
      <w:r w:rsidR="00685237" w:rsidRPr="00D61C98">
        <w:rPr>
          <w:rFonts w:eastAsia="Calibri" w:cs="Times New Roman"/>
        </w:rPr>
        <w:t>, la presencia de telefonía fija en los hogares residentes en las cabeceras municipales del país, con una muestra de 22.113 hogares</w:t>
      </w:r>
      <w:r w:rsidR="002501A6">
        <w:rPr>
          <w:rFonts w:eastAsia="Calibri" w:cs="Times New Roman"/>
        </w:rPr>
        <w:t>,</w:t>
      </w:r>
      <w:r w:rsidR="00685237" w:rsidRPr="00D61C98">
        <w:rPr>
          <w:rFonts w:eastAsia="Calibri" w:cs="Times New Roman"/>
        </w:rPr>
        <w:t xml:space="preserve"> presenta una reducción por factores exógenos</w:t>
      </w:r>
      <w:r w:rsidR="001F347C" w:rsidRPr="00D61C98">
        <w:rPr>
          <w:rFonts w:eastAsia="Calibri" w:cs="Times New Roman"/>
        </w:rPr>
        <w:t xml:space="preserve"> a las variables de origen familiar</w:t>
      </w:r>
      <w:r w:rsidR="00685237" w:rsidRPr="00D61C98">
        <w:rPr>
          <w:rFonts w:eastAsia="Calibri" w:cs="Times New Roman"/>
        </w:rPr>
        <w:t xml:space="preserve"> del 11.7%</w:t>
      </w:r>
      <w:r w:rsidR="00D80D8D">
        <w:rPr>
          <w:rFonts w:eastAsia="Calibri" w:cs="Times New Roman"/>
        </w:rPr>
        <w:t xml:space="preserve"> </w:t>
      </w:r>
      <w:r w:rsidR="00685237" w:rsidRPr="00D61C98">
        <w:rPr>
          <w:rFonts w:eastAsia="Calibri" w:cs="Times New Roman"/>
        </w:rPr>
        <w:t>entre el año 2010 y el a</w:t>
      </w:r>
      <w:r w:rsidR="005A1F16">
        <w:rPr>
          <w:rFonts w:eastAsia="Calibri" w:cs="Times New Roman"/>
        </w:rPr>
        <w:t>ño 201</w:t>
      </w:r>
      <w:r w:rsidR="00685237" w:rsidRPr="00D61C98">
        <w:rPr>
          <w:rFonts w:eastAsia="Calibri" w:cs="Times New Roman"/>
        </w:rPr>
        <w:t>2</w:t>
      </w:r>
      <w:r w:rsidR="00D80D8D">
        <w:rPr>
          <w:rFonts w:eastAsia="Calibri" w:cs="Times New Roman"/>
        </w:rPr>
        <w:t xml:space="preserve"> (coeficiente b de la variable T)</w:t>
      </w:r>
      <w:r w:rsidR="00685237" w:rsidRPr="00D61C98">
        <w:rPr>
          <w:rFonts w:eastAsia="Calibri" w:cs="Times New Roman"/>
        </w:rPr>
        <w:t xml:space="preserve">. </w:t>
      </w:r>
      <w:r w:rsidR="00750270" w:rsidRPr="00D61C98">
        <w:rPr>
          <w:rFonts w:eastAsia="Calibri" w:cs="Times New Roman"/>
        </w:rPr>
        <w:t>Los efectos fijos de la región de residencia</w:t>
      </w:r>
      <w:r w:rsidR="001F347C" w:rsidRPr="00D61C98">
        <w:rPr>
          <w:rFonts w:eastAsia="Calibri" w:cs="Times New Roman"/>
        </w:rPr>
        <w:t>, por otro lado,</w:t>
      </w:r>
      <w:r w:rsidR="00750270" w:rsidRPr="00D61C98">
        <w:rPr>
          <w:rFonts w:eastAsia="Calibri" w:cs="Times New Roman"/>
        </w:rPr>
        <w:t xml:space="preserve"> son todos significativos y negativos con respecto a Bogotá D.C, que es usado como base. Los que más se le acercan a Bogotá son las cabeceras municipales de Antioquia. En el resto  el efecto fijo negativo está entre 30 y 43 % por debajo de Bogotá D.C., siendo los más negativos los observados en la reg</w:t>
      </w:r>
      <w:r w:rsidR="00721439">
        <w:rPr>
          <w:rFonts w:eastAsia="Calibri" w:cs="Times New Roman"/>
        </w:rPr>
        <w:t>ión pacífica y en la Orinoquia - A</w:t>
      </w:r>
      <w:r w:rsidR="00750270" w:rsidRPr="00D61C98">
        <w:rPr>
          <w:rFonts w:eastAsia="Calibri" w:cs="Times New Roman"/>
        </w:rPr>
        <w:t xml:space="preserve">mazonia. En términos de los niveles de educación de los miembros </w:t>
      </w:r>
      <w:r w:rsidR="00D80D8D">
        <w:rPr>
          <w:rFonts w:eastAsia="Calibri" w:cs="Times New Roman"/>
        </w:rPr>
        <w:t>d</w:t>
      </w:r>
      <w:r w:rsidR="00750270" w:rsidRPr="00D61C98">
        <w:rPr>
          <w:rFonts w:eastAsia="Calibri" w:cs="Times New Roman"/>
        </w:rPr>
        <w:t>el hogar, la demanda de telefonía fija muestra una relación creciente con el nivel de educación alcanzado. Por otro lado, según la edad, la presencia de personas mayores de 60 años y de personas entre 35 y 60 años de edad en el hogar tienen un efecto positivo y significativo sobre la presencia de telefonía fija en el hogar, mientras que la presencia de pe</w:t>
      </w:r>
      <w:r w:rsidR="0051230C">
        <w:rPr>
          <w:rFonts w:eastAsia="Calibri" w:cs="Times New Roman"/>
        </w:rPr>
        <w:t>rsonas menores de 35 años tiene</w:t>
      </w:r>
      <w:r w:rsidR="00750270" w:rsidRPr="00D61C98">
        <w:rPr>
          <w:rFonts w:eastAsia="Calibri" w:cs="Times New Roman"/>
        </w:rPr>
        <w:t xml:space="preserve"> un efec</w:t>
      </w:r>
      <w:r w:rsidR="00D80D8D">
        <w:rPr>
          <w:rFonts w:eastAsia="Calibri" w:cs="Times New Roman"/>
        </w:rPr>
        <w:t>to negativo sobre dicha demanda,</w:t>
      </w:r>
      <w:r w:rsidR="00750270" w:rsidRPr="00D61C98">
        <w:rPr>
          <w:rFonts w:eastAsia="Calibri" w:cs="Times New Roman"/>
        </w:rPr>
        <w:t xml:space="preserve"> lo cual indica que los hogares más jóvenes son los que están substituyendo con mayor velocidad la telefonía fija con telefonía </w:t>
      </w:r>
      <w:r w:rsidR="00534CF0">
        <w:rPr>
          <w:rFonts w:eastAsia="Calibri" w:cs="Times New Roman"/>
        </w:rPr>
        <w:t>móvil</w:t>
      </w:r>
      <w:r w:rsidR="00750270" w:rsidRPr="00D61C98">
        <w:rPr>
          <w:rFonts w:eastAsia="Calibri" w:cs="Times New Roman"/>
        </w:rPr>
        <w:t xml:space="preserve">. Finalmente, el ingreso familiar tiene un impacto positivo y significativo sobre la demanda de telefonía fija en el hogar. </w:t>
      </w:r>
    </w:p>
    <w:p w:rsidR="00176A61" w:rsidRPr="00D61C98" w:rsidRDefault="00F8335C" w:rsidP="004F1B17">
      <w:pPr>
        <w:rPr>
          <w:rFonts w:eastAsia="Calibri" w:cs="Times New Roman"/>
        </w:rPr>
      </w:pPr>
      <w:r w:rsidRPr="00D61C98">
        <w:rPr>
          <w:rFonts w:eastAsia="Calibri" w:cs="Times New Roman"/>
        </w:rPr>
        <w:t>E</w:t>
      </w:r>
      <w:r w:rsidR="00176A61" w:rsidRPr="00D61C98">
        <w:rPr>
          <w:rFonts w:eastAsia="Calibri" w:cs="Times New Roman"/>
        </w:rPr>
        <w:t>n los centros pob</w:t>
      </w:r>
      <w:r w:rsidR="00642886" w:rsidRPr="00D61C98">
        <w:rPr>
          <w:rFonts w:eastAsia="Calibri" w:cs="Times New Roman"/>
        </w:rPr>
        <w:t>lados menores y</w:t>
      </w:r>
      <w:r w:rsidR="00176A61" w:rsidRPr="00D61C98">
        <w:rPr>
          <w:rFonts w:eastAsia="Calibri" w:cs="Times New Roman"/>
        </w:rPr>
        <w:t xml:space="preserve"> en</w:t>
      </w:r>
      <w:r w:rsidR="00642886" w:rsidRPr="00D61C98">
        <w:rPr>
          <w:rFonts w:eastAsia="Calibri" w:cs="Times New Roman"/>
        </w:rPr>
        <w:t xml:space="preserve"> las</w:t>
      </w:r>
      <w:r w:rsidR="00176A61" w:rsidRPr="00D61C98">
        <w:rPr>
          <w:rFonts w:eastAsia="Calibri" w:cs="Times New Roman"/>
        </w:rPr>
        <w:t xml:space="preserve"> inspecciones de policía</w:t>
      </w:r>
      <w:r w:rsidR="00642886" w:rsidRPr="00D61C98">
        <w:rPr>
          <w:rFonts w:eastAsia="Calibri" w:cs="Times New Roman"/>
        </w:rPr>
        <w:t xml:space="preserve"> a nivel nacional</w:t>
      </w:r>
      <w:r w:rsidRPr="00D61C98">
        <w:rPr>
          <w:rFonts w:eastAsia="Calibri" w:cs="Times New Roman"/>
        </w:rPr>
        <w:t>, con una muestra de 5.169 hogares, estos resultados tienden a replicarse</w:t>
      </w:r>
      <w:r w:rsidR="00642886" w:rsidRPr="00D61C98">
        <w:rPr>
          <w:rFonts w:eastAsia="Calibri" w:cs="Times New Roman"/>
        </w:rPr>
        <w:t xml:space="preserve"> con algunas variaciones men</w:t>
      </w:r>
      <w:r w:rsidR="00F52AA7">
        <w:rPr>
          <w:rFonts w:eastAsia="Calibri" w:cs="Times New Roman"/>
        </w:rPr>
        <w:t xml:space="preserve">ores, como indica el cuadro </w:t>
      </w:r>
      <w:r w:rsidR="00D80D8D">
        <w:rPr>
          <w:rFonts w:eastAsia="Calibri" w:cs="Times New Roman"/>
        </w:rPr>
        <w:t>A</w:t>
      </w:r>
      <w:r w:rsidR="00F52AA7">
        <w:rPr>
          <w:rFonts w:eastAsia="Calibri" w:cs="Times New Roman"/>
        </w:rPr>
        <w:t>1.</w:t>
      </w:r>
      <w:r w:rsidR="007F25A6">
        <w:rPr>
          <w:rFonts w:eastAsia="Calibri" w:cs="Times New Roman"/>
        </w:rPr>
        <w:t>3</w:t>
      </w:r>
      <w:r w:rsidR="00D80D8D">
        <w:rPr>
          <w:rFonts w:eastAsia="Calibri" w:cs="Times New Roman"/>
        </w:rPr>
        <w:t>, del Anexo A1</w:t>
      </w:r>
      <w:r w:rsidR="00642886" w:rsidRPr="00D61C98">
        <w:rPr>
          <w:rFonts w:eastAsia="Calibri" w:cs="Times New Roman"/>
        </w:rPr>
        <w:t xml:space="preserve">. Por </w:t>
      </w:r>
      <w:r w:rsidR="00772C63" w:rsidRPr="00D61C98">
        <w:rPr>
          <w:rFonts w:eastAsia="Calibri" w:cs="Times New Roman"/>
        </w:rPr>
        <w:t>un</w:t>
      </w:r>
      <w:r w:rsidR="00642886" w:rsidRPr="00D61C98">
        <w:rPr>
          <w:rFonts w:eastAsia="Calibri" w:cs="Times New Roman"/>
        </w:rPr>
        <w:t xml:space="preserve"> lado</w:t>
      </w:r>
      <w:r w:rsidR="00D80D8D">
        <w:rPr>
          <w:rFonts w:eastAsia="Calibri" w:cs="Times New Roman"/>
        </w:rPr>
        <w:t>,</w:t>
      </w:r>
      <w:r w:rsidR="00642886" w:rsidRPr="00D61C98">
        <w:rPr>
          <w:rFonts w:eastAsia="Calibri" w:cs="Times New Roman"/>
        </w:rPr>
        <w:t xml:space="preserve"> la caída</w:t>
      </w:r>
      <w:r w:rsidR="00772C63" w:rsidRPr="00D61C98">
        <w:rPr>
          <w:rFonts w:eastAsia="Calibri" w:cs="Times New Roman"/>
        </w:rPr>
        <w:t xml:space="preserve"> en la demanda de telefonía fija</w:t>
      </w:r>
      <w:r w:rsidR="00642886" w:rsidRPr="00D61C98">
        <w:rPr>
          <w:rFonts w:eastAsia="Calibri" w:cs="Times New Roman"/>
        </w:rPr>
        <w:t xml:space="preserve"> entre el 2010 y el 2012</w:t>
      </w:r>
      <w:r w:rsidR="00495239" w:rsidRPr="00D61C98">
        <w:rPr>
          <w:rFonts w:eastAsia="Calibri" w:cs="Times New Roman"/>
        </w:rPr>
        <w:t xml:space="preserve"> por razones exógenas,</w:t>
      </w:r>
      <w:r w:rsidR="00642886" w:rsidRPr="00D61C98">
        <w:rPr>
          <w:rFonts w:eastAsia="Calibri" w:cs="Times New Roman"/>
        </w:rPr>
        <w:t xml:space="preserve"> es un poco menor en este dominio</w:t>
      </w:r>
      <w:r w:rsidR="00772C63" w:rsidRPr="00D61C98">
        <w:rPr>
          <w:rFonts w:eastAsia="Calibri" w:cs="Times New Roman"/>
        </w:rPr>
        <w:t xml:space="preserve"> (8,9%</w:t>
      </w:r>
      <w:r w:rsidR="00495239" w:rsidRPr="00D61C98">
        <w:rPr>
          <w:rFonts w:eastAsia="Calibri" w:cs="Times New Roman"/>
        </w:rPr>
        <w:t xml:space="preserve"> vs. 11.7% en cabeceras</w:t>
      </w:r>
      <w:r w:rsidR="00772C63" w:rsidRPr="00D61C98">
        <w:rPr>
          <w:rFonts w:eastAsia="Calibri" w:cs="Times New Roman"/>
        </w:rPr>
        <w:t>). Por otro lado, sin embargo, los efectos fijos de las regiones donde residen los hogares en este dominio tienden a ser muy similares a los observados para las ca</w:t>
      </w:r>
      <w:r w:rsidR="00D80D8D">
        <w:rPr>
          <w:rFonts w:eastAsia="Calibri" w:cs="Times New Roman"/>
        </w:rPr>
        <w:t>beceras municipales del país. Por otro lado, en</w:t>
      </w:r>
      <w:r w:rsidR="00772C63" w:rsidRPr="00D61C98">
        <w:rPr>
          <w:rFonts w:eastAsia="Calibri" w:cs="Times New Roman"/>
        </w:rPr>
        <w:t xml:space="preserve"> términos de los niveles de educación alcanzados, los efectos</w:t>
      </w:r>
      <w:r w:rsidR="00F76EA5" w:rsidRPr="00D61C98">
        <w:rPr>
          <w:rFonts w:eastAsia="Calibri" w:cs="Times New Roman"/>
        </w:rPr>
        <w:t xml:space="preserve"> también</w:t>
      </w:r>
      <w:r w:rsidR="00772C63" w:rsidRPr="00D61C98">
        <w:rPr>
          <w:rFonts w:eastAsia="Calibri" w:cs="Times New Roman"/>
        </w:rPr>
        <w:t xml:space="preserve"> son similares a los observados en </w:t>
      </w:r>
      <w:r w:rsidR="00495239" w:rsidRPr="00D61C98">
        <w:rPr>
          <w:rFonts w:eastAsia="Calibri" w:cs="Times New Roman"/>
        </w:rPr>
        <w:t>las cabeceras municipales</w:t>
      </w:r>
      <w:r w:rsidR="00772C63" w:rsidRPr="00D61C98">
        <w:rPr>
          <w:rFonts w:eastAsia="Calibri" w:cs="Times New Roman"/>
        </w:rPr>
        <w:t>, con excepción de la presencia de personas con educación universitaria en el hogar, que en este dominio muestra un impacto menor, que el observado en las cabeceras municipales</w:t>
      </w:r>
      <w:r w:rsidR="00495239" w:rsidRPr="00D61C98">
        <w:rPr>
          <w:rFonts w:eastAsia="Calibri" w:cs="Times New Roman"/>
        </w:rPr>
        <w:t>. Finalmente,</w:t>
      </w:r>
      <w:r w:rsidR="007078BB" w:rsidRPr="00D61C98">
        <w:rPr>
          <w:rFonts w:eastAsia="Calibri" w:cs="Times New Roman"/>
        </w:rPr>
        <w:t xml:space="preserve"> los efectos de la presencia de diferentes grupos de edad en los hogares de este dominio son similares, aunque un poco por debajo de los observados en las cabeceras municipales.</w:t>
      </w:r>
    </w:p>
    <w:p w:rsidR="00732AA1" w:rsidRDefault="007078BB" w:rsidP="004F1B17">
      <w:pPr>
        <w:rPr>
          <w:rFonts w:eastAsia="Calibri" w:cs="Times New Roman"/>
        </w:rPr>
      </w:pPr>
      <w:r w:rsidRPr="00D61C98">
        <w:rPr>
          <w:rFonts w:eastAsia="Calibri" w:cs="Times New Roman"/>
        </w:rPr>
        <w:t>Finalmente, según puede observarse en el</w:t>
      </w:r>
      <w:r w:rsidR="00F52AA7">
        <w:rPr>
          <w:rFonts w:eastAsia="Calibri" w:cs="Times New Roman"/>
        </w:rPr>
        <w:t xml:space="preserve"> cuadro </w:t>
      </w:r>
      <w:r w:rsidR="00D80D8D">
        <w:rPr>
          <w:rFonts w:eastAsia="Calibri" w:cs="Times New Roman"/>
        </w:rPr>
        <w:t>A</w:t>
      </w:r>
      <w:r w:rsidR="00F52AA7">
        <w:rPr>
          <w:rFonts w:eastAsia="Calibri" w:cs="Times New Roman"/>
        </w:rPr>
        <w:t>1.</w:t>
      </w:r>
      <w:r w:rsidR="007F25A6">
        <w:rPr>
          <w:rFonts w:eastAsia="Calibri" w:cs="Times New Roman"/>
        </w:rPr>
        <w:t>4</w:t>
      </w:r>
      <w:r w:rsidR="00711FE1" w:rsidRPr="00D61C98">
        <w:rPr>
          <w:rFonts w:eastAsia="Calibri" w:cs="Times New Roman"/>
        </w:rPr>
        <w:t xml:space="preserve"> para</w:t>
      </w:r>
      <w:r w:rsidRPr="00D61C98">
        <w:rPr>
          <w:rFonts w:eastAsia="Calibri" w:cs="Times New Roman"/>
        </w:rPr>
        <w:t xml:space="preserve"> el área rural dispersa del país</w:t>
      </w:r>
      <w:r w:rsidR="00711FE1" w:rsidRPr="00D61C98">
        <w:rPr>
          <w:rFonts w:eastAsia="Calibri" w:cs="Times New Roman"/>
        </w:rPr>
        <w:t xml:space="preserve"> con una muestra de 8</w:t>
      </w:r>
      <w:r w:rsidR="00685237" w:rsidRPr="00D61C98">
        <w:rPr>
          <w:rFonts w:eastAsia="Calibri" w:cs="Times New Roman"/>
        </w:rPr>
        <w:t>.</w:t>
      </w:r>
      <w:r w:rsidR="00711FE1" w:rsidRPr="00D61C98">
        <w:rPr>
          <w:rFonts w:eastAsia="Calibri" w:cs="Times New Roman"/>
        </w:rPr>
        <w:t>498 hogares,</w:t>
      </w:r>
      <w:r w:rsidRPr="00D61C98">
        <w:rPr>
          <w:rFonts w:eastAsia="Calibri" w:cs="Times New Roman"/>
        </w:rPr>
        <w:t xml:space="preserve"> la caída en la demanda de telefonía fija por razones exógenas es menor a la observada en las cabeceras municipales y en los centros poblados menores o inspecciones de polic</w:t>
      </w:r>
      <w:r w:rsidR="00F8335C" w:rsidRPr="00D61C98">
        <w:rPr>
          <w:rFonts w:eastAsia="Calibri" w:cs="Times New Roman"/>
        </w:rPr>
        <w:t>ía</w:t>
      </w:r>
      <w:r w:rsidRPr="00D61C98">
        <w:rPr>
          <w:rFonts w:eastAsia="Calibri" w:cs="Times New Roman"/>
        </w:rPr>
        <w:t xml:space="preserve">, los efectos fijos de las regiones de </w:t>
      </w:r>
      <w:r w:rsidR="00F8335C" w:rsidRPr="00D61C98">
        <w:rPr>
          <w:rFonts w:eastAsia="Calibri" w:cs="Times New Roman"/>
        </w:rPr>
        <w:lastRenderedPageBreak/>
        <w:t>residencia no cubren</w:t>
      </w:r>
      <w:r w:rsidR="00F76EA5" w:rsidRPr="00D61C98">
        <w:rPr>
          <w:rFonts w:eastAsia="Calibri" w:cs="Times New Roman"/>
        </w:rPr>
        <w:t xml:space="preserve"> a S</w:t>
      </w:r>
      <w:r w:rsidR="00F8335C" w:rsidRPr="00D61C98">
        <w:rPr>
          <w:rFonts w:eastAsia="Calibri" w:cs="Times New Roman"/>
        </w:rPr>
        <w:t>an</w:t>
      </w:r>
      <w:r w:rsidR="00F76EA5" w:rsidRPr="00D61C98">
        <w:rPr>
          <w:rFonts w:eastAsia="Calibri" w:cs="Times New Roman"/>
        </w:rPr>
        <w:t xml:space="preserve"> Andrés</w:t>
      </w:r>
      <w:r w:rsidR="00F8335C" w:rsidRPr="00D61C98">
        <w:rPr>
          <w:rFonts w:eastAsia="Calibri" w:cs="Times New Roman"/>
        </w:rPr>
        <w:t>,</w:t>
      </w:r>
      <w:r w:rsidR="00F76EA5" w:rsidRPr="00D61C98">
        <w:rPr>
          <w:rFonts w:eastAsia="Calibri" w:cs="Times New Roman"/>
        </w:rPr>
        <w:t xml:space="preserve"> ni a la O</w:t>
      </w:r>
      <w:r w:rsidR="00F8335C" w:rsidRPr="00D61C98">
        <w:rPr>
          <w:rFonts w:eastAsia="Calibri" w:cs="Times New Roman"/>
        </w:rPr>
        <w:t>rino</w:t>
      </w:r>
      <w:r w:rsidR="00D61C98">
        <w:rPr>
          <w:rFonts w:eastAsia="Calibri" w:cs="Times New Roman"/>
        </w:rPr>
        <w:t xml:space="preserve">quia - </w:t>
      </w:r>
      <w:r w:rsidR="00F76EA5" w:rsidRPr="00D61C98">
        <w:rPr>
          <w:rFonts w:eastAsia="Calibri" w:cs="Times New Roman"/>
        </w:rPr>
        <w:t>A</w:t>
      </w:r>
      <w:r w:rsidR="00F8335C" w:rsidRPr="00D61C98">
        <w:rPr>
          <w:rFonts w:eastAsia="Calibri" w:cs="Times New Roman"/>
        </w:rPr>
        <w:t>mazonia. En otros aspectos los resultados son similares.</w:t>
      </w:r>
    </w:p>
    <w:p w:rsidR="00F26745" w:rsidRPr="00685B66" w:rsidRDefault="00E32488" w:rsidP="004F1B17">
      <w:pPr>
        <w:pStyle w:val="Prrafodelista"/>
        <w:numPr>
          <w:ilvl w:val="0"/>
          <w:numId w:val="15"/>
        </w:numPr>
        <w:contextualSpacing w:val="0"/>
        <w:outlineLvl w:val="2"/>
        <w:rPr>
          <w:rFonts w:ascii="Century Gothic" w:eastAsia="Times New Roman" w:hAnsi="Century Gothic" w:cs="Times New Roman"/>
          <w:bCs/>
          <w:color w:val="404040"/>
          <w:lang w:eastAsia="es-ES"/>
        </w:rPr>
      </w:pPr>
      <w:r w:rsidRPr="00685B66">
        <w:rPr>
          <w:rFonts w:ascii="Century Gothic" w:eastAsia="Times New Roman" w:hAnsi="Century Gothic" w:cs="Times New Roman"/>
          <w:bCs/>
          <w:color w:val="404040"/>
          <w:lang w:eastAsia="es-ES"/>
        </w:rPr>
        <w:t>Telefonía Móvil</w:t>
      </w:r>
    </w:p>
    <w:p w:rsidR="004A6CC6" w:rsidRPr="0090467E" w:rsidRDefault="004A6CC6" w:rsidP="004F1B17">
      <w:r w:rsidRPr="0090467E">
        <w:t>La demanda de l</w:t>
      </w:r>
      <w:r w:rsidR="00E32488">
        <w:t>os hogares por telefonía móvil</w:t>
      </w:r>
      <w:r w:rsidRPr="0090467E">
        <w:t xml:space="preserve"> es el primer eslabón de la secuencia de acceso al mundo digital que sigue a la telefonía fija, seguida posteriormente por la televisión por suscripción y el Internet.</w:t>
      </w:r>
    </w:p>
    <w:p w:rsidR="004A6CC6" w:rsidRPr="0090467E" w:rsidRDefault="004A6CC6" w:rsidP="004F1B17">
      <w:r w:rsidRPr="0090467E">
        <w:t xml:space="preserve">Según indica el cuadro </w:t>
      </w:r>
      <w:r w:rsidR="0096189B">
        <w:t>A</w:t>
      </w:r>
      <w:r w:rsidRPr="0090467E">
        <w:t>1.</w:t>
      </w:r>
      <w:r w:rsidR="007F25A6">
        <w:t>5</w:t>
      </w:r>
      <w:r w:rsidR="0096189B">
        <w:t xml:space="preserve"> del Anexo A1</w:t>
      </w:r>
      <w:r w:rsidRPr="0090467E">
        <w:t xml:space="preserve">, la </w:t>
      </w:r>
      <w:r w:rsidR="00E32488">
        <w:t>presencia de al menos un teléfono móvil</w:t>
      </w:r>
      <w:r w:rsidRPr="0090467E">
        <w:t xml:space="preserve"> en los hogares residentes en las cabeceras municipales del país, con una muestra de 22.113 hogares</w:t>
      </w:r>
      <w:r w:rsidR="00685237" w:rsidRPr="0090467E">
        <w:t>,</w:t>
      </w:r>
      <w:r w:rsidRPr="0090467E">
        <w:t xml:space="preserve"> presenta un incremento de 22.1% por factores exógenos</w:t>
      </w:r>
      <w:r w:rsidR="0047156F" w:rsidRPr="0090467E">
        <w:t xml:space="preserve"> a las variables de origen familiar </w:t>
      </w:r>
      <w:r w:rsidRPr="0090467E">
        <w:t xml:space="preserve"> entre el año 2010 y el</w:t>
      </w:r>
      <w:r w:rsidR="00685237" w:rsidRPr="0090467E">
        <w:t xml:space="preserve"> año 201</w:t>
      </w:r>
      <w:r w:rsidRPr="0090467E">
        <w:t xml:space="preserve">2. </w:t>
      </w:r>
      <w:r w:rsidR="0047156F" w:rsidRPr="0090467E">
        <w:t>Por otro lado, l</w:t>
      </w:r>
      <w:r w:rsidRPr="0090467E">
        <w:t>os efectos fijos de la regi</w:t>
      </w:r>
      <w:r w:rsidR="00685237" w:rsidRPr="0090467E">
        <w:t>ón de residencia</w:t>
      </w:r>
      <w:r w:rsidR="00CD2EBE" w:rsidRPr="0090467E">
        <w:t xml:space="preserve"> con respecto a Bogotá D.</w:t>
      </w:r>
      <w:r w:rsidR="00685237" w:rsidRPr="0090467E">
        <w:t>C, que es usado como base, no son significativos para las regiones oriental y central, son cercanos a Bogotá</w:t>
      </w:r>
      <w:r w:rsidR="00534CF0">
        <w:t xml:space="preserve"> en el Valle y en la Orinoquia - A</w:t>
      </w:r>
      <w:r w:rsidR="00685237" w:rsidRPr="0090467E">
        <w:t>mazonia y están significativamente por debajo</w:t>
      </w:r>
      <w:r w:rsidR="00CD2EBE" w:rsidRPr="0090467E">
        <w:t xml:space="preserve"> </w:t>
      </w:r>
      <w:r w:rsidR="00685237" w:rsidRPr="0090467E">
        <w:t xml:space="preserve">de Bogotá en el resto de regiones consideradas. </w:t>
      </w:r>
      <w:r w:rsidRPr="0090467E">
        <w:t xml:space="preserve">En términos de los niveles de educación de los miembros </w:t>
      </w:r>
      <w:r w:rsidR="0096189B">
        <w:t>d</w:t>
      </w:r>
      <w:r w:rsidRPr="0090467E">
        <w:t xml:space="preserve">el hogar, </w:t>
      </w:r>
      <w:r w:rsidR="003B7DB2" w:rsidRPr="0090467E">
        <w:t xml:space="preserve">la demanda de </w:t>
      </w:r>
      <w:r w:rsidR="00534CF0">
        <w:t>móviles</w:t>
      </w:r>
      <w:r w:rsidRPr="0090467E">
        <w:t xml:space="preserve"> muestra una relación creciente con el nivel de educación alcanzado</w:t>
      </w:r>
      <w:r w:rsidR="003B7DB2" w:rsidRPr="0090467E">
        <w:t>, no siendo muy diferente entre educación técnica y educación universitaria.</w:t>
      </w:r>
      <w:r w:rsidR="00C623A3" w:rsidRPr="0090467E">
        <w:t xml:space="preserve"> Por otro lado, la demanda de </w:t>
      </w:r>
      <w:r w:rsidR="00534CF0">
        <w:t>móviles</w:t>
      </w:r>
      <w:r w:rsidR="00C623A3" w:rsidRPr="0090467E">
        <w:t xml:space="preserve"> alcanza un máximo con la presencia de personas en el rango de 18 a 34 años de edad, pero después tiende a disminuir,</w:t>
      </w:r>
      <w:r w:rsidR="0096189B">
        <w:t xml:space="preserve"> hasta llegar a ser negativa para</w:t>
      </w:r>
      <w:r w:rsidR="00C623A3" w:rsidRPr="0090467E">
        <w:t xml:space="preserve"> la presencia de personas mayores de 60. </w:t>
      </w:r>
      <w:r w:rsidRPr="0090467E">
        <w:t>Finalmente, el ingreso familiar tiene un impacto positivo y</w:t>
      </w:r>
      <w:r w:rsidR="00495239" w:rsidRPr="0090467E">
        <w:t xml:space="preserve"> muy</w:t>
      </w:r>
      <w:r w:rsidRPr="0090467E">
        <w:t xml:space="preserve"> significativo so</w:t>
      </w:r>
      <w:r w:rsidR="00C623A3" w:rsidRPr="0090467E">
        <w:t xml:space="preserve">bre la demanda de telefonía </w:t>
      </w:r>
      <w:r w:rsidR="00534CF0">
        <w:t>móvil</w:t>
      </w:r>
      <w:r w:rsidRPr="0090467E">
        <w:t xml:space="preserve"> en el hogar. </w:t>
      </w:r>
      <w:r w:rsidR="0096189B">
        <w:t>Este es un resultado muy importante, que será examinado más adelante en términos de su impacto sobre la distribución de ingreso.</w:t>
      </w:r>
    </w:p>
    <w:p w:rsidR="004A6CC6" w:rsidRPr="0090467E" w:rsidRDefault="004A6CC6" w:rsidP="004F1B17">
      <w:r w:rsidRPr="0090467E">
        <w:t>En los centros poblados menores y en las inspecciones de policía a nivel nacional, con una muestra de 5.169 hogares, estos resultados tienden</w:t>
      </w:r>
      <w:r w:rsidR="00495239" w:rsidRPr="0090467E">
        <w:t xml:space="preserve"> también a</w:t>
      </w:r>
      <w:r w:rsidRPr="0090467E">
        <w:t xml:space="preserve"> replicarse con algunas variaciones menores</w:t>
      </w:r>
      <w:r w:rsidR="00495239" w:rsidRPr="0090467E">
        <w:t xml:space="preserve">, como indica el cuadro </w:t>
      </w:r>
      <w:r w:rsidR="0096189B">
        <w:t>A</w:t>
      </w:r>
      <w:r w:rsidR="00495239" w:rsidRPr="0090467E">
        <w:t>1.</w:t>
      </w:r>
      <w:r w:rsidR="007F25A6">
        <w:t>6</w:t>
      </w:r>
      <w:r w:rsidRPr="0090467E">
        <w:t>. Por un</w:t>
      </w:r>
      <w:r w:rsidR="00495239" w:rsidRPr="0090467E">
        <w:t xml:space="preserve"> lado, el aum</w:t>
      </w:r>
      <w:r w:rsidR="00E32488">
        <w:t>ento en la demanda por telefonía móvil</w:t>
      </w:r>
      <w:r w:rsidRPr="0090467E">
        <w:t xml:space="preserve"> entre el 2010 y el 2012</w:t>
      </w:r>
      <w:r w:rsidR="00530658" w:rsidRPr="0090467E">
        <w:t>, por razones exógenas</w:t>
      </w:r>
      <w:r w:rsidR="001F347C" w:rsidRPr="0090467E">
        <w:t xml:space="preserve"> a las variabl</w:t>
      </w:r>
      <w:r w:rsidR="00BF26CF">
        <w:t>es de origen familiar (efecto medido por el valor  “</w:t>
      </w:r>
      <w:proofErr w:type="spellStart"/>
      <w:r w:rsidR="00BF26CF">
        <w:t>dp</w:t>
      </w:r>
      <w:proofErr w:type="spellEnd"/>
      <w:r w:rsidR="00BF26CF">
        <w:t>” de la variable T)</w:t>
      </w:r>
      <w:r w:rsidRPr="0090467E">
        <w:t xml:space="preserve"> en este dominio</w:t>
      </w:r>
      <w:r w:rsidR="00BF26CF">
        <w:t xml:space="preserve"> (17,1%) es ligeramente inferior</w:t>
      </w:r>
      <w:r w:rsidR="001F347C" w:rsidRPr="0090467E">
        <w:t xml:space="preserve"> al observado</w:t>
      </w:r>
      <w:r w:rsidR="00495239" w:rsidRPr="0090467E">
        <w:t xml:space="preserve"> en cabeceras municipales</w:t>
      </w:r>
      <w:r w:rsidR="00BF26CF">
        <w:t xml:space="preserve"> (</w:t>
      </w:r>
      <w:r w:rsidR="00BF26CF" w:rsidRPr="0090467E">
        <w:t>22,1%</w:t>
      </w:r>
      <w:r w:rsidR="00C623A3" w:rsidRPr="0090467E">
        <w:t>). L</w:t>
      </w:r>
      <w:r w:rsidRPr="0090467E">
        <w:t>os efectos fijos de las regiones donde residen los hogares en este dominio</w:t>
      </w:r>
      <w:r w:rsidR="00FB0F18" w:rsidRPr="0090467E">
        <w:t xml:space="preserve"> toman como base la región Central, ya que Bogotá D.C. no tiene representatividad en este dominio (lo mismo ocurre con el dominio del </w:t>
      </w:r>
      <w:r w:rsidR="007A7CA2">
        <w:t>área rural dispersa). Esto hace que los efectos relativos sean</w:t>
      </w:r>
      <w:r w:rsidR="00FB0F18" w:rsidRPr="0090467E">
        <w:t xml:space="preserve"> muy diferentes a los observados en las cabeceras municipales del país. </w:t>
      </w:r>
      <w:r w:rsidRPr="0090467E">
        <w:t>En términos de los niveles de educación</w:t>
      </w:r>
      <w:r w:rsidR="00BF26CF">
        <w:t xml:space="preserve"> alcanzados, los efectos</w:t>
      </w:r>
      <w:r w:rsidRPr="0090467E">
        <w:t xml:space="preserve"> son similares a los observados en las cabeceras municipales del país, con excepción de la presencia de personas con educación universitaria en el hogar, que en este dominio muestra un </w:t>
      </w:r>
      <w:r w:rsidRPr="0090467E">
        <w:lastRenderedPageBreak/>
        <w:t>impacto menor, que el observado</w:t>
      </w:r>
      <w:r w:rsidR="007A7CA2">
        <w:t xml:space="preserve"> en las cabeceras municipales. F</w:t>
      </w:r>
      <w:r w:rsidR="00BF26CF">
        <w:t>inalmente,</w:t>
      </w:r>
      <w:r w:rsidRPr="0090467E">
        <w:t xml:space="preserve"> los efectos de la presencia de</w:t>
      </w:r>
      <w:r w:rsidR="00C623A3" w:rsidRPr="0090467E">
        <w:t xml:space="preserve"> personas de</w:t>
      </w:r>
      <w:r w:rsidRPr="0090467E">
        <w:t xml:space="preserve"> diferentes grupos de edad en los hogares de este dominio son similares, aunque un poco por debajo de los observados en las cabeceras municipales.</w:t>
      </w:r>
    </w:p>
    <w:p w:rsidR="004A6CC6" w:rsidRPr="0090467E" w:rsidRDefault="004A6CC6" w:rsidP="004F1B17">
      <w:r w:rsidRPr="0090467E">
        <w:t>Finalmente, según p</w:t>
      </w:r>
      <w:r w:rsidR="00C623A3" w:rsidRPr="0090467E">
        <w:t xml:space="preserve">uede observarse en el cuadro </w:t>
      </w:r>
      <w:r w:rsidR="007A7CA2">
        <w:t>A</w:t>
      </w:r>
      <w:r w:rsidR="00C623A3" w:rsidRPr="0090467E">
        <w:t>1.</w:t>
      </w:r>
      <w:r w:rsidR="007F25A6">
        <w:t>7</w:t>
      </w:r>
      <w:r w:rsidR="006B0C9D">
        <w:t xml:space="preserve"> del Anexo A</w:t>
      </w:r>
      <w:r w:rsidR="007A7CA2">
        <w:t>1</w:t>
      </w:r>
      <w:r w:rsidRPr="0090467E">
        <w:t xml:space="preserve"> para el área rural dispersa del país con una muestra de 8</w:t>
      </w:r>
      <w:r w:rsidR="00CD2EBE" w:rsidRPr="0090467E">
        <w:t>.</w:t>
      </w:r>
      <w:r w:rsidR="00C623A3" w:rsidRPr="0090467E">
        <w:t xml:space="preserve">948 </w:t>
      </w:r>
      <w:r w:rsidR="002B2D2F">
        <w:t>hogares, la demanda de telefonía móvil</w:t>
      </w:r>
      <w:r w:rsidRPr="0090467E">
        <w:t xml:space="preserve"> por razones exógenas</w:t>
      </w:r>
      <w:r w:rsidR="00C623A3" w:rsidRPr="0090467E">
        <w:t xml:space="preserve"> a las variables de origen familiar</w:t>
      </w:r>
      <w:r w:rsidRPr="0090467E">
        <w:t xml:space="preserve"> es menor a la observada en las cabeceras municipales y en los centros poblados menores o inspecciones de policía</w:t>
      </w:r>
      <w:r w:rsidR="00564B60" w:rsidRPr="0090467E">
        <w:t xml:space="preserve">. Los </w:t>
      </w:r>
      <w:r w:rsidRPr="0090467E">
        <w:t xml:space="preserve">efectos fijos de las regiones de residencia no cubren </w:t>
      </w:r>
      <w:r w:rsidR="0090467E">
        <w:t xml:space="preserve">a San Andrés, ni a la Orinoquia - </w:t>
      </w:r>
      <w:r w:rsidRPr="0090467E">
        <w:t>Amazonia</w:t>
      </w:r>
      <w:r w:rsidR="00CD2EBE" w:rsidRPr="0090467E">
        <w:t xml:space="preserve"> en este dominio</w:t>
      </w:r>
      <w:r w:rsidRPr="0090467E">
        <w:t>. En otros aspect</w:t>
      </w:r>
      <w:r w:rsidR="00564B60" w:rsidRPr="0090467E">
        <w:t>os los resultados son similares a los observados en los otros dominios.</w:t>
      </w:r>
    </w:p>
    <w:p w:rsidR="00F26745" w:rsidRPr="00685B66" w:rsidRDefault="00F26745" w:rsidP="004F1B17">
      <w:pPr>
        <w:pStyle w:val="Ttulo3"/>
        <w:numPr>
          <w:ilvl w:val="0"/>
          <w:numId w:val="15"/>
        </w:numPr>
        <w:rPr>
          <w:sz w:val="26"/>
          <w:szCs w:val="26"/>
        </w:rPr>
      </w:pPr>
      <w:r w:rsidRPr="00685B66">
        <w:rPr>
          <w:sz w:val="26"/>
          <w:szCs w:val="26"/>
        </w:rPr>
        <w:t>Televisión por Suscripción</w:t>
      </w:r>
    </w:p>
    <w:p w:rsidR="00525EC4" w:rsidRPr="00F52AA7" w:rsidRDefault="00525EC4" w:rsidP="004F1B17">
      <w:r w:rsidRPr="00F52AA7">
        <w:t>La demanda de los hogares por televisión por suscripción es el segundo eslabón de la secuencia de acceso al mundo digital, seguida posteriormente por el Internet.</w:t>
      </w:r>
    </w:p>
    <w:p w:rsidR="00525EC4" w:rsidRPr="00F52AA7" w:rsidRDefault="00525EC4" w:rsidP="004F1B17">
      <w:r w:rsidRPr="00F52AA7">
        <w:t xml:space="preserve">Según indica el cuadro </w:t>
      </w:r>
      <w:r w:rsidR="006B0C9D">
        <w:t>A</w:t>
      </w:r>
      <w:r w:rsidRPr="00F52AA7">
        <w:t>1.</w:t>
      </w:r>
      <w:r w:rsidR="007F25A6">
        <w:t>8</w:t>
      </w:r>
      <w:r w:rsidRPr="00F52AA7">
        <w:t>,</w:t>
      </w:r>
      <w:r w:rsidR="006B0C9D">
        <w:t xml:space="preserve"> del Anexo A1</w:t>
      </w:r>
      <w:r w:rsidRPr="00F52AA7">
        <w:t xml:space="preserve"> la presencia de televisión por suscripción en los hogares residentes en las cabeceras municipales del país, con una muestra de 22.013 hogares, presenta un incremento de 5,2% por factores exógenos</w:t>
      </w:r>
      <w:r w:rsidR="004F455A" w:rsidRPr="00F52AA7">
        <w:t xml:space="preserve"> a las variables de origen familiar</w:t>
      </w:r>
      <w:r w:rsidRPr="00F52AA7">
        <w:t xml:space="preserve"> entr</w:t>
      </w:r>
      <w:r w:rsidR="004F455A" w:rsidRPr="00F52AA7">
        <w:t>e el año 2010 y el año 2012. Por otro lado, los</w:t>
      </w:r>
      <w:r w:rsidRPr="00F52AA7">
        <w:t xml:space="preserve"> efectos fijos de la región de residencia con respecto a Bogotá D.C, que es usado como base son significativos para todas las regiones. En Antioquia y Valle están significativamente por encima de Bogotá D.C. entre 4</w:t>
      </w:r>
      <w:r w:rsidR="004F455A" w:rsidRPr="00F52AA7">
        <w:t>.6</w:t>
      </w:r>
      <w:r w:rsidRPr="00F52AA7">
        <w:t xml:space="preserve"> y 5%, mientras que en el resto del país e</w:t>
      </w:r>
      <w:r w:rsidR="00436F4D" w:rsidRPr="00F52AA7">
        <w:t>stán por debajo de Bogotá en</w:t>
      </w:r>
      <w:r w:rsidRPr="00F52AA7">
        <w:t xml:space="preserve"> 32% en San Andrés, </w:t>
      </w:r>
      <w:r w:rsidR="00436F4D" w:rsidRPr="00F52AA7">
        <w:t xml:space="preserve">en </w:t>
      </w:r>
      <w:r w:rsidRPr="00F52AA7">
        <w:t>23,5% en la región atlántica y llega a 4,6% en las cabeceras municipales de la región</w:t>
      </w:r>
      <w:r w:rsidR="00436F4D" w:rsidRPr="00F52AA7">
        <w:t xml:space="preserve"> Central</w:t>
      </w:r>
      <w:r w:rsidRPr="00F52AA7">
        <w:t>. En términos de los niveles de educación de los miembros e</w:t>
      </w:r>
      <w:r w:rsidR="00436F4D" w:rsidRPr="00F52AA7">
        <w:t>l hogar, la demanda de Televisión por Suscripción</w:t>
      </w:r>
      <w:r w:rsidRPr="00F52AA7">
        <w:t xml:space="preserve"> muestra una relación creciente con el nivel de educación alcanzado</w:t>
      </w:r>
      <w:r w:rsidR="00436F4D" w:rsidRPr="00F52AA7">
        <w:t>, como en los otros servicios de telecomunicaciones analizados hasta el momento.</w:t>
      </w:r>
      <w:r w:rsidRPr="00F52AA7">
        <w:t xml:space="preserve"> </w:t>
      </w:r>
      <w:r w:rsidR="00436F4D" w:rsidRPr="00F52AA7">
        <w:t>La presencia de personas de diferentes rangos de  edad, a diferencia de los anteriores servicios analizados no tiene una influencia significativa en la demanda por este servicio</w:t>
      </w:r>
      <w:r w:rsidRPr="00F52AA7">
        <w:t>. Finalmente, el ingreso familiar tiene un impacto positivo y muy significativo so</w:t>
      </w:r>
      <w:r w:rsidR="004A31D3" w:rsidRPr="00F52AA7">
        <w:t>bre la demanda de televisión por suscripción</w:t>
      </w:r>
      <w:r w:rsidRPr="00F52AA7">
        <w:t xml:space="preserve"> en el hogar. </w:t>
      </w:r>
    </w:p>
    <w:p w:rsidR="00525EC4" w:rsidRPr="00F52AA7" w:rsidRDefault="00525EC4" w:rsidP="004F1B17">
      <w:r w:rsidRPr="00F52AA7">
        <w:t>En l</w:t>
      </w:r>
      <w:r w:rsidR="004A31D3" w:rsidRPr="00F52AA7">
        <w:t>os centros poblados menores o</w:t>
      </w:r>
      <w:r w:rsidRPr="00F52AA7">
        <w:t xml:space="preserve"> inspecciones de policía a nivel nacional, con una muestra de 5.169 hogares, estos resultados</w:t>
      </w:r>
      <w:r w:rsidR="00CB205B" w:rsidRPr="00F52AA7">
        <w:t xml:space="preserve"> de la demanda de Televisión por Suscripción</w:t>
      </w:r>
      <w:r w:rsidRPr="00F52AA7">
        <w:t xml:space="preserve"> tienden también a replicarse con algunas variaciones me</w:t>
      </w:r>
      <w:r w:rsidR="007F25A6">
        <w:t xml:space="preserve">nores, como indica el cuadro </w:t>
      </w:r>
      <w:r w:rsidR="006B0C9D">
        <w:t>A</w:t>
      </w:r>
      <w:r w:rsidR="007F25A6">
        <w:t>1.9</w:t>
      </w:r>
      <w:r w:rsidR="006B0C9D">
        <w:t>, del Anexo A1</w:t>
      </w:r>
      <w:r w:rsidRPr="00F52AA7">
        <w:t>. Por un lado, el aum</w:t>
      </w:r>
      <w:r w:rsidR="00CB205B" w:rsidRPr="00F52AA7">
        <w:t>ento en la demanda de Televisión por Suscripción</w:t>
      </w:r>
      <w:r w:rsidRPr="00F52AA7">
        <w:t xml:space="preserve"> entre el 2010 y el 2012, por razones exógenas</w:t>
      </w:r>
      <w:r w:rsidR="004A31D3" w:rsidRPr="00F52AA7">
        <w:t xml:space="preserve"> a las variables de origen </w:t>
      </w:r>
      <w:r w:rsidR="004A31D3" w:rsidRPr="00F52AA7">
        <w:lastRenderedPageBreak/>
        <w:t>familiar es mayor en este dominio (9,3%% versus 5.2</w:t>
      </w:r>
      <w:r w:rsidRPr="00F52AA7">
        <w:t>% en cabeceras municipales). Por otro lado, los efectos fijos de las regiones donde residen los hogares en este dominio</w:t>
      </w:r>
      <w:r w:rsidR="004A31D3" w:rsidRPr="00F52AA7">
        <w:t>,</w:t>
      </w:r>
      <w:r w:rsidRPr="00F52AA7">
        <w:t xml:space="preserve"> toman</w:t>
      </w:r>
      <w:r w:rsidR="004A31D3" w:rsidRPr="00F52AA7">
        <w:t>do</w:t>
      </w:r>
      <w:r w:rsidRPr="00F52AA7">
        <w:t xml:space="preserve"> como base la región Central, </w:t>
      </w:r>
      <w:r w:rsidR="004A31D3" w:rsidRPr="00F52AA7">
        <w:t>muestran que el efecto fijo sobre la demanda por este servicio es mayor que en la región central en las regiones de Antioquia y Valle y menor en las regiones Atlántica y Oriental.</w:t>
      </w:r>
      <w:r w:rsidR="001A72D1" w:rsidRPr="00F52AA7">
        <w:t xml:space="preserve"> </w:t>
      </w:r>
      <w:r w:rsidRPr="00F52AA7">
        <w:t>En términos de los niveles de educación alcanzados</w:t>
      </w:r>
      <w:r w:rsidR="001A72D1" w:rsidRPr="00F52AA7">
        <w:t xml:space="preserve"> en este dominio</w:t>
      </w:r>
      <w:r w:rsidRPr="00F52AA7">
        <w:t>, los efectos también son similares a los observados en las cabeceras municipales del país, con excepción de la presencia de personas con educación universitaria en el hogar, que en este dominio muestra un impacto menor, que el observado en las cab</w:t>
      </w:r>
      <w:r w:rsidR="001A72D1" w:rsidRPr="00F52AA7">
        <w:t>eceras municipales.</w:t>
      </w:r>
      <w:r w:rsidRPr="00F52AA7">
        <w:t xml:space="preserve"> </w:t>
      </w:r>
      <w:proofErr w:type="gramStart"/>
      <w:r w:rsidRPr="00F52AA7">
        <w:t>los</w:t>
      </w:r>
      <w:proofErr w:type="gramEnd"/>
      <w:r w:rsidRPr="00F52AA7">
        <w:t xml:space="preserve"> efectos de la presencia de diferentes grupos de edad en</w:t>
      </w:r>
      <w:r w:rsidR="001A72D1" w:rsidRPr="00F52AA7">
        <w:t xml:space="preserve"> los hogares de este dominio son significativos, un resultado muy similar al observado</w:t>
      </w:r>
      <w:r w:rsidRPr="00F52AA7">
        <w:t xml:space="preserve"> en las cabeceras municipales.</w:t>
      </w:r>
    </w:p>
    <w:p w:rsidR="00564B60" w:rsidRPr="00F52AA7" w:rsidRDefault="00525EC4" w:rsidP="004F1B17">
      <w:r w:rsidRPr="00F52AA7">
        <w:t>Finalmente, según p</w:t>
      </w:r>
      <w:r w:rsidR="006A539F" w:rsidRPr="00F52AA7">
        <w:t xml:space="preserve">uede observarse en el cuadro </w:t>
      </w:r>
      <w:r w:rsidR="006B0C9D">
        <w:t>A</w:t>
      </w:r>
      <w:r w:rsidR="006A539F" w:rsidRPr="00F52AA7">
        <w:t>1.</w:t>
      </w:r>
      <w:r w:rsidR="007F25A6">
        <w:t>10</w:t>
      </w:r>
      <w:r w:rsidRPr="00F52AA7">
        <w:t xml:space="preserve"> para el área rural dispersa del país con una mu</w:t>
      </w:r>
      <w:r w:rsidR="006A539F" w:rsidRPr="00F52AA7">
        <w:t>estra de 8.498 hogares, el aumento en la demanda de</w:t>
      </w:r>
      <w:r w:rsidR="009B0EE1" w:rsidRPr="00F52AA7">
        <w:t xml:space="preserve"> T</w:t>
      </w:r>
      <w:r w:rsidR="006A539F" w:rsidRPr="00F52AA7">
        <w:t>elevisi</w:t>
      </w:r>
      <w:r w:rsidR="009B0EE1" w:rsidRPr="00F52AA7">
        <w:t>ón por S</w:t>
      </w:r>
      <w:r w:rsidR="006A539F" w:rsidRPr="00F52AA7">
        <w:t>uscripción,</w:t>
      </w:r>
      <w:r w:rsidRPr="00F52AA7">
        <w:t xml:space="preserve"> por razones exógenas</w:t>
      </w:r>
      <w:r w:rsidR="006A539F" w:rsidRPr="00F52AA7">
        <w:t xml:space="preserve"> a las variables familiares,</w:t>
      </w:r>
      <w:r w:rsidRPr="00F52AA7">
        <w:t xml:space="preserve"> es</w:t>
      </w:r>
      <w:r w:rsidR="006A539F" w:rsidRPr="00F52AA7">
        <w:t xml:space="preserve"> ligeramente superior</w:t>
      </w:r>
      <w:r w:rsidRPr="00F52AA7">
        <w:t xml:space="preserve"> a la observada en las cabeceras municipales</w:t>
      </w:r>
      <w:r w:rsidR="006A539F" w:rsidRPr="00F52AA7">
        <w:t xml:space="preserve"> (5,7% versus 5,2%), pero es inferior a la observada</w:t>
      </w:r>
      <w:r w:rsidRPr="00F52AA7">
        <w:t xml:space="preserve"> en los centros poblados meno</w:t>
      </w:r>
      <w:r w:rsidR="001A72D1" w:rsidRPr="00F52AA7">
        <w:t>res o inspecciones de policía</w:t>
      </w:r>
      <w:r w:rsidR="006A539F" w:rsidRPr="00F52AA7">
        <w:t xml:space="preserve"> (9,3%)</w:t>
      </w:r>
      <w:r w:rsidR="001A72D1" w:rsidRPr="00F52AA7">
        <w:t>. L</w:t>
      </w:r>
      <w:r w:rsidRPr="00F52AA7">
        <w:t>os efectos fijos</w:t>
      </w:r>
      <w:r w:rsidR="001A72D1" w:rsidRPr="00F52AA7">
        <w:t xml:space="preserve"> observados para las regiones analizadas son</w:t>
      </w:r>
      <w:r w:rsidR="009B0EE1" w:rsidRPr="00F52AA7">
        <w:t xml:space="preserve"> parecidos</w:t>
      </w:r>
      <w:r w:rsidR="001A72D1" w:rsidRPr="00F52AA7">
        <w:t xml:space="preserve"> a los observados</w:t>
      </w:r>
      <w:r w:rsidR="006A539F" w:rsidRPr="00F52AA7">
        <w:t xml:space="preserve"> en los centros poblados o inspecciones de policía</w:t>
      </w:r>
      <w:r w:rsidR="009B0EE1" w:rsidRPr="00F52AA7">
        <w:t>, con la única excepción en Antioquia, donde la demanda de televisión por suscripción está por debajo de la región central y solo el Valle está significativamente por encima. Por otro lado, en este dominio del área rural dispersa la demanda de Televisión por Suscripción responde con más intensidad a los niveles de educación alcanzados por la población. Por ejemplo, mientras el impacto de la educación universitaria sobre la demanda es de 16.1% en cabeceras municipales y de 12,5% en centros poblados e inspecciones de policía, en el área rural dispersa es de 24%. Finalmente el Ingreso familiar tiene un impacto muy significativo sobre la demanda de Televisión por Suscripción en este dominio: 13.</w:t>
      </w:r>
      <w:r w:rsidR="00B347F0" w:rsidRPr="00F52AA7">
        <w:t>6%, superior al observado en las cabeceras municipales (10,4%), aunque inferior al observado en los centros poblados menores (15,3%).</w:t>
      </w:r>
      <w:r w:rsidR="009B0EE1" w:rsidRPr="00F52AA7">
        <w:t xml:space="preserve">  </w:t>
      </w:r>
    </w:p>
    <w:p w:rsidR="003A2765" w:rsidRPr="00685B66" w:rsidRDefault="007700A9" w:rsidP="004F1B17">
      <w:pPr>
        <w:pStyle w:val="Ttulo3"/>
        <w:numPr>
          <w:ilvl w:val="0"/>
          <w:numId w:val="15"/>
        </w:numPr>
        <w:rPr>
          <w:sz w:val="26"/>
          <w:szCs w:val="26"/>
        </w:rPr>
      </w:pPr>
      <w:r w:rsidRPr="00685B66">
        <w:rPr>
          <w:sz w:val="26"/>
          <w:szCs w:val="26"/>
        </w:rPr>
        <w:t>Internet</w:t>
      </w:r>
    </w:p>
    <w:p w:rsidR="00B347F0" w:rsidRDefault="00B347F0" w:rsidP="004F1B17">
      <w:r w:rsidRPr="00F52AA7">
        <w:t xml:space="preserve">La demanda de los hogares por servicios de internet es el tercero y último eslabón de la secuencia de acceso al mundo digital que se ha examinado dentro de esta indagación. La variable dependiente de esta función de demanda es la presencia de Internet en el hogar. </w:t>
      </w:r>
      <w:r w:rsidR="00812C2D">
        <w:t xml:space="preserve">En el caso de la demanda de los hogares por  Internet uno de los factores dominantes de la expansión observada entre el año 2010 y el año 2012 es el </w:t>
      </w:r>
      <w:r w:rsidR="00D269E5">
        <w:t>desarrollo de las acciones del P</w:t>
      </w:r>
      <w:r w:rsidR="00812C2D">
        <w:t>lan Vive Digital en este período. Es con relación a</w:t>
      </w:r>
      <w:r w:rsidRPr="00F52AA7">
        <w:t xml:space="preserve"> este último </w:t>
      </w:r>
      <w:r w:rsidRPr="00F52AA7">
        <w:lastRenderedPageBreak/>
        <w:t xml:space="preserve">producto que se espera que las actividades del </w:t>
      </w:r>
      <w:r w:rsidR="0015190D">
        <w:t>Plan</w:t>
      </w:r>
      <w:r w:rsidRPr="00F52AA7">
        <w:t xml:space="preserve"> </w:t>
      </w:r>
      <w:r w:rsidR="00F52AA7" w:rsidRPr="00F52AA7">
        <w:t xml:space="preserve">Vive Digital hayan </w:t>
      </w:r>
      <w:r w:rsidRPr="00F52AA7">
        <w:t>tenido un mayor impacto.</w:t>
      </w:r>
    </w:p>
    <w:p w:rsidR="00564B60" w:rsidRPr="009C2A5D" w:rsidRDefault="009C2A5D" w:rsidP="004F1B17">
      <w:pPr>
        <w:rPr>
          <w:rFonts w:ascii="Century Gothic" w:hAnsi="Century Gothic"/>
          <w:bCs/>
          <w:color w:val="404040"/>
          <w:lang w:eastAsia="es-ES"/>
        </w:rPr>
      </w:pPr>
      <w:r>
        <w:rPr>
          <w:rFonts w:ascii="Century Gothic" w:hAnsi="Century Gothic"/>
          <w:bCs/>
          <w:color w:val="404040"/>
          <w:lang w:eastAsia="es-ES"/>
        </w:rPr>
        <w:t>d1.</w:t>
      </w:r>
      <w:r>
        <w:rPr>
          <w:rFonts w:ascii="Century Gothic" w:hAnsi="Century Gothic"/>
          <w:bCs/>
          <w:color w:val="404040"/>
          <w:lang w:eastAsia="es-ES"/>
        </w:rPr>
        <w:tab/>
      </w:r>
      <w:r w:rsidR="008977C6">
        <w:rPr>
          <w:rFonts w:ascii="Century Gothic" w:hAnsi="Century Gothic"/>
          <w:bCs/>
          <w:color w:val="404040"/>
          <w:lang w:eastAsia="es-ES"/>
        </w:rPr>
        <w:t>Internet e</w:t>
      </w:r>
      <w:r>
        <w:rPr>
          <w:rFonts w:ascii="Century Gothic" w:hAnsi="Century Gothic"/>
          <w:bCs/>
          <w:color w:val="404040"/>
          <w:lang w:eastAsia="es-ES"/>
        </w:rPr>
        <w:t>n c</w:t>
      </w:r>
      <w:r w:rsidR="00564B60" w:rsidRPr="009C2A5D">
        <w:rPr>
          <w:rFonts w:ascii="Century Gothic" w:hAnsi="Century Gothic"/>
          <w:bCs/>
          <w:color w:val="404040"/>
          <w:lang w:eastAsia="es-ES"/>
        </w:rPr>
        <w:t>abeceras municipales</w:t>
      </w:r>
    </w:p>
    <w:p w:rsidR="00E87A20" w:rsidRPr="00F52AA7" w:rsidRDefault="00B347F0" w:rsidP="004F1B17">
      <w:r w:rsidRPr="00F52AA7">
        <w:t xml:space="preserve">Según indica el cuadro </w:t>
      </w:r>
      <w:r w:rsidR="008F58F3">
        <w:t>A</w:t>
      </w:r>
      <w:r w:rsidRPr="00F52AA7">
        <w:t>1.</w:t>
      </w:r>
      <w:r w:rsidR="007F25A6">
        <w:t>11</w:t>
      </w:r>
      <w:r w:rsidR="008F58F3">
        <w:t xml:space="preserve"> del Anexo A1</w:t>
      </w:r>
      <w:r w:rsidRPr="00F52AA7">
        <w:t>, la presencia de Internet en los hogares residentes en las cabeceras municipales del país, con una muestra de 22.013 hogares, presenta un incremento de 17,8% por factores exógenos a las variables de origen familiar entre el año 2010 y el año 2012; tasa de crecimiento</w:t>
      </w:r>
      <w:r w:rsidR="00E87A20" w:rsidRPr="00F52AA7">
        <w:t xml:space="preserve"> inferior a la observada para la penetración del </w:t>
      </w:r>
      <w:r w:rsidR="00534CF0">
        <w:t>móvil</w:t>
      </w:r>
      <w:r w:rsidR="00E87A20" w:rsidRPr="00F52AA7">
        <w:t xml:space="preserve"> al interior de los hogares colombianos en el mismo período (22,1%), pero superior</w:t>
      </w:r>
      <w:r w:rsidRPr="00F52AA7">
        <w:t xml:space="preserve"> a la observada en la demanda por</w:t>
      </w:r>
      <w:r w:rsidR="00E87A20" w:rsidRPr="00F52AA7">
        <w:t xml:space="preserve"> televisión por suscripción (5,2%).</w:t>
      </w:r>
      <w:r w:rsidRPr="00F52AA7">
        <w:t xml:space="preserve"> </w:t>
      </w:r>
    </w:p>
    <w:p w:rsidR="004E0B4E" w:rsidRPr="00F52AA7" w:rsidRDefault="00B347F0" w:rsidP="004F1B17">
      <w:r w:rsidRPr="00F52AA7">
        <w:t>Por otro lado, los efectos fijos de la región de residencia con respecto a Bogotá D.C, que es usado como base</w:t>
      </w:r>
      <w:r w:rsidR="00564B60" w:rsidRPr="00F52AA7">
        <w:t xml:space="preserve"> en este dominio,</w:t>
      </w:r>
      <w:r w:rsidR="0093792B" w:rsidRPr="00F52AA7">
        <w:t xml:space="preserve"> están por debajo de Bogotá D.C en todas las regiones consideradas: Cerca de 10-11% en Antioquia, Valle y la región Central, 16,2% en la región Oriental y entre 24 y 31% en el resto (regiones At</w:t>
      </w:r>
      <w:r w:rsidR="00F52AA7">
        <w:t>lántica, Pacífica, Orinoquia - A</w:t>
      </w:r>
      <w:r w:rsidR="0093792B" w:rsidRPr="00F52AA7">
        <w:t>mazonia y San Andrés).</w:t>
      </w:r>
    </w:p>
    <w:p w:rsidR="002E1ADE" w:rsidRPr="00F52AA7" w:rsidRDefault="00B347F0" w:rsidP="004F1B17">
      <w:r w:rsidRPr="00F52AA7">
        <w:t>En término</w:t>
      </w:r>
      <w:r w:rsidR="0093792B" w:rsidRPr="00F52AA7">
        <w:t>s de los niveles de educación alcanzados</w:t>
      </w:r>
      <w:r w:rsidR="00F92C83" w:rsidRPr="00F52AA7">
        <w:t>, los resultados</w:t>
      </w:r>
      <w:r w:rsidRPr="00F52AA7">
        <w:t xml:space="preserve"> muestra</w:t>
      </w:r>
      <w:r w:rsidR="00F92C83" w:rsidRPr="00F52AA7">
        <w:t>n</w:t>
      </w:r>
      <w:r w:rsidR="0093792B" w:rsidRPr="00F52AA7">
        <w:t xml:space="preserve"> que el tener</w:t>
      </w:r>
      <w:r w:rsidR="00F92C83" w:rsidRPr="00F52AA7">
        <w:t xml:space="preserve"> en el hogar</w:t>
      </w:r>
      <w:r w:rsidR="0093792B" w:rsidRPr="00F52AA7">
        <w:t xml:space="preserve"> personas con educaci</w:t>
      </w:r>
      <w:r w:rsidR="00F92C83" w:rsidRPr="00F52AA7">
        <w:t xml:space="preserve">ón universitaria en este dominio, incrementa la demanda por Internet en 28%, y contar con personas con educación técnica la incrementa en 12,4%. A niveles de educación más bajos los resultados son contradictorios: o no son significativos (presencia de personas con educación media) o son negativos (presencia de personas con educación básica). </w:t>
      </w:r>
    </w:p>
    <w:p w:rsidR="00F92C83" w:rsidRPr="00F52AA7" w:rsidRDefault="002E1ADE" w:rsidP="004F1B17">
      <w:r w:rsidRPr="00F52AA7">
        <w:t>En términos de las edades de los miembros de hogar</w:t>
      </w:r>
      <w:r w:rsidR="00F92C83" w:rsidRPr="00F52AA7">
        <w:t xml:space="preserve">, </w:t>
      </w:r>
      <w:r w:rsidRPr="00F52AA7">
        <w:t>los hogares con personas entre 12 y 17 años aumenta</w:t>
      </w:r>
      <w:r w:rsidR="00F92C83" w:rsidRPr="00F52AA7">
        <w:t xml:space="preserve"> la demanda de Internet</w:t>
      </w:r>
      <w:r w:rsidRPr="00F52AA7">
        <w:t xml:space="preserve"> en 14,2%, con respecto a la situación de no tener personas en ese rango; la presencia de personas entre 18 y 34 años de edad la incrementa en 11,5%, la presencia de personas entre 35 y 60 años la incrementa en 13,7%</w:t>
      </w:r>
      <w:r w:rsidR="00C30C63" w:rsidRPr="00F52AA7">
        <w:t xml:space="preserve"> y</w:t>
      </w:r>
      <w:r w:rsidRPr="00F52AA7">
        <w:t xml:space="preserve"> la presencia de mayores de 60 años la incrementa en 8%</w:t>
      </w:r>
      <w:r w:rsidR="00C30C63" w:rsidRPr="00F52AA7">
        <w:t>.</w:t>
      </w:r>
      <w:r w:rsidR="00F92C83" w:rsidRPr="00F52AA7">
        <w:t xml:space="preserve">  </w:t>
      </w:r>
    </w:p>
    <w:p w:rsidR="00C30C63" w:rsidRPr="00F52AA7" w:rsidRDefault="00C30C63" w:rsidP="004F1B17">
      <w:r w:rsidRPr="00F52AA7">
        <w:t>Finalmente, el ingreso del hogar, sumando los ingresos devengados por todos sus miembros, tiene un impacto significativo sobre la demanda de Internet.</w:t>
      </w:r>
    </w:p>
    <w:p w:rsidR="00C30C63" w:rsidRPr="009C2A5D" w:rsidRDefault="008977C6" w:rsidP="004F1B17">
      <w:pPr>
        <w:rPr>
          <w:rFonts w:ascii="Century Gothic" w:hAnsi="Century Gothic"/>
          <w:bCs/>
          <w:color w:val="404040"/>
          <w:lang w:eastAsia="es-ES"/>
        </w:rPr>
      </w:pPr>
      <w:r>
        <w:rPr>
          <w:rFonts w:ascii="Century Gothic" w:hAnsi="Century Gothic"/>
          <w:bCs/>
          <w:color w:val="404040"/>
          <w:lang w:eastAsia="es-ES"/>
        </w:rPr>
        <w:t>d2.</w:t>
      </w:r>
      <w:r>
        <w:rPr>
          <w:rFonts w:ascii="Century Gothic" w:hAnsi="Century Gothic"/>
          <w:bCs/>
          <w:color w:val="404040"/>
          <w:lang w:eastAsia="es-ES"/>
        </w:rPr>
        <w:tab/>
        <w:t>Internet e</w:t>
      </w:r>
      <w:r w:rsidR="009C2A5D">
        <w:rPr>
          <w:rFonts w:ascii="Century Gothic" w:hAnsi="Century Gothic"/>
          <w:bCs/>
          <w:color w:val="404040"/>
          <w:lang w:eastAsia="es-ES"/>
        </w:rPr>
        <w:t>n c</w:t>
      </w:r>
      <w:r w:rsidR="00C30C63" w:rsidRPr="009C2A5D">
        <w:rPr>
          <w:rFonts w:ascii="Century Gothic" w:hAnsi="Century Gothic"/>
          <w:bCs/>
          <w:color w:val="404040"/>
          <w:lang w:eastAsia="es-ES"/>
        </w:rPr>
        <w:t>entros poblados menores o inspecciones de policía</w:t>
      </w:r>
    </w:p>
    <w:p w:rsidR="00C30C63" w:rsidRPr="00F52AA7" w:rsidRDefault="00B347F0" w:rsidP="004F1B17">
      <w:r w:rsidRPr="00F52AA7">
        <w:t>En los centros poblados menores o inspecciones de policía a nivel nacional, con una muestra de 5.169 hogares, estos resultados de la deman</w:t>
      </w:r>
      <w:r w:rsidR="00C30C63" w:rsidRPr="00F52AA7">
        <w:t>da de Internet</w:t>
      </w:r>
      <w:r w:rsidRPr="00F52AA7">
        <w:t xml:space="preserve"> tienden también a replicarse con algunas variaciones me</w:t>
      </w:r>
      <w:r w:rsidR="00C30C63" w:rsidRPr="00F52AA7">
        <w:t xml:space="preserve">nores, como indica el cuadro </w:t>
      </w:r>
      <w:r w:rsidR="008F58F3">
        <w:t>A</w:t>
      </w:r>
      <w:r w:rsidR="00C30C63" w:rsidRPr="00F52AA7">
        <w:t>1.</w:t>
      </w:r>
      <w:r w:rsidR="007F25A6">
        <w:t>12</w:t>
      </w:r>
      <w:r w:rsidR="008F58F3">
        <w:t xml:space="preserve"> del Anexo A1.</w:t>
      </w:r>
      <w:r w:rsidRPr="00F52AA7">
        <w:t xml:space="preserve"> </w:t>
      </w:r>
      <w:r w:rsidRPr="00F52AA7">
        <w:lastRenderedPageBreak/>
        <w:t xml:space="preserve">Por un lado, el aumento en la demanda </w:t>
      </w:r>
      <w:r w:rsidR="00C30C63" w:rsidRPr="00F52AA7">
        <w:t>de Internet</w:t>
      </w:r>
      <w:r w:rsidRPr="00F52AA7">
        <w:t xml:space="preserve"> entre el 2010 y el 2012, por razones exógenas a las variables de origen famili</w:t>
      </w:r>
      <w:r w:rsidR="00C30C63" w:rsidRPr="00F52AA7">
        <w:t>ar es mayor en este dominio</w:t>
      </w:r>
      <w:r w:rsidR="008F58F3">
        <w:t xml:space="preserve"> que en cabeceras municipales</w:t>
      </w:r>
      <w:r w:rsidR="00C30C63" w:rsidRPr="00F52AA7">
        <w:t xml:space="preserve"> (26,7% versus 17,8</w:t>
      </w:r>
      <w:r w:rsidR="008F58F3">
        <w:t>%</w:t>
      </w:r>
      <w:r w:rsidRPr="00F52AA7">
        <w:t xml:space="preserve">). </w:t>
      </w:r>
      <w:r w:rsidR="00C30C63" w:rsidRPr="00F52AA7">
        <w:t xml:space="preserve">Este es un resultado muy importante para el </w:t>
      </w:r>
      <w:r w:rsidR="00CF0D7D">
        <w:t>Plan</w:t>
      </w:r>
      <w:r w:rsidR="00C30C63" w:rsidRPr="00F52AA7">
        <w:t xml:space="preserve"> </w:t>
      </w:r>
      <w:r w:rsidR="00CF0D7D" w:rsidRPr="00F52AA7">
        <w:t>Vive Digita</w:t>
      </w:r>
      <w:r w:rsidR="00CF0D7D">
        <w:t>l</w:t>
      </w:r>
      <w:r w:rsidR="008F58F3">
        <w:t>, ya q</w:t>
      </w:r>
      <w:r w:rsidR="0015190D">
        <w:t>ue puede ser en buena medida de su</w:t>
      </w:r>
      <w:r w:rsidR="00C30C63" w:rsidRPr="00F52AA7">
        <w:t xml:space="preserve"> impa</w:t>
      </w:r>
      <w:r w:rsidR="008F58F3">
        <w:t>cto en la periferia</w:t>
      </w:r>
      <w:r w:rsidR="00EF25FB" w:rsidRPr="00F52AA7">
        <w:t>.</w:t>
      </w:r>
      <w:r w:rsidR="00C30C63" w:rsidRPr="00F52AA7">
        <w:t xml:space="preserve"> </w:t>
      </w:r>
    </w:p>
    <w:p w:rsidR="006156B0" w:rsidRPr="00F52AA7" w:rsidRDefault="00B347F0" w:rsidP="004F1B17">
      <w:r w:rsidRPr="00F52AA7">
        <w:t>Por otro lado, los efectos fijos de las regiones donde residen los hogares en es</w:t>
      </w:r>
      <w:r w:rsidR="008F58F3">
        <w:t>te dominio muestran que dicho efecto fijo</w:t>
      </w:r>
      <w:r w:rsidRPr="00F52AA7">
        <w:t xml:space="preserve"> es mayor que en la región central</w:t>
      </w:r>
      <w:r w:rsidR="00EF25FB" w:rsidRPr="00F52AA7">
        <w:t>, tomada como base, en Antioquia,</w:t>
      </w:r>
      <w:r w:rsidRPr="00F52AA7">
        <w:t xml:space="preserve"> Valle</w:t>
      </w:r>
      <w:r w:rsidR="00EF25FB" w:rsidRPr="00F52AA7">
        <w:t xml:space="preserve"> y la región Oriental</w:t>
      </w:r>
      <w:r w:rsidRPr="00F52AA7">
        <w:t xml:space="preserve"> y menor en l</w:t>
      </w:r>
      <w:r w:rsidR="00EF25FB" w:rsidRPr="00F52AA7">
        <w:t>as regiones Atlántica y Pacífica</w:t>
      </w:r>
      <w:r w:rsidRPr="00F52AA7">
        <w:t>. En términos de los niveles de educación alcanzados</w:t>
      </w:r>
      <w:r w:rsidR="00EF25FB" w:rsidRPr="00F52AA7">
        <w:t xml:space="preserve"> por los miembros del hogar</w:t>
      </w:r>
      <w:r w:rsidRPr="00F52AA7">
        <w:t xml:space="preserve"> en este dominio, los </w:t>
      </w:r>
      <w:r w:rsidR="00EF25FB" w:rsidRPr="00F52AA7">
        <w:t>resultados muestran  que el impacto sobre la demanda de internet aumenta con los niveles de escolaridad alcanzados por sus miembros, hasta alcanzar un impacto de 32% para los hogares con presencia de personas con educación universitaria en el hogar. Finalmente, el ingreso del hogar tiene un impacto de 15,1% en la demanda de internet en este dominio, superior al impacto encontrado en las cabeceras municipales.</w:t>
      </w:r>
    </w:p>
    <w:p w:rsidR="00EF25FB" w:rsidRPr="009C2A5D" w:rsidRDefault="008977C6" w:rsidP="004F1B17">
      <w:pPr>
        <w:rPr>
          <w:rFonts w:ascii="Century Gothic" w:hAnsi="Century Gothic"/>
          <w:bCs/>
          <w:color w:val="404040"/>
          <w:lang w:eastAsia="es-ES"/>
        </w:rPr>
      </w:pPr>
      <w:r>
        <w:rPr>
          <w:rFonts w:ascii="Century Gothic" w:hAnsi="Century Gothic"/>
          <w:bCs/>
          <w:color w:val="404040"/>
          <w:lang w:eastAsia="es-ES"/>
        </w:rPr>
        <w:t>d3.</w:t>
      </w:r>
      <w:r>
        <w:rPr>
          <w:rFonts w:ascii="Century Gothic" w:hAnsi="Century Gothic"/>
          <w:bCs/>
          <w:color w:val="404040"/>
          <w:lang w:eastAsia="es-ES"/>
        </w:rPr>
        <w:tab/>
        <w:t>Internet e</w:t>
      </w:r>
      <w:r w:rsidR="009C2A5D">
        <w:rPr>
          <w:rFonts w:ascii="Century Gothic" w:hAnsi="Century Gothic"/>
          <w:bCs/>
          <w:color w:val="404040"/>
          <w:lang w:eastAsia="es-ES"/>
        </w:rPr>
        <w:t>n</w:t>
      </w:r>
      <w:r>
        <w:rPr>
          <w:rFonts w:ascii="Century Gothic" w:hAnsi="Century Gothic"/>
          <w:bCs/>
          <w:color w:val="404040"/>
          <w:lang w:eastAsia="es-ES"/>
        </w:rPr>
        <w:t xml:space="preserve"> el</w:t>
      </w:r>
      <w:r w:rsidR="009C2A5D">
        <w:rPr>
          <w:rFonts w:ascii="Century Gothic" w:hAnsi="Century Gothic"/>
          <w:bCs/>
          <w:color w:val="404040"/>
          <w:lang w:eastAsia="es-ES"/>
        </w:rPr>
        <w:t xml:space="preserve"> área r</w:t>
      </w:r>
      <w:r w:rsidR="00E16551" w:rsidRPr="009C2A5D">
        <w:rPr>
          <w:rFonts w:ascii="Century Gothic" w:hAnsi="Century Gothic"/>
          <w:bCs/>
          <w:color w:val="404040"/>
          <w:lang w:eastAsia="es-ES"/>
        </w:rPr>
        <w:t>ural dispersa</w:t>
      </w:r>
    </w:p>
    <w:p w:rsidR="008F58F3" w:rsidRPr="00F52AA7" w:rsidRDefault="00B347F0" w:rsidP="004F1B17">
      <w:r w:rsidRPr="00F52AA7">
        <w:t>Finalmente, según p</w:t>
      </w:r>
      <w:r w:rsidR="00466B44" w:rsidRPr="00F52AA7">
        <w:t xml:space="preserve">uede observarse en el cuadro </w:t>
      </w:r>
      <w:r w:rsidR="008F58F3">
        <w:t>A</w:t>
      </w:r>
      <w:r w:rsidR="00466B44" w:rsidRPr="00F52AA7">
        <w:t>1.</w:t>
      </w:r>
      <w:r w:rsidR="007F25A6">
        <w:t>13</w:t>
      </w:r>
      <w:r w:rsidR="008F58F3">
        <w:t xml:space="preserve"> del Anexo A1,</w:t>
      </w:r>
      <w:r w:rsidRPr="00F52AA7">
        <w:t xml:space="preserve"> para el área rural dispersa del país con una muestra de 8.498 hogares, el aume</w:t>
      </w:r>
      <w:r w:rsidR="00E16551" w:rsidRPr="00F52AA7">
        <w:t>nto en la demanda de Internet</w:t>
      </w:r>
      <w:r w:rsidRPr="00F52AA7">
        <w:t>, por razones exógenas a las vari</w:t>
      </w:r>
      <w:r w:rsidR="00E16551" w:rsidRPr="00F52AA7">
        <w:t>ables familiares, es significativamente</w:t>
      </w:r>
      <w:r w:rsidRPr="00F52AA7">
        <w:t xml:space="preserve"> superior a la observada e</w:t>
      </w:r>
      <w:r w:rsidR="00E16551" w:rsidRPr="00F52AA7">
        <w:t>n las cabeceras municipales (30,8% versus 17,8</w:t>
      </w:r>
      <w:r w:rsidRPr="00F52AA7">
        <w:t>%</w:t>
      </w:r>
      <w:r w:rsidR="00E16551" w:rsidRPr="00F52AA7">
        <w:t xml:space="preserve"> en cabeceras), y </w:t>
      </w:r>
      <w:r w:rsidRPr="00F52AA7">
        <w:t>en los centros poblados menore</w:t>
      </w:r>
      <w:r w:rsidR="00E16551" w:rsidRPr="00F52AA7">
        <w:t>s o inspecciones de policía (26.7</w:t>
      </w:r>
      <w:r w:rsidRPr="00F52AA7">
        <w:t xml:space="preserve">%). </w:t>
      </w:r>
      <w:r w:rsidR="008F58F3" w:rsidRPr="00F52AA7">
        <w:t>Este</w:t>
      </w:r>
      <w:r w:rsidR="008F58F3">
        <w:t xml:space="preserve"> también</w:t>
      </w:r>
      <w:r w:rsidR="008F58F3" w:rsidRPr="00F52AA7">
        <w:t xml:space="preserve"> es un resultado muy importante para el </w:t>
      </w:r>
      <w:r w:rsidR="008F58F3">
        <w:t>Plan</w:t>
      </w:r>
      <w:r w:rsidR="008F58F3" w:rsidRPr="00F52AA7">
        <w:t xml:space="preserve"> Vive Digita</w:t>
      </w:r>
      <w:r w:rsidR="008F58F3">
        <w:t xml:space="preserve">l, ya que comprueba en buena medida </w:t>
      </w:r>
      <w:r w:rsidR="001D3134">
        <w:t>su</w:t>
      </w:r>
      <w:r w:rsidR="008F58F3" w:rsidRPr="00F52AA7">
        <w:t xml:space="preserve"> impa</w:t>
      </w:r>
      <w:r w:rsidR="001D3134">
        <w:t xml:space="preserve">cto </w:t>
      </w:r>
      <w:r w:rsidR="008F58F3">
        <w:t>en la periferia</w:t>
      </w:r>
      <w:r w:rsidR="008F58F3" w:rsidRPr="00F52AA7">
        <w:t xml:space="preserve">. </w:t>
      </w:r>
    </w:p>
    <w:p w:rsidR="00B347F0" w:rsidRDefault="00B347F0" w:rsidP="004F1B17">
      <w:r w:rsidRPr="00F52AA7">
        <w:t>Los efectos fijos observados</w:t>
      </w:r>
      <w:r w:rsidR="00466B44" w:rsidRPr="00F52AA7">
        <w:t xml:space="preserve"> en el área rural dispersa</w:t>
      </w:r>
      <w:r w:rsidRPr="00F52AA7">
        <w:t xml:space="preserve"> para las regiones analizadas</w:t>
      </w:r>
      <w:r w:rsidR="00775678" w:rsidRPr="00F52AA7">
        <w:t>,</w:t>
      </w:r>
      <w:r w:rsidR="00466B44" w:rsidRPr="00F52AA7">
        <w:t xml:space="preserve"> muestran que la demanda por Internet</w:t>
      </w:r>
      <w:r w:rsidR="00775678" w:rsidRPr="00F52AA7">
        <w:t xml:space="preserve"> es</w:t>
      </w:r>
      <w:r w:rsidR="00466B44" w:rsidRPr="00F52AA7">
        <w:t xml:space="preserve"> similar a la de la región Central, tomada como base, en las regiones</w:t>
      </w:r>
      <w:r w:rsidRPr="00F52AA7">
        <w:t xml:space="preserve"> </w:t>
      </w:r>
      <w:r w:rsidR="00466B44" w:rsidRPr="00F52AA7">
        <w:t xml:space="preserve">Oriental, Antioquia y Valle, pero es inferior en las regiones Atlántica y Pacífica. </w:t>
      </w:r>
      <w:r w:rsidRPr="00F52AA7">
        <w:t>Por otro lado, en este dominio del área rural dispersa la d</w:t>
      </w:r>
      <w:r w:rsidR="00466B44" w:rsidRPr="00F52AA7">
        <w:t>emanda por Internet</w:t>
      </w:r>
      <w:r w:rsidR="00775678" w:rsidRPr="00F52AA7">
        <w:t xml:space="preserve"> crece significativamente con el nivel</w:t>
      </w:r>
      <w:r w:rsidRPr="00F52AA7">
        <w:t xml:space="preserve"> </w:t>
      </w:r>
      <w:r w:rsidR="00775678" w:rsidRPr="00F52AA7">
        <w:t xml:space="preserve">de educación alcanzado por sus miembros y la educación tiene más impacto en este dominio, que en las cabeceras o los centros poblados menores. </w:t>
      </w:r>
      <w:r w:rsidRPr="00F52AA7">
        <w:t>Por ejemplo, mientras el impacto de la educación universit</w:t>
      </w:r>
      <w:r w:rsidR="00775678" w:rsidRPr="00F52AA7">
        <w:t>aria sobre la demanda es de 28</w:t>
      </w:r>
      <w:r w:rsidRPr="00F52AA7">
        <w:t>% en</w:t>
      </w:r>
      <w:r w:rsidR="00775678" w:rsidRPr="00F52AA7">
        <w:t xml:space="preserve"> cabeceras municipales y de 32</w:t>
      </w:r>
      <w:r w:rsidRPr="00F52AA7">
        <w:t>% en centros poblados e inspecciones de policía, en el</w:t>
      </w:r>
      <w:r w:rsidR="00775678" w:rsidRPr="00F52AA7">
        <w:t xml:space="preserve"> área rural dispersa es de 39,6</w:t>
      </w:r>
      <w:r w:rsidRPr="00F52AA7">
        <w:t>%. Finalmente el Ingreso familiar tiene un impacto muy significativo sobre la deman</w:t>
      </w:r>
      <w:r w:rsidR="00775678" w:rsidRPr="00F52AA7">
        <w:t>da de Internet en este dominio de 16</w:t>
      </w:r>
      <w:r w:rsidRPr="00F52AA7">
        <w:t>%, superior al observado en</w:t>
      </w:r>
      <w:r w:rsidR="00775678" w:rsidRPr="00F52AA7">
        <w:t xml:space="preserve"> las cabeceras municipales (11,6%), y similar</w:t>
      </w:r>
      <w:r w:rsidRPr="00F52AA7">
        <w:t xml:space="preserve"> al observado en lo</w:t>
      </w:r>
      <w:r w:rsidR="00775678" w:rsidRPr="00F52AA7">
        <w:t>s centros poblados menores (15,1</w:t>
      </w:r>
      <w:r w:rsidRPr="00F52AA7">
        <w:t xml:space="preserve">%).  </w:t>
      </w:r>
    </w:p>
    <w:p w:rsidR="001E50E5" w:rsidRDefault="004145D8" w:rsidP="004F1B17">
      <w:pPr>
        <w:pStyle w:val="Ttulo2"/>
        <w:numPr>
          <w:ilvl w:val="0"/>
          <w:numId w:val="0"/>
        </w:numPr>
        <w:spacing w:after="0"/>
        <w:ind w:left="578" w:hanging="578"/>
      </w:pPr>
      <w:bookmarkStart w:id="98" w:name="_Toc405992295"/>
      <w:r>
        <w:lastRenderedPageBreak/>
        <w:t>2.2</w:t>
      </w:r>
      <w:r>
        <w:tab/>
        <w:t>El uso de las TIC</w:t>
      </w:r>
      <w:r w:rsidR="00654EB8">
        <w:t>,</w:t>
      </w:r>
      <w:r>
        <w:t xml:space="preserve"> la generación de ingreso</w:t>
      </w:r>
      <w:r w:rsidR="007E691C">
        <w:t xml:space="preserve"> y la reducción de la pobreza</w:t>
      </w:r>
      <w:r w:rsidR="00654EB8">
        <w:t xml:space="preserve"> a nivel familiar</w:t>
      </w:r>
      <w:bookmarkEnd w:id="98"/>
    </w:p>
    <w:p w:rsidR="008A5F2C" w:rsidRDefault="000F512A" w:rsidP="004F1B17">
      <w:r>
        <w:t>Los incentivos que el Plan</w:t>
      </w:r>
      <w:r w:rsidR="008A5F2C">
        <w:t xml:space="preserve"> </w:t>
      </w:r>
      <w:r>
        <w:t xml:space="preserve">Vive Digital </w:t>
      </w:r>
      <w:r w:rsidR="008A5F2C">
        <w:t>ha utilizado para promover la demanda de productos y servicios de las TIC</w:t>
      </w:r>
      <w:r w:rsidR="00D96BE7">
        <w:t xml:space="preserve"> se han orientado en gran medida a facilitar el consumo por parte de personas de bajos ingresos; y, por el lado de la oferta la expansión de cobertura se ha orientado hacia regiones apartadas del territorio nacional, como son los a</w:t>
      </w:r>
      <w:r w:rsidR="006B12E9">
        <w:t>ntiguos territorios nacionales,</w:t>
      </w:r>
      <w:r w:rsidR="00D96BE7">
        <w:t xml:space="preserve"> hacia centros poblados por fuera de las cabeceras municipales y hacia la zona rural dispersa de todo el territorio nacional.</w:t>
      </w:r>
    </w:p>
    <w:p w:rsidR="00D96BE7" w:rsidRDefault="00D96BE7" w:rsidP="004F1B17">
      <w:r>
        <w:t>Tanto los incentivos por el lado de la demanda, como los planes de expansión de la oferta</w:t>
      </w:r>
      <w:r w:rsidR="006B12E9">
        <w:t>, apuntan en la dirección</w:t>
      </w:r>
      <w:r w:rsidR="00EF39D2">
        <w:t xml:space="preserve"> </w:t>
      </w:r>
      <w:r w:rsidR="00763E15">
        <w:t>de llegar a poblaciones de menores ingresos. Esto significa</w:t>
      </w:r>
      <w:r w:rsidR="00EF39D2">
        <w:t xml:space="preserve"> que el Plan </w:t>
      </w:r>
      <w:r w:rsidR="000F512A">
        <w:t xml:space="preserve">Vive Digital </w:t>
      </w:r>
      <w:r w:rsidR="00EF39D2">
        <w:t>podría tener un impacto positivo sobre la</w:t>
      </w:r>
      <w:r w:rsidR="00763E15">
        <w:t xml:space="preserve"> distribución del ingreso y la</w:t>
      </w:r>
      <w:r w:rsidR="00EF39D2">
        <w:t xml:space="preserve"> reducción de la pobreza, si los efectos sobre la productividad de trabajadores independientes y de peque</w:t>
      </w:r>
      <w:r w:rsidR="00763E15">
        <w:t>ños establecimientos agrícolas, de industria comercio,</w:t>
      </w:r>
      <w:r w:rsidR="00EF39D2">
        <w:t xml:space="preserve"> servicios y pequeños negocios</w:t>
      </w:r>
      <w:r w:rsidR="00763E15">
        <w:t>, en general,</w:t>
      </w:r>
      <w:r w:rsidR="00EF39D2">
        <w:t xml:space="preserve"> efectivamente se producen.</w:t>
      </w:r>
      <w:r w:rsidR="00763E15">
        <w:t xml:space="preserve"> Por otro lado, si estos efectos p</w:t>
      </w:r>
      <w:r w:rsidR="004145D8">
        <w:t>roductivos se producen, esto</w:t>
      </w:r>
      <w:r w:rsidR="00763E15">
        <w:t xml:space="preserve"> se debe reflejar en los ingresos de los hogares a nivel nacional y territorial, que es más fácil de comprobar que los efectos mismos de productividad.  </w:t>
      </w:r>
    </w:p>
    <w:p w:rsidR="00DF5D2A" w:rsidRDefault="00EF39D2" w:rsidP="004F1B17">
      <w:r>
        <w:t>Par</w:t>
      </w:r>
      <w:r w:rsidR="00763E15">
        <w:t>a evaluar esta última hipótesis</w:t>
      </w:r>
      <w:r>
        <w:t xml:space="preserve"> se propone utilizar como fuente de información la misma que se utilizó para examinar las relaciones de causalidad por el lado de la demanda: Las Encuestas de Calidad de Vida</w:t>
      </w:r>
      <w:r w:rsidR="000F512A">
        <w:t xml:space="preserve"> (ECV)</w:t>
      </w:r>
      <w:r>
        <w:t xml:space="preserve"> del DANE para el período 2010 – 2012. </w:t>
      </w:r>
      <w:r w:rsidR="004145D8">
        <w:t>Con esta fuente de información</w:t>
      </w:r>
      <w:r w:rsidR="00165641">
        <w:t xml:space="preserve"> se realizaron dos ejercicios: i) un primer </w:t>
      </w:r>
      <w:r w:rsidR="00F52EC6">
        <w:t>ejercicio examina</w:t>
      </w:r>
      <w:r w:rsidR="00165641">
        <w:t xml:space="preserve"> el incremento entre 2010 y 2012 en las coberturas de Telefonía Móvil e Internet, que son los dos productos TIC de nueva tecnología que pueden tener e</w:t>
      </w:r>
      <w:r w:rsidR="00F52EC6">
        <w:t>fectos productivos importantes,</w:t>
      </w:r>
      <w:r w:rsidR="004145D8">
        <w:t xml:space="preserve"> </w:t>
      </w:r>
      <w:r w:rsidR="00165641">
        <w:t>por deciles de la distribución del ingreso familiar a nivel nacional</w:t>
      </w:r>
      <w:r w:rsidR="00F52EC6">
        <w:t>, para verificar si el consumo de estos dos productos muestra tendencias convergentes o divergentes, frente a la distribución del ingreso; y ii) Un segundo ejercicio examina el posible efecto de la tenencia y uso de la Telefonía Móvil y del Internet, a nivel de hogar, sobre el proceso de generación de ingresos familiares</w:t>
      </w:r>
      <w:r w:rsidR="00654EB8">
        <w:t>. Los resultados de estos dos ejercicios se presentan a  continuación.</w:t>
      </w:r>
      <w:r w:rsidR="00F52EC6">
        <w:t xml:space="preserve"> </w:t>
      </w:r>
    </w:p>
    <w:p w:rsidR="00E3206A" w:rsidRPr="00654EB8" w:rsidRDefault="00E3206A" w:rsidP="00D269E5">
      <w:pPr>
        <w:pStyle w:val="Ttulo3"/>
        <w:numPr>
          <w:ilvl w:val="3"/>
          <w:numId w:val="29"/>
        </w:numPr>
      </w:pPr>
      <w:r w:rsidRPr="00654EB8">
        <w:rPr>
          <w:sz w:val="26"/>
          <w:szCs w:val="26"/>
        </w:rPr>
        <w:t>Incremento en la</w:t>
      </w:r>
      <w:r w:rsidR="005E2128" w:rsidRPr="00654EB8">
        <w:rPr>
          <w:sz w:val="26"/>
          <w:szCs w:val="26"/>
        </w:rPr>
        <w:t>s</w:t>
      </w:r>
      <w:r w:rsidRPr="00654EB8">
        <w:rPr>
          <w:sz w:val="26"/>
          <w:szCs w:val="26"/>
        </w:rPr>
        <w:t xml:space="preserve"> </w:t>
      </w:r>
      <w:r w:rsidR="00D269E5">
        <w:rPr>
          <w:sz w:val="26"/>
          <w:szCs w:val="26"/>
        </w:rPr>
        <w:t>c</w:t>
      </w:r>
      <w:r w:rsidR="00D269E5" w:rsidRPr="00D269E5">
        <w:rPr>
          <w:sz w:val="26"/>
          <w:szCs w:val="26"/>
        </w:rPr>
        <w:t>oberturas de Telefonía Móvil e Internet por deciles de la distribución del ingreso familiar entre 2010 y 2012</w:t>
      </w:r>
    </w:p>
    <w:p w:rsidR="00D443F5" w:rsidRDefault="00E907B0" w:rsidP="004F1B17">
      <w:r>
        <w:t>La Telefon</w:t>
      </w:r>
      <w:r w:rsidR="00C77BD2">
        <w:t>ía M</w:t>
      </w:r>
      <w:r>
        <w:t>óvil es el primer eslabón de la cadena de productos TIC digitalizados. Los resultados</w:t>
      </w:r>
      <w:r w:rsidR="00E3206A">
        <w:t xml:space="preserve"> </w:t>
      </w:r>
      <w:r w:rsidR="00C77BD2">
        <w:t>del incremento en su cobertura</w:t>
      </w:r>
      <w:r w:rsidR="00E3206A">
        <w:t xml:space="preserve"> entre el año 2010 y el año 2012, dos </w:t>
      </w:r>
      <w:r w:rsidR="00E3206A">
        <w:lastRenderedPageBreak/>
        <w:t>años después de haberse puesto en marcha</w:t>
      </w:r>
      <w:r w:rsidR="00C77BD2">
        <w:t xml:space="preserve"> el Plan Vive Digita</w:t>
      </w:r>
      <w:r w:rsidR="00A73051">
        <w:t>l, se muestran en el Cuadro 2.</w:t>
      </w:r>
      <w:r w:rsidR="00C77BD2">
        <w:t>1.</w:t>
      </w:r>
      <w:r w:rsidR="00E3206A">
        <w:t xml:space="preserve"> </w:t>
      </w:r>
      <w:r w:rsidR="00C77BD2">
        <w:t xml:space="preserve"> Como puede observarse, d</w:t>
      </w:r>
      <w:r w:rsidR="00E3206A">
        <w:t>os son los resultados más importantes de esta indagación: Por un lado</w:t>
      </w:r>
      <w:r w:rsidR="00D269E5">
        <w:t>,</w:t>
      </w:r>
      <w:r w:rsidR="00E3206A">
        <w:t xml:space="preserve"> los altos niveles de cobertura</w:t>
      </w:r>
      <w:r w:rsidR="00C77BD2">
        <w:t xml:space="preserve"> que ya se habían alcanzado</w:t>
      </w:r>
      <w:r w:rsidR="00E3206A">
        <w:t xml:space="preserve"> en el año 2010 y, por el otro, </w:t>
      </w:r>
      <w:r w:rsidR="005E2128">
        <w:t>el ritmo desacelerado</w:t>
      </w:r>
      <w:r w:rsidR="00C77BD2">
        <w:t xml:space="preserve"> de este crecimiento por deciles de la distribución de ingresos</w:t>
      </w:r>
      <w:r w:rsidR="00E3206A">
        <w:t xml:space="preserve"> entre el año 2010 y el año 2012</w:t>
      </w:r>
      <w:r w:rsidR="00C77BD2">
        <w:t xml:space="preserve">, que de 12% en el </w:t>
      </w:r>
      <w:proofErr w:type="spellStart"/>
      <w:r w:rsidR="00C77BD2">
        <w:t>decil</w:t>
      </w:r>
      <w:proofErr w:type="spellEnd"/>
      <w:r w:rsidR="00C77BD2">
        <w:t xml:space="preserve"> 1 pasó a</w:t>
      </w:r>
      <w:r w:rsidR="00E3206A">
        <w:t xml:space="preserve"> 1,2% en el </w:t>
      </w:r>
      <w:proofErr w:type="spellStart"/>
      <w:r w:rsidR="00E3206A">
        <w:t>decil</w:t>
      </w:r>
      <w:proofErr w:type="spellEnd"/>
      <w:r w:rsidR="00E3206A">
        <w:t xml:space="preserve"> 10, dond</w:t>
      </w:r>
      <w:r w:rsidR="00DF5D2A">
        <w:t xml:space="preserve">e </w:t>
      </w:r>
      <w:r w:rsidR="00C77BD2">
        <w:t>la</w:t>
      </w:r>
      <w:r w:rsidR="00E3206A">
        <w:t xml:space="preserve"> cobe</w:t>
      </w:r>
      <w:r w:rsidR="00DF5D2A">
        <w:t>r</w:t>
      </w:r>
      <w:r w:rsidR="00E3206A">
        <w:t>tura</w:t>
      </w:r>
      <w:r w:rsidR="00C77BD2">
        <w:t xml:space="preserve"> alcanzada</w:t>
      </w:r>
      <w:r w:rsidR="00E3206A">
        <w:t xml:space="preserve"> a nivel de hogares es prácticamente universal </w:t>
      </w:r>
      <w:r w:rsidR="00DF5D2A">
        <w:t>(99.75%). Este segundo resultado corrobora la hipótesis de que la cobertura de todos estos servicios con pretensión de ser servicios universales sigue una curva log</w:t>
      </w:r>
      <w:r w:rsidR="00C77BD2">
        <w:t>ística que tiende a 100%</w:t>
      </w:r>
      <w:r w:rsidR="00DF5D2A">
        <w:t xml:space="preserve"> en el largo plazo, como indican estas cifras para el período más reciente. </w:t>
      </w:r>
    </w:p>
    <w:p w:rsidR="00AC2127" w:rsidRPr="00C8488E" w:rsidRDefault="00CF4219" w:rsidP="00CF4219">
      <w:pPr>
        <w:pStyle w:val="T-Figura"/>
        <w:rPr>
          <w:lang w:eastAsia="es-ES"/>
        </w:rPr>
      </w:pPr>
      <w:r>
        <w:rPr>
          <w:lang w:eastAsia="es-ES"/>
        </w:rPr>
        <w:t>Cuadro 2.</w:t>
      </w:r>
      <w:r w:rsidR="00C8488E">
        <w:rPr>
          <w:lang w:eastAsia="es-ES"/>
        </w:rPr>
        <w:t>1</w:t>
      </w:r>
      <w:r>
        <w:rPr>
          <w:lang w:eastAsia="es-ES"/>
        </w:rPr>
        <w:t xml:space="preserve"> – Telefonía móvil</w:t>
      </w:r>
      <w:r w:rsidR="00EC1144">
        <w:rPr>
          <w:lang w:eastAsia="es-ES"/>
        </w:rPr>
        <w:t xml:space="preserve"> - </w:t>
      </w:r>
      <w:r w:rsidR="00EC1144" w:rsidRPr="00EC1144">
        <w:rPr>
          <w:lang w:eastAsia="es-ES"/>
        </w:rPr>
        <w:t>Diferenci</w:t>
      </w:r>
      <w:r w:rsidR="005A4439">
        <w:rPr>
          <w:lang w:eastAsia="es-ES"/>
        </w:rPr>
        <w:t xml:space="preserve">a de medias a nivel nacional en </w:t>
      </w:r>
      <w:r w:rsidR="00EC1144" w:rsidRPr="00EC1144">
        <w:rPr>
          <w:lang w:eastAsia="es-ES"/>
        </w:rPr>
        <w:t>el % de cobertura de Telefonía Móvil por deciles de la distribución de ingresos a nivel familiar entre los años 2010 y 2012</w:t>
      </w:r>
    </w:p>
    <w:tbl>
      <w:tblPr>
        <w:tblW w:w="7820" w:type="dxa"/>
        <w:jc w:val="center"/>
        <w:tblCellMar>
          <w:left w:w="70" w:type="dxa"/>
          <w:right w:w="70" w:type="dxa"/>
        </w:tblCellMar>
        <w:tblLook w:val="04A0"/>
      </w:tblPr>
      <w:tblGrid>
        <w:gridCol w:w="605"/>
        <w:gridCol w:w="2293"/>
        <w:gridCol w:w="978"/>
        <w:gridCol w:w="978"/>
        <w:gridCol w:w="1474"/>
        <w:gridCol w:w="1492"/>
      </w:tblGrid>
      <w:tr w:rsidR="003C287E" w:rsidRPr="00EC1144" w:rsidTr="005A4439">
        <w:trPr>
          <w:trHeight w:val="300"/>
          <w:tblHeader/>
          <w:jc w:val="center"/>
        </w:trPr>
        <w:tc>
          <w:tcPr>
            <w:tcW w:w="605" w:type="dxa"/>
            <w:tcBorders>
              <w:top w:val="single" w:sz="4" w:space="0" w:color="A6A6A6"/>
              <w:left w:val="nil"/>
              <w:bottom w:val="single" w:sz="4" w:space="0" w:color="A6A6A6"/>
              <w:right w:val="nil"/>
            </w:tcBorders>
            <w:shd w:val="clear" w:color="auto" w:fill="A6A6A6" w:themeFill="background1" w:themeFillShade="A6"/>
            <w:noWrap/>
            <w:vAlign w:val="center"/>
            <w:hideMark/>
          </w:tcPr>
          <w:p w:rsidR="003C287E" w:rsidRPr="00EC1144" w:rsidRDefault="003C287E" w:rsidP="00EC1144">
            <w:pPr>
              <w:spacing w:before="0" w:line="240" w:lineRule="auto"/>
              <w:jc w:val="center"/>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Decil</w:t>
            </w:r>
          </w:p>
        </w:tc>
        <w:tc>
          <w:tcPr>
            <w:tcW w:w="2293" w:type="dxa"/>
            <w:tcBorders>
              <w:top w:val="single" w:sz="4" w:space="0" w:color="A6A6A6"/>
              <w:left w:val="nil"/>
              <w:bottom w:val="single" w:sz="4" w:space="0" w:color="A6A6A6"/>
              <w:right w:val="nil"/>
            </w:tcBorders>
            <w:shd w:val="clear" w:color="auto" w:fill="A6A6A6" w:themeFill="background1" w:themeFillShade="A6"/>
            <w:noWrap/>
            <w:vAlign w:val="center"/>
            <w:hideMark/>
          </w:tcPr>
          <w:p w:rsidR="003C287E" w:rsidRPr="00EC1144" w:rsidRDefault="003C287E" w:rsidP="00EC1144">
            <w:pPr>
              <w:spacing w:before="0" w:line="240" w:lineRule="auto"/>
              <w:jc w:val="center"/>
              <w:rPr>
                <w:rFonts w:ascii="Arial Narrow" w:eastAsia="Times New Roman" w:hAnsi="Arial Narrow" w:cs="Times New Roman"/>
                <w:b/>
                <w:bCs/>
                <w:color w:val="000000"/>
                <w:sz w:val="20"/>
                <w:szCs w:val="20"/>
                <w:lang w:val="es-CO" w:eastAsia="es-CO"/>
              </w:rPr>
            </w:pPr>
          </w:p>
        </w:tc>
        <w:tc>
          <w:tcPr>
            <w:tcW w:w="978" w:type="dxa"/>
            <w:tcBorders>
              <w:top w:val="single" w:sz="4" w:space="0" w:color="A6A6A6"/>
              <w:left w:val="nil"/>
              <w:bottom w:val="single" w:sz="4" w:space="0" w:color="A6A6A6"/>
              <w:right w:val="nil"/>
            </w:tcBorders>
            <w:shd w:val="clear" w:color="auto" w:fill="A6A6A6" w:themeFill="background1" w:themeFillShade="A6"/>
            <w:noWrap/>
            <w:vAlign w:val="center"/>
            <w:hideMark/>
          </w:tcPr>
          <w:p w:rsidR="003C287E" w:rsidRPr="00EC1144" w:rsidRDefault="003C287E" w:rsidP="00EC1144">
            <w:pPr>
              <w:spacing w:before="0" w:line="240" w:lineRule="auto"/>
              <w:jc w:val="center"/>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2010</w:t>
            </w:r>
          </w:p>
        </w:tc>
        <w:tc>
          <w:tcPr>
            <w:tcW w:w="978" w:type="dxa"/>
            <w:tcBorders>
              <w:top w:val="single" w:sz="4" w:space="0" w:color="A6A6A6"/>
              <w:left w:val="nil"/>
              <w:bottom w:val="single" w:sz="4" w:space="0" w:color="A6A6A6"/>
              <w:right w:val="nil"/>
            </w:tcBorders>
            <w:shd w:val="clear" w:color="auto" w:fill="A6A6A6" w:themeFill="background1" w:themeFillShade="A6"/>
            <w:noWrap/>
            <w:vAlign w:val="center"/>
            <w:hideMark/>
          </w:tcPr>
          <w:p w:rsidR="003C287E" w:rsidRPr="00EC1144" w:rsidRDefault="003C287E" w:rsidP="00EC1144">
            <w:pPr>
              <w:spacing w:before="0" w:line="240" w:lineRule="auto"/>
              <w:jc w:val="center"/>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2012</w:t>
            </w:r>
          </w:p>
        </w:tc>
        <w:tc>
          <w:tcPr>
            <w:tcW w:w="1474" w:type="dxa"/>
            <w:tcBorders>
              <w:top w:val="single" w:sz="4" w:space="0" w:color="A6A6A6"/>
              <w:left w:val="nil"/>
              <w:bottom w:val="single" w:sz="4" w:space="0" w:color="A6A6A6"/>
              <w:right w:val="nil"/>
            </w:tcBorders>
            <w:shd w:val="clear" w:color="auto" w:fill="A6A6A6" w:themeFill="background1" w:themeFillShade="A6"/>
            <w:noWrap/>
            <w:vAlign w:val="center"/>
            <w:hideMark/>
          </w:tcPr>
          <w:p w:rsidR="003C287E" w:rsidRPr="00EC1144" w:rsidRDefault="003C287E" w:rsidP="00EC1144">
            <w:pPr>
              <w:spacing w:before="0" w:line="240" w:lineRule="auto"/>
              <w:jc w:val="center"/>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Diferencia</w:t>
            </w:r>
          </w:p>
        </w:tc>
        <w:tc>
          <w:tcPr>
            <w:tcW w:w="1492" w:type="dxa"/>
            <w:tcBorders>
              <w:top w:val="single" w:sz="4" w:space="0" w:color="A6A6A6"/>
              <w:left w:val="nil"/>
              <w:bottom w:val="single" w:sz="4" w:space="0" w:color="A6A6A6"/>
              <w:right w:val="nil"/>
            </w:tcBorders>
            <w:shd w:val="clear" w:color="auto" w:fill="A6A6A6" w:themeFill="background1" w:themeFillShade="A6"/>
            <w:noWrap/>
            <w:vAlign w:val="center"/>
            <w:hideMark/>
          </w:tcPr>
          <w:p w:rsidR="003C287E" w:rsidRPr="00EC1144" w:rsidRDefault="00EC1144" w:rsidP="00EC1144">
            <w:pPr>
              <w:spacing w:before="0" w:line="240" w:lineRule="auto"/>
              <w:jc w:val="center"/>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 xml:space="preserve">% de </w:t>
            </w:r>
            <w:proofErr w:type="spellStart"/>
            <w:r w:rsidRPr="00EC1144">
              <w:rPr>
                <w:rFonts w:ascii="Arial Narrow" w:eastAsia="Times New Roman" w:hAnsi="Arial Narrow" w:cs="Times New Roman"/>
                <w:b/>
                <w:bCs/>
                <w:color w:val="000000"/>
                <w:sz w:val="20"/>
                <w:szCs w:val="20"/>
                <w:lang w:val="es-CO" w:eastAsia="es-CO"/>
              </w:rPr>
              <w:t>C</w:t>
            </w:r>
            <w:r w:rsidR="003C287E" w:rsidRPr="00EC1144">
              <w:rPr>
                <w:rFonts w:ascii="Arial Narrow" w:eastAsia="Times New Roman" w:hAnsi="Arial Narrow" w:cs="Times New Roman"/>
                <w:b/>
                <w:bCs/>
                <w:color w:val="000000"/>
                <w:sz w:val="20"/>
                <w:szCs w:val="20"/>
                <w:lang w:val="es-CO" w:eastAsia="es-CO"/>
              </w:rPr>
              <w:t>recim</w:t>
            </w:r>
            <w:proofErr w:type="spellEnd"/>
            <w:r w:rsidR="003C287E" w:rsidRPr="00EC1144">
              <w:rPr>
                <w:rFonts w:ascii="Arial Narrow" w:eastAsia="Times New Roman" w:hAnsi="Arial Narrow" w:cs="Times New Roman"/>
                <w:b/>
                <w:bCs/>
                <w:color w:val="000000"/>
                <w:sz w:val="20"/>
                <w:szCs w:val="20"/>
                <w:lang w:val="es-CO" w:eastAsia="es-CO"/>
              </w:rPr>
              <w:t>.</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79.06</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88.54</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9.48</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12.0%</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w:t>
            </w:r>
            <w:r w:rsidR="003C287E" w:rsidRPr="00EC1144">
              <w:rPr>
                <w:rFonts w:ascii="Arial Narrow" w:eastAsia="Times New Roman" w:hAnsi="Arial Narrow" w:cs="Times New Roman"/>
                <w:color w:val="000000"/>
                <w:sz w:val="20"/>
                <w:szCs w:val="20"/>
                <w:lang w:val="es-CO" w:eastAsia="es-CO"/>
              </w:rPr>
              <w:t>22)</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685)</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DA71EB">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w:t>
            </w:r>
            <w:r w:rsidR="003C287E" w:rsidRPr="00EC1144">
              <w:rPr>
                <w:rFonts w:ascii="Arial Narrow" w:eastAsia="Times New Roman" w:hAnsi="Arial Narrow" w:cs="Times New Roman"/>
                <w:color w:val="000000"/>
                <w:sz w:val="20"/>
                <w:szCs w:val="20"/>
                <w:lang w:val="es-CO" w:eastAsia="es-CO"/>
              </w:rPr>
              <w:t>1</w:t>
            </w:r>
            <w:r w:rsidRPr="00EC1144">
              <w:rPr>
                <w:rFonts w:ascii="Arial Narrow" w:eastAsia="Times New Roman" w:hAnsi="Arial Narrow" w:cs="Times New Roman"/>
                <w:color w:val="000000"/>
                <w:sz w:val="20"/>
                <w:szCs w:val="20"/>
                <w:lang w:val="es-CO" w:eastAsia="es-CO"/>
              </w:rPr>
              <w:t>.</w:t>
            </w:r>
            <w:r w:rsidR="003C287E" w:rsidRPr="00EC1144">
              <w:rPr>
                <w:rFonts w:ascii="Arial Narrow" w:eastAsia="Times New Roman" w:hAnsi="Arial Narrow" w:cs="Times New Roman"/>
                <w:color w:val="000000"/>
                <w:sz w:val="20"/>
                <w:szCs w:val="20"/>
                <w:lang w:val="es-CO" w:eastAsia="es-CO"/>
              </w:rPr>
              <w:t>403</w:t>
            </w:r>
            <w:r w:rsidRPr="00EC1144">
              <w:rPr>
                <w:rFonts w:ascii="Arial Narrow" w:eastAsia="Times New Roman" w:hAnsi="Arial Narrow" w:cs="Times New Roman"/>
                <w:color w:val="000000"/>
                <w:sz w:val="20"/>
                <w:szCs w:val="20"/>
                <w:lang w:val="es-CO" w:eastAsia="es-CO"/>
              </w:rPr>
              <w:t>)</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1,103</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2,164</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1,061</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2</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82.31</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91.33</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9.02</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11.0%</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991)</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766)</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w:t>
            </w:r>
            <w:r w:rsidR="003C287E" w:rsidRPr="00EC1144">
              <w:rPr>
                <w:rFonts w:ascii="Arial Narrow" w:eastAsia="Times New Roman" w:hAnsi="Arial Narrow" w:cs="Times New Roman"/>
                <w:color w:val="000000"/>
                <w:sz w:val="20"/>
                <w:szCs w:val="20"/>
                <w:lang w:val="es-CO" w:eastAsia="es-CO"/>
              </w:rPr>
              <w:t>253</w:t>
            </w:r>
            <w:r w:rsidRPr="00EC1144">
              <w:rPr>
                <w:rFonts w:ascii="Arial Narrow" w:eastAsia="Times New Roman" w:hAnsi="Arial Narrow" w:cs="Times New Roman"/>
                <w:color w:val="000000"/>
                <w:sz w:val="20"/>
                <w:szCs w:val="20"/>
                <w:lang w:val="es-CO" w:eastAsia="es-CO"/>
              </w:rPr>
              <w:t>)</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944</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1,388</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444</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3</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84.19</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93.36</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9.17</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10.9%</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w:t>
            </w:r>
            <w:r w:rsidR="003C287E" w:rsidRPr="00EC1144">
              <w:rPr>
                <w:rFonts w:ascii="Arial Narrow" w:eastAsia="Times New Roman" w:hAnsi="Arial Narrow" w:cs="Times New Roman"/>
                <w:color w:val="000000"/>
                <w:sz w:val="20"/>
                <w:szCs w:val="20"/>
                <w:lang w:val="es-CO" w:eastAsia="es-CO"/>
              </w:rPr>
              <w:t>184</w:t>
            </w:r>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676)</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w:t>
            </w:r>
            <w:r w:rsidR="003C287E" w:rsidRPr="00EC1144">
              <w:rPr>
                <w:rFonts w:ascii="Arial Narrow" w:eastAsia="Times New Roman" w:hAnsi="Arial Narrow" w:cs="Times New Roman"/>
                <w:color w:val="000000"/>
                <w:sz w:val="20"/>
                <w:szCs w:val="20"/>
                <w:lang w:val="es-CO" w:eastAsia="es-CO"/>
              </w:rPr>
              <w:t>364</w:t>
            </w:r>
            <w:r w:rsidRPr="00EC1144">
              <w:rPr>
                <w:rFonts w:ascii="Arial Narrow" w:eastAsia="Times New Roman" w:hAnsi="Arial Narrow" w:cs="Times New Roman"/>
                <w:color w:val="000000"/>
                <w:sz w:val="20"/>
                <w:szCs w:val="20"/>
                <w:lang w:val="es-CO" w:eastAsia="es-CO"/>
              </w:rPr>
              <w:t>)</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949</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1,356</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407</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4</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88.77</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96.36</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7.59</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8.6%</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w:t>
            </w:r>
            <w:r w:rsidR="003C287E" w:rsidRPr="00EC1144">
              <w:rPr>
                <w:rFonts w:ascii="Arial Narrow" w:eastAsia="Times New Roman" w:hAnsi="Arial Narrow" w:cs="Times New Roman"/>
                <w:color w:val="000000"/>
                <w:sz w:val="20"/>
                <w:szCs w:val="20"/>
                <w:lang w:val="es-CO" w:eastAsia="es-CO"/>
              </w:rPr>
              <w:t>0)</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402)</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w:t>
            </w:r>
            <w:r w:rsidR="003C287E" w:rsidRPr="00EC1144">
              <w:rPr>
                <w:rFonts w:ascii="Arial Narrow" w:eastAsia="Times New Roman" w:hAnsi="Arial Narrow" w:cs="Times New Roman"/>
                <w:color w:val="000000"/>
                <w:sz w:val="20"/>
                <w:szCs w:val="20"/>
                <w:lang w:val="es-CO" w:eastAsia="es-CO"/>
              </w:rPr>
              <w:t>08)</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988</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2,169</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1,181</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5</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91.21</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96.37</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5.16</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5.7%</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895)</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578)</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w:t>
            </w:r>
            <w:r w:rsidR="003C287E" w:rsidRPr="00EC1144">
              <w:rPr>
                <w:rFonts w:ascii="Arial Narrow" w:eastAsia="Times New Roman" w:hAnsi="Arial Narrow" w:cs="Times New Roman"/>
                <w:color w:val="000000"/>
                <w:sz w:val="20"/>
                <w:szCs w:val="20"/>
                <w:lang w:val="es-CO" w:eastAsia="es-CO"/>
              </w:rPr>
              <w:t>065</w:t>
            </w:r>
            <w:r w:rsidRPr="00EC1144">
              <w:rPr>
                <w:rFonts w:ascii="Arial Narrow" w:eastAsia="Times New Roman" w:hAnsi="Arial Narrow" w:cs="Times New Roman"/>
                <w:color w:val="000000"/>
                <w:sz w:val="20"/>
                <w:szCs w:val="20"/>
                <w:lang w:val="es-CO" w:eastAsia="es-CO"/>
              </w:rPr>
              <w:t>)</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1,001</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1,047</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46</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6</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92.11</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97.06</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4.95</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5.4%</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816)</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414)</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916)</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1,090</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1,664</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574</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7</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92.99</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98.55</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 xml:space="preserve">               5.56 </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6.0%</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7659)</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2996)</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8224)</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1,112</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1,589</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477</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8</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96.19</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99.19</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 xml:space="preserve">               3.00 </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3.1%</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576)</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223)</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618)</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1,103</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1,612</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677</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9</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96.79</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99.63</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 xml:space="preserve">               2.84 </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2.9%</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533)</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152)</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554)</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1,092</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1,604</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512</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r w:rsidR="003C287E" w:rsidRPr="00EC1144" w:rsidTr="005A4439">
        <w:trPr>
          <w:trHeight w:val="300"/>
          <w:jc w:val="center"/>
        </w:trPr>
        <w:tc>
          <w:tcPr>
            <w:tcW w:w="605" w:type="dxa"/>
            <w:vMerge w:val="restart"/>
            <w:tcBorders>
              <w:top w:val="single" w:sz="4" w:space="0" w:color="A6A6A6"/>
              <w:left w:val="nil"/>
              <w:bottom w:val="single" w:sz="4" w:space="0" w:color="A6A6A6"/>
              <w:right w:val="nil"/>
            </w:tcBorders>
            <w:shd w:val="clear" w:color="auto" w:fill="auto"/>
            <w:noWrap/>
            <w:vAlign w:val="center"/>
            <w:hideMark/>
          </w:tcPr>
          <w:p w:rsidR="003C287E" w:rsidRPr="00EC1144" w:rsidRDefault="003C287E" w:rsidP="003C287E">
            <w:pPr>
              <w:spacing w:before="0" w:line="240" w:lineRule="auto"/>
              <w:jc w:val="center"/>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10</w:t>
            </w: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Media</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98.55</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99.75</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b/>
                <w:bCs/>
                <w:color w:val="000000"/>
                <w:sz w:val="20"/>
                <w:szCs w:val="20"/>
                <w:lang w:val="es-CO" w:eastAsia="es-CO"/>
              </w:rPr>
            </w:pPr>
            <w:r w:rsidRPr="00EC1144">
              <w:rPr>
                <w:rFonts w:ascii="Arial Narrow" w:eastAsia="Times New Roman" w:hAnsi="Arial Narrow" w:cs="Times New Roman"/>
                <w:b/>
                <w:bCs/>
                <w:color w:val="000000"/>
                <w:sz w:val="20"/>
                <w:szCs w:val="20"/>
                <w:lang w:val="es-CO" w:eastAsia="es-CO"/>
              </w:rPr>
              <w:t>1.2</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1.2%</w:t>
            </w: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roofErr w:type="spellStart"/>
            <w:r w:rsidRPr="00EC1144">
              <w:rPr>
                <w:rFonts w:ascii="Arial Narrow" w:eastAsia="Times New Roman" w:hAnsi="Arial Narrow" w:cs="Times New Roman"/>
                <w:color w:val="000000"/>
                <w:sz w:val="20"/>
                <w:szCs w:val="20"/>
                <w:lang w:val="es-CO" w:eastAsia="es-CO"/>
              </w:rPr>
              <w:t>Desv.standard</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36)</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124)</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DA71EB"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(0.</w:t>
            </w:r>
            <w:r w:rsidR="003C287E" w:rsidRPr="00EC1144">
              <w:rPr>
                <w:rFonts w:ascii="Arial Narrow" w:eastAsia="Times New Roman" w:hAnsi="Arial Narrow" w:cs="Times New Roman"/>
                <w:color w:val="000000"/>
                <w:sz w:val="20"/>
                <w:szCs w:val="20"/>
                <w:lang w:val="es-CO" w:eastAsia="es-CO"/>
              </w:rPr>
              <w:t>381)</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r>
      <w:tr w:rsidR="003C287E" w:rsidRPr="00EC1144" w:rsidTr="005A4439">
        <w:trPr>
          <w:trHeight w:val="300"/>
          <w:jc w:val="center"/>
        </w:trPr>
        <w:tc>
          <w:tcPr>
            <w:tcW w:w="605" w:type="dxa"/>
            <w:vMerge/>
            <w:tcBorders>
              <w:top w:val="single" w:sz="4" w:space="0" w:color="A6A6A6"/>
              <w:left w:val="nil"/>
              <w:bottom w:val="single" w:sz="4" w:space="0" w:color="A6A6A6"/>
              <w:right w:val="nil"/>
            </w:tcBorders>
            <w:vAlign w:val="center"/>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p>
        </w:tc>
        <w:tc>
          <w:tcPr>
            <w:tcW w:w="2293" w:type="dxa"/>
            <w:tcBorders>
              <w:top w:val="single" w:sz="4" w:space="0" w:color="A6A6A6"/>
              <w:left w:val="nil"/>
              <w:bottom w:val="single" w:sz="4" w:space="0" w:color="A6A6A6"/>
              <w:right w:val="nil"/>
            </w:tcBorders>
            <w:shd w:val="clear" w:color="auto" w:fill="auto"/>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xml:space="preserve">No. de </w:t>
            </w:r>
            <w:proofErr w:type="spellStart"/>
            <w:r w:rsidRPr="00EC1144">
              <w:rPr>
                <w:rFonts w:ascii="Arial Narrow" w:eastAsia="Times New Roman" w:hAnsi="Arial Narrow" w:cs="Times New Roman"/>
                <w:color w:val="000000"/>
                <w:sz w:val="20"/>
                <w:szCs w:val="20"/>
                <w:lang w:val="es-CO" w:eastAsia="es-CO"/>
              </w:rPr>
              <w:t>obs</w:t>
            </w:r>
            <w:proofErr w:type="spellEnd"/>
            <w:r w:rsidRPr="00EC1144">
              <w:rPr>
                <w:rFonts w:ascii="Arial Narrow" w:eastAsia="Times New Roman" w:hAnsi="Arial Narrow" w:cs="Times New Roman"/>
                <w:color w:val="000000"/>
                <w:sz w:val="20"/>
                <w:szCs w:val="20"/>
                <w:lang w:val="es-CO" w:eastAsia="es-CO"/>
              </w:rPr>
              <w:t>.</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1,101</w:t>
            </w:r>
          </w:p>
        </w:tc>
        <w:tc>
          <w:tcPr>
            <w:tcW w:w="978"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1,615</w:t>
            </w:r>
          </w:p>
        </w:tc>
        <w:tc>
          <w:tcPr>
            <w:tcW w:w="1474"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righ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514</w:t>
            </w:r>
          </w:p>
        </w:tc>
        <w:tc>
          <w:tcPr>
            <w:tcW w:w="1492" w:type="dxa"/>
            <w:tcBorders>
              <w:top w:val="single" w:sz="4" w:space="0" w:color="A6A6A6"/>
              <w:left w:val="nil"/>
              <w:bottom w:val="single" w:sz="4" w:space="0" w:color="A6A6A6"/>
              <w:right w:val="nil"/>
            </w:tcBorders>
            <w:shd w:val="clear" w:color="auto" w:fill="auto"/>
            <w:noWrap/>
            <w:vAlign w:val="bottom"/>
            <w:hideMark/>
          </w:tcPr>
          <w:p w:rsidR="003C287E" w:rsidRPr="00EC1144" w:rsidRDefault="003C287E" w:rsidP="003C287E">
            <w:pPr>
              <w:spacing w:before="0" w:line="240" w:lineRule="auto"/>
              <w:jc w:val="left"/>
              <w:rPr>
                <w:rFonts w:ascii="Arial Narrow" w:eastAsia="Times New Roman" w:hAnsi="Arial Narrow" w:cs="Times New Roman"/>
                <w:color w:val="000000"/>
                <w:sz w:val="20"/>
                <w:szCs w:val="20"/>
                <w:lang w:val="es-CO" w:eastAsia="es-CO"/>
              </w:rPr>
            </w:pPr>
            <w:r w:rsidRPr="00EC1144">
              <w:rPr>
                <w:rFonts w:ascii="Arial Narrow" w:eastAsia="Times New Roman" w:hAnsi="Arial Narrow" w:cs="Times New Roman"/>
                <w:color w:val="000000"/>
                <w:sz w:val="20"/>
                <w:szCs w:val="20"/>
                <w:lang w:val="es-CO" w:eastAsia="es-CO"/>
              </w:rPr>
              <w:t> </w:t>
            </w:r>
          </w:p>
        </w:tc>
      </w:tr>
    </w:tbl>
    <w:p w:rsidR="00AC2127" w:rsidRPr="00D72C10" w:rsidRDefault="00EC1144" w:rsidP="00EC1144">
      <w:pPr>
        <w:jc w:val="center"/>
        <w:rPr>
          <w:rFonts w:ascii="Century Gothic" w:hAnsi="Century Gothic"/>
          <w:color w:val="595959" w:themeColor="text1" w:themeTint="A6"/>
          <w:sz w:val="20"/>
          <w:szCs w:val="18"/>
          <w:lang w:val="es-CO" w:eastAsia="es-ES"/>
        </w:rPr>
      </w:pPr>
      <w:r w:rsidRPr="00D72C10">
        <w:rPr>
          <w:rFonts w:ascii="Century Gothic" w:hAnsi="Century Gothic"/>
          <w:color w:val="595959" w:themeColor="text1" w:themeTint="A6"/>
          <w:sz w:val="20"/>
          <w:szCs w:val="18"/>
          <w:lang w:val="es-CO" w:eastAsia="es-ES"/>
        </w:rPr>
        <w:t>Fuente: ECV -DANE a nivel nacional 2010 y 2012, excluyendo los hogares con menos de $200.000 mensuales de ingreso familiar.</w:t>
      </w:r>
    </w:p>
    <w:p w:rsidR="00EC1144" w:rsidRPr="00D72C10" w:rsidRDefault="00EC1144" w:rsidP="00EC1144">
      <w:pPr>
        <w:spacing w:before="0"/>
        <w:jc w:val="center"/>
        <w:rPr>
          <w:rFonts w:ascii="Century Gothic" w:hAnsi="Century Gothic"/>
          <w:color w:val="595959" w:themeColor="text1" w:themeTint="A6"/>
          <w:sz w:val="20"/>
          <w:szCs w:val="18"/>
          <w:lang w:val="es-CO" w:eastAsia="es-ES"/>
        </w:rPr>
      </w:pPr>
      <w:r w:rsidRPr="00D72C10">
        <w:rPr>
          <w:rFonts w:ascii="Century Gothic" w:hAnsi="Century Gothic"/>
          <w:color w:val="595959" w:themeColor="text1" w:themeTint="A6"/>
          <w:sz w:val="20"/>
          <w:szCs w:val="18"/>
          <w:lang w:val="es-CO" w:eastAsia="es-ES"/>
        </w:rPr>
        <w:t>Nota: Todas las diferencias 2010-2012 son estadísticamente significativas con 99% de certeza.</w:t>
      </w:r>
    </w:p>
    <w:p w:rsidR="00EE2D93" w:rsidRDefault="006B53D0" w:rsidP="004F1B17">
      <w:pPr>
        <w:rPr>
          <w:lang w:eastAsia="es-ES"/>
        </w:rPr>
      </w:pPr>
      <w:r>
        <w:rPr>
          <w:lang w:val="es-CO" w:eastAsia="es-ES"/>
        </w:rPr>
        <w:t>Por otro lado, el</w:t>
      </w:r>
      <w:r w:rsidR="00C77BD2">
        <w:rPr>
          <w:lang w:eastAsia="es-ES"/>
        </w:rPr>
        <w:t xml:space="preserve"> incremento en la cobertura de Internet a nivel de hoga</w:t>
      </w:r>
      <w:r w:rsidR="00A73051">
        <w:rPr>
          <w:lang w:eastAsia="es-ES"/>
        </w:rPr>
        <w:t>res, indicado en el Cuadro 2.2</w:t>
      </w:r>
      <w:r w:rsidR="00C77BD2">
        <w:rPr>
          <w:lang w:eastAsia="es-ES"/>
        </w:rPr>
        <w:t>, mues</w:t>
      </w:r>
      <w:r w:rsidR="00985A54">
        <w:rPr>
          <w:lang w:eastAsia="es-ES"/>
        </w:rPr>
        <w:t>tra</w:t>
      </w:r>
      <w:r w:rsidR="00C77BD2">
        <w:rPr>
          <w:lang w:eastAsia="es-ES"/>
        </w:rPr>
        <w:t xml:space="preserve"> una dinámica similar a la de</w:t>
      </w:r>
      <w:r w:rsidR="00985A54">
        <w:rPr>
          <w:lang w:eastAsia="es-ES"/>
        </w:rPr>
        <w:t xml:space="preserve"> la</w:t>
      </w:r>
      <w:r w:rsidR="00C77BD2">
        <w:rPr>
          <w:lang w:eastAsia="es-ES"/>
        </w:rPr>
        <w:t xml:space="preserve"> telefonía móvil, pero partiendo de u</w:t>
      </w:r>
      <w:r w:rsidR="00985A54">
        <w:rPr>
          <w:lang w:eastAsia="es-ES"/>
        </w:rPr>
        <w:t xml:space="preserve">na base muy inferior en el 2010, que se mueve entre 2.27% en el </w:t>
      </w:r>
      <w:proofErr w:type="spellStart"/>
      <w:r w:rsidR="00985A54">
        <w:rPr>
          <w:lang w:eastAsia="es-ES"/>
        </w:rPr>
        <w:t>decil</w:t>
      </w:r>
      <w:proofErr w:type="spellEnd"/>
      <w:r w:rsidR="00985A54">
        <w:rPr>
          <w:lang w:eastAsia="es-ES"/>
        </w:rPr>
        <w:t xml:space="preserve"> 1 hasta cerca de 55% en el </w:t>
      </w:r>
      <w:proofErr w:type="spellStart"/>
      <w:r w:rsidR="00985A54">
        <w:rPr>
          <w:lang w:eastAsia="es-ES"/>
        </w:rPr>
        <w:t>decil</w:t>
      </w:r>
      <w:proofErr w:type="spellEnd"/>
      <w:r w:rsidR="00985A54">
        <w:rPr>
          <w:lang w:eastAsia="es-ES"/>
        </w:rPr>
        <w:t xml:space="preserve"> 10. A estos niveles la expansión del servicio tiende a moverse sobre la parte más creciente de una curva logística de expansión</w:t>
      </w:r>
      <w:r w:rsidR="008E1E21">
        <w:rPr>
          <w:lang w:eastAsia="es-ES"/>
        </w:rPr>
        <w:t>.</w:t>
      </w:r>
      <w:r w:rsidR="00985A54">
        <w:rPr>
          <w:lang w:eastAsia="es-ES"/>
        </w:rPr>
        <w:t xml:space="preserve"> Efectivamente, el crecimiento en la cobertu</w:t>
      </w:r>
      <w:r w:rsidR="00543E64">
        <w:rPr>
          <w:lang w:eastAsia="es-ES"/>
        </w:rPr>
        <w:t>ra entre 2010 y 2012</w:t>
      </w:r>
      <w:r w:rsidR="008E1E21">
        <w:rPr>
          <w:lang w:eastAsia="es-ES"/>
        </w:rPr>
        <w:t xml:space="preserve"> fue</w:t>
      </w:r>
      <w:r w:rsidR="00543E64">
        <w:rPr>
          <w:lang w:eastAsia="es-ES"/>
        </w:rPr>
        <w:t xml:space="preserve"> muy alto en los deciles 1 a </w:t>
      </w:r>
      <w:r w:rsidR="008E1E21">
        <w:rPr>
          <w:lang w:eastAsia="es-ES"/>
        </w:rPr>
        <w:t xml:space="preserve">5, con </w:t>
      </w:r>
      <w:r w:rsidR="00543E64">
        <w:rPr>
          <w:lang w:eastAsia="es-ES"/>
        </w:rPr>
        <w:t>el más alto nivel de crecimiento</w:t>
      </w:r>
      <w:r w:rsidR="008E1E21">
        <w:rPr>
          <w:lang w:eastAsia="es-ES"/>
        </w:rPr>
        <w:t xml:space="preserve"> en el </w:t>
      </w:r>
      <w:proofErr w:type="spellStart"/>
      <w:r w:rsidR="008E1E21">
        <w:rPr>
          <w:lang w:eastAsia="es-ES"/>
        </w:rPr>
        <w:t>decil</w:t>
      </w:r>
      <w:proofErr w:type="spellEnd"/>
      <w:r w:rsidR="008E1E21">
        <w:rPr>
          <w:lang w:eastAsia="es-ES"/>
        </w:rPr>
        <w:t xml:space="preserve"> 5</w:t>
      </w:r>
      <w:r w:rsidR="00543E64">
        <w:rPr>
          <w:lang w:eastAsia="es-ES"/>
        </w:rPr>
        <w:t xml:space="preserve"> (137.7%)</w:t>
      </w:r>
      <w:r w:rsidR="008E1E21">
        <w:rPr>
          <w:lang w:eastAsia="es-ES"/>
        </w:rPr>
        <w:t>. Este crecimiento tiende a reducirse cuando se alcanzan niveles de cobertura superiores al 10% (deciles 6 a 10), como puede observarse en el cuadro adjunto</w:t>
      </w:r>
      <w:r w:rsidR="00AE26B5">
        <w:rPr>
          <w:lang w:eastAsia="es-ES"/>
        </w:rPr>
        <w:t xml:space="preserve">, donde se observa una desaceleración del crecimiento entre el año 2010 y el año 2012, pasando de 113.9% en el </w:t>
      </w:r>
      <w:proofErr w:type="spellStart"/>
      <w:r w:rsidR="00AE26B5">
        <w:rPr>
          <w:lang w:eastAsia="es-ES"/>
        </w:rPr>
        <w:t>decil</w:t>
      </w:r>
      <w:proofErr w:type="spellEnd"/>
      <w:r w:rsidR="00AE26B5">
        <w:rPr>
          <w:lang w:eastAsia="es-ES"/>
        </w:rPr>
        <w:t xml:space="preserve"> 6 a 25.6% en el </w:t>
      </w:r>
      <w:proofErr w:type="spellStart"/>
      <w:r w:rsidR="00AE26B5">
        <w:rPr>
          <w:lang w:eastAsia="es-ES"/>
        </w:rPr>
        <w:t>decil</w:t>
      </w:r>
      <w:proofErr w:type="spellEnd"/>
      <w:r w:rsidR="00AE26B5">
        <w:rPr>
          <w:lang w:eastAsia="es-ES"/>
        </w:rPr>
        <w:t xml:space="preserve"> 10. </w:t>
      </w:r>
    </w:p>
    <w:p w:rsidR="006B53D0" w:rsidRDefault="00AE26B5" w:rsidP="004F1B17">
      <w:r>
        <w:t>Aquí se puede decir los mismo que se dijo de la cobertura de Telefonía Móvil, que s</w:t>
      </w:r>
      <w:r w:rsidR="00F96EA6">
        <w:t>i la tenencia y uso de Internet a nivel de hogares tiene efectos productivos y de eficiencia en las actividades realizadas por los miembros del hogar, esto debe tender a reflejarse en los ingresos recibidos y al universalizarse su uso, los más pobres est</w:t>
      </w:r>
      <w:r>
        <w:t>arían</w:t>
      </w:r>
      <w:r w:rsidR="00F96EA6">
        <w:t xml:space="preserve"> recibiendo parte de estos beneficios. Lo </w:t>
      </w:r>
      <w:r>
        <w:t>que tampoco</w:t>
      </w:r>
      <w:r w:rsidR="00F96EA6">
        <w:t xml:space="preserve"> se puede decir con estas cifras es que los más pobres se beneficien más de esta</w:t>
      </w:r>
      <w:r w:rsidR="00B0120A">
        <w:t xml:space="preserve"> cobertura que los menos pobres</w:t>
      </w:r>
      <w:r w:rsidR="003903ED">
        <w:t>.</w:t>
      </w:r>
    </w:p>
    <w:p w:rsidR="005A4439" w:rsidRDefault="005A4439" w:rsidP="005A4439">
      <w:pPr>
        <w:pStyle w:val="T-Figura"/>
        <w:spacing w:before="0" w:after="0"/>
        <w:rPr>
          <w:lang w:eastAsia="es-ES"/>
        </w:rPr>
      </w:pPr>
    </w:p>
    <w:p w:rsidR="006B53D0" w:rsidRPr="00D336A7" w:rsidRDefault="00EC1144" w:rsidP="005A4439">
      <w:pPr>
        <w:pStyle w:val="T-Figura"/>
        <w:spacing w:before="0"/>
        <w:rPr>
          <w:lang w:eastAsia="es-ES"/>
        </w:rPr>
      </w:pPr>
      <w:r w:rsidRPr="00D336A7">
        <w:rPr>
          <w:lang w:eastAsia="es-ES"/>
        </w:rPr>
        <w:t xml:space="preserve">Cuadro 2.2 </w:t>
      </w:r>
      <w:r w:rsidR="00D336A7" w:rsidRPr="00D336A7">
        <w:rPr>
          <w:lang w:eastAsia="es-ES"/>
        </w:rPr>
        <w:t>–</w:t>
      </w:r>
      <w:r w:rsidRPr="00D336A7">
        <w:rPr>
          <w:lang w:eastAsia="es-ES"/>
        </w:rPr>
        <w:t xml:space="preserve"> </w:t>
      </w:r>
      <w:r w:rsidR="00D336A7" w:rsidRPr="00D336A7">
        <w:rPr>
          <w:lang w:eastAsia="es-ES"/>
        </w:rPr>
        <w:t>Internet - Diferencia de medias a nivel nacional en el % de cobertura de Internet por deciles de la distribución de ingresos a nivel familiar entre los años 2010 y 2012</w:t>
      </w:r>
    </w:p>
    <w:tbl>
      <w:tblPr>
        <w:tblW w:w="7580" w:type="dxa"/>
        <w:jc w:val="center"/>
        <w:tblBorders>
          <w:top w:val="single" w:sz="4" w:space="0" w:color="A6A6A6"/>
          <w:bottom w:val="single" w:sz="4" w:space="0" w:color="A6A6A6"/>
          <w:insideH w:val="single" w:sz="4" w:space="0" w:color="A6A6A6"/>
        </w:tblBorders>
        <w:tblCellMar>
          <w:left w:w="70" w:type="dxa"/>
          <w:right w:w="70" w:type="dxa"/>
        </w:tblCellMar>
        <w:tblLook w:val="04A0"/>
      </w:tblPr>
      <w:tblGrid>
        <w:gridCol w:w="632"/>
        <w:gridCol w:w="2080"/>
        <w:gridCol w:w="876"/>
        <w:gridCol w:w="876"/>
        <w:gridCol w:w="1557"/>
        <w:gridCol w:w="1559"/>
      </w:tblGrid>
      <w:tr w:rsidR="006B53D0" w:rsidRPr="003903ED" w:rsidTr="003903ED">
        <w:trPr>
          <w:trHeight w:val="300"/>
          <w:tblHeader/>
          <w:jc w:val="center"/>
        </w:trPr>
        <w:tc>
          <w:tcPr>
            <w:tcW w:w="632" w:type="dxa"/>
            <w:shd w:val="clear" w:color="auto" w:fill="A6A6A6" w:themeFill="background1" w:themeFillShade="A6"/>
            <w:noWrap/>
            <w:vAlign w:val="center"/>
            <w:hideMark/>
          </w:tcPr>
          <w:p w:rsidR="006B53D0" w:rsidRPr="003903ED" w:rsidRDefault="006B53D0" w:rsidP="003903ED">
            <w:pPr>
              <w:spacing w:before="0" w:line="240" w:lineRule="auto"/>
              <w:jc w:val="center"/>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Decil</w:t>
            </w:r>
          </w:p>
        </w:tc>
        <w:tc>
          <w:tcPr>
            <w:tcW w:w="2080" w:type="dxa"/>
            <w:shd w:val="clear" w:color="auto" w:fill="A6A6A6" w:themeFill="background1" w:themeFillShade="A6"/>
            <w:noWrap/>
            <w:vAlign w:val="center"/>
            <w:hideMark/>
          </w:tcPr>
          <w:p w:rsidR="006B53D0" w:rsidRPr="003903ED" w:rsidRDefault="006B53D0" w:rsidP="003903ED">
            <w:pPr>
              <w:spacing w:before="0" w:line="240" w:lineRule="auto"/>
              <w:jc w:val="center"/>
              <w:rPr>
                <w:rFonts w:ascii="Arial Narrow" w:eastAsia="Times New Roman" w:hAnsi="Arial Narrow" w:cs="Times New Roman"/>
                <w:b/>
                <w:bCs/>
                <w:color w:val="000000"/>
                <w:sz w:val="20"/>
                <w:szCs w:val="20"/>
                <w:lang w:val="es-CO" w:eastAsia="es-CO"/>
              </w:rPr>
            </w:pPr>
          </w:p>
        </w:tc>
        <w:tc>
          <w:tcPr>
            <w:tcW w:w="876" w:type="dxa"/>
            <w:shd w:val="clear" w:color="auto" w:fill="A6A6A6" w:themeFill="background1" w:themeFillShade="A6"/>
            <w:noWrap/>
            <w:vAlign w:val="center"/>
            <w:hideMark/>
          </w:tcPr>
          <w:p w:rsidR="006B53D0" w:rsidRPr="003903ED" w:rsidRDefault="006B53D0" w:rsidP="003903ED">
            <w:pPr>
              <w:spacing w:before="0" w:line="240" w:lineRule="auto"/>
              <w:jc w:val="center"/>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2010</w:t>
            </w:r>
          </w:p>
        </w:tc>
        <w:tc>
          <w:tcPr>
            <w:tcW w:w="876" w:type="dxa"/>
            <w:shd w:val="clear" w:color="auto" w:fill="A6A6A6" w:themeFill="background1" w:themeFillShade="A6"/>
            <w:noWrap/>
            <w:vAlign w:val="center"/>
            <w:hideMark/>
          </w:tcPr>
          <w:p w:rsidR="006B53D0" w:rsidRPr="003903ED" w:rsidRDefault="006B53D0" w:rsidP="003903ED">
            <w:pPr>
              <w:spacing w:before="0" w:line="240" w:lineRule="auto"/>
              <w:jc w:val="center"/>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2012</w:t>
            </w:r>
          </w:p>
        </w:tc>
        <w:tc>
          <w:tcPr>
            <w:tcW w:w="1557" w:type="dxa"/>
            <w:shd w:val="clear" w:color="auto" w:fill="A6A6A6" w:themeFill="background1" w:themeFillShade="A6"/>
            <w:noWrap/>
            <w:vAlign w:val="center"/>
            <w:hideMark/>
          </w:tcPr>
          <w:p w:rsidR="006B53D0" w:rsidRPr="003903ED" w:rsidRDefault="006B53D0" w:rsidP="003903ED">
            <w:pPr>
              <w:spacing w:before="0" w:line="240" w:lineRule="auto"/>
              <w:jc w:val="center"/>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Diferencia</w:t>
            </w:r>
          </w:p>
        </w:tc>
        <w:tc>
          <w:tcPr>
            <w:tcW w:w="1559" w:type="dxa"/>
            <w:shd w:val="clear" w:color="auto" w:fill="A6A6A6" w:themeFill="background1" w:themeFillShade="A6"/>
            <w:noWrap/>
            <w:vAlign w:val="center"/>
            <w:hideMark/>
          </w:tcPr>
          <w:p w:rsidR="006B53D0" w:rsidRPr="003903ED" w:rsidRDefault="003903ED" w:rsidP="003903ED">
            <w:pPr>
              <w:spacing w:before="0" w:line="240" w:lineRule="auto"/>
              <w:jc w:val="center"/>
              <w:rPr>
                <w:rFonts w:ascii="Arial Narrow" w:eastAsia="Times New Roman" w:hAnsi="Arial Narrow" w:cs="Times New Roman"/>
                <w:b/>
                <w:bCs/>
                <w:color w:val="000000"/>
                <w:sz w:val="20"/>
                <w:szCs w:val="20"/>
                <w:lang w:val="es-CO" w:eastAsia="es-CO"/>
              </w:rPr>
            </w:pPr>
            <w:r>
              <w:rPr>
                <w:rFonts w:ascii="Arial Narrow" w:eastAsia="Times New Roman" w:hAnsi="Arial Narrow" w:cs="Times New Roman"/>
                <w:b/>
                <w:bCs/>
                <w:color w:val="000000"/>
                <w:sz w:val="20"/>
                <w:szCs w:val="20"/>
                <w:lang w:val="es-CO" w:eastAsia="es-CO"/>
              </w:rPr>
              <w:t xml:space="preserve">% de </w:t>
            </w:r>
            <w:proofErr w:type="spellStart"/>
            <w:r>
              <w:rPr>
                <w:rFonts w:ascii="Arial Narrow" w:eastAsia="Times New Roman" w:hAnsi="Arial Narrow" w:cs="Times New Roman"/>
                <w:b/>
                <w:bCs/>
                <w:color w:val="000000"/>
                <w:sz w:val="20"/>
                <w:szCs w:val="20"/>
                <w:lang w:val="es-CO" w:eastAsia="es-CO"/>
              </w:rPr>
              <w:t>C</w:t>
            </w:r>
            <w:r w:rsidR="006B53D0" w:rsidRPr="003903ED">
              <w:rPr>
                <w:rFonts w:ascii="Arial Narrow" w:eastAsia="Times New Roman" w:hAnsi="Arial Narrow" w:cs="Times New Roman"/>
                <w:b/>
                <w:bCs/>
                <w:color w:val="000000"/>
                <w:sz w:val="20"/>
                <w:szCs w:val="20"/>
                <w:lang w:val="es-CO" w:eastAsia="es-CO"/>
              </w:rPr>
              <w:t>recim</w:t>
            </w:r>
            <w:proofErr w:type="spellEnd"/>
            <w:r w:rsidR="006B53D0" w:rsidRPr="003903ED">
              <w:rPr>
                <w:rFonts w:ascii="Arial Narrow" w:eastAsia="Times New Roman" w:hAnsi="Arial Narrow" w:cs="Times New Roman"/>
                <w:b/>
                <w:bCs/>
                <w:color w:val="000000"/>
                <w:sz w:val="20"/>
                <w:szCs w:val="20"/>
                <w:lang w:val="es-CO" w:eastAsia="es-CO"/>
              </w:rPr>
              <w:t>.</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2.27</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4.94</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2.67</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117.6%</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(0.448)</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(0.466)</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(0.645)</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1,103</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2,164</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1,061</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2</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3.24</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5.63</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2.39</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73.8%</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(0.46)</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(0.627)</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(0.778)</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1,481</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1,350</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-131</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3</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4.0</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7.67</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3.67</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91.8%</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(0.636)</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(0.723)</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(0.963)</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949</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1,356</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407</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4</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6.98</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14.89</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7.91</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113.3%</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(0.81)</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(0.764)</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(1.114)</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988</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2,169</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1,181</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5</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6.39</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15.19</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8.8</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137.7%</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(0.773)</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(1.109)</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(1.35)</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1,575</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1,965</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390</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6</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10</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21.39</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11.39</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113.9%</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(0.783)</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(0.755)</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(1.09)</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1,090</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1,664</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574</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7</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14.75</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27.25</w:t>
            </w:r>
          </w:p>
        </w:tc>
        <w:tc>
          <w:tcPr>
            <w:tcW w:w="1557"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 xml:space="preserve">             12.50 </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84.7%</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(1.063)</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(1.112)</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(1.355)</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1,112</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1,589</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477</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8</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20.76</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39.64</w:t>
            </w:r>
          </w:p>
        </w:tc>
        <w:tc>
          <w:tcPr>
            <w:tcW w:w="1557"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 xml:space="preserve">             18.88 </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90.9%</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(0.942)</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(0.982)</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(1.36)</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1,479</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2,156</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677</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9</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33.15</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49.81</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18.67</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56.3%</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(1.47)</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(1.07)</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(1.826)</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1,473</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2,187</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714</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r w:rsidR="006B53D0" w:rsidRPr="003903ED" w:rsidTr="003903ED">
        <w:trPr>
          <w:trHeight w:val="300"/>
          <w:jc w:val="center"/>
        </w:trPr>
        <w:tc>
          <w:tcPr>
            <w:tcW w:w="632" w:type="dxa"/>
            <w:vMerge w:val="restart"/>
            <w:shd w:val="clear" w:color="auto" w:fill="auto"/>
            <w:noWrap/>
            <w:vAlign w:val="center"/>
            <w:hideMark/>
          </w:tcPr>
          <w:p w:rsidR="006B53D0" w:rsidRPr="003903ED" w:rsidRDefault="006B53D0" w:rsidP="004A2FED">
            <w:pPr>
              <w:spacing w:before="0" w:line="240" w:lineRule="auto"/>
              <w:jc w:val="center"/>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10</w:t>
            </w: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Media</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59.94</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75.29</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b/>
                <w:bCs/>
                <w:color w:val="000000"/>
                <w:sz w:val="20"/>
                <w:szCs w:val="20"/>
                <w:lang w:val="es-CO" w:eastAsia="es-CO"/>
              </w:rPr>
            </w:pPr>
            <w:r w:rsidRPr="003903ED">
              <w:rPr>
                <w:rFonts w:ascii="Arial Narrow" w:eastAsia="Times New Roman" w:hAnsi="Arial Narrow" w:cs="Times New Roman"/>
                <w:b/>
                <w:bCs/>
                <w:color w:val="000000"/>
                <w:sz w:val="20"/>
                <w:szCs w:val="20"/>
                <w:lang w:val="es-CO" w:eastAsia="es-CO"/>
              </w:rPr>
              <w:t>15.35</w:t>
            </w:r>
          </w:p>
        </w:tc>
        <w:tc>
          <w:tcPr>
            <w:tcW w:w="1559"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25.6%</w:t>
            </w: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roofErr w:type="spellStart"/>
            <w:r w:rsidRPr="003903ED">
              <w:rPr>
                <w:rFonts w:ascii="Arial Narrow" w:eastAsia="Times New Roman" w:hAnsi="Arial Narrow" w:cs="Times New Roman"/>
                <w:color w:val="000000"/>
                <w:sz w:val="20"/>
                <w:szCs w:val="20"/>
                <w:lang w:val="es-CO" w:eastAsia="es-CO"/>
              </w:rPr>
              <w:t>Desv.standard</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(1.477)</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(1.07)</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(1.64)</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r>
      <w:tr w:rsidR="006B53D0" w:rsidRPr="003903ED" w:rsidTr="003903ED">
        <w:trPr>
          <w:trHeight w:val="300"/>
          <w:jc w:val="center"/>
        </w:trPr>
        <w:tc>
          <w:tcPr>
            <w:tcW w:w="632" w:type="dxa"/>
            <w:vMerge/>
            <w:vAlign w:val="center"/>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p>
        </w:tc>
        <w:tc>
          <w:tcPr>
            <w:tcW w:w="2080" w:type="dxa"/>
            <w:shd w:val="clear" w:color="auto" w:fill="auto"/>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xml:space="preserve">No. de </w:t>
            </w:r>
            <w:proofErr w:type="spellStart"/>
            <w:r w:rsidRPr="003903ED">
              <w:rPr>
                <w:rFonts w:ascii="Arial Narrow" w:eastAsia="Times New Roman" w:hAnsi="Arial Narrow" w:cs="Times New Roman"/>
                <w:color w:val="000000"/>
                <w:sz w:val="20"/>
                <w:szCs w:val="20"/>
                <w:lang w:val="es-CO" w:eastAsia="es-CO"/>
              </w:rPr>
              <w:t>obs</w:t>
            </w:r>
            <w:proofErr w:type="spellEnd"/>
            <w:r w:rsidRPr="003903ED">
              <w:rPr>
                <w:rFonts w:ascii="Arial Narrow" w:eastAsia="Times New Roman" w:hAnsi="Arial Narrow" w:cs="Times New Roman"/>
                <w:color w:val="000000"/>
                <w:sz w:val="20"/>
                <w:szCs w:val="20"/>
                <w:lang w:val="es-CO" w:eastAsia="es-CO"/>
              </w:rPr>
              <w:t>.</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1,101</w:t>
            </w:r>
          </w:p>
        </w:tc>
        <w:tc>
          <w:tcPr>
            <w:tcW w:w="876"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1,615</w:t>
            </w:r>
          </w:p>
        </w:tc>
        <w:tc>
          <w:tcPr>
            <w:tcW w:w="1557" w:type="dxa"/>
            <w:shd w:val="clear" w:color="auto" w:fill="auto"/>
            <w:noWrap/>
            <w:vAlign w:val="bottom"/>
            <w:hideMark/>
          </w:tcPr>
          <w:p w:rsidR="006B53D0" w:rsidRPr="003903ED" w:rsidRDefault="006B53D0" w:rsidP="004A2FED">
            <w:pPr>
              <w:spacing w:before="0" w:line="240" w:lineRule="auto"/>
              <w:jc w:val="righ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514</w:t>
            </w:r>
          </w:p>
        </w:tc>
        <w:tc>
          <w:tcPr>
            <w:tcW w:w="1559" w:type="dxa"/>
            <w:shd w:val="clear" w:color="auto" w:fill="auto"/>
            <w:noWrap/>
            <w:vAlign w:val="bottom"/>
            <w:hideMark/>
          </w:tcPr>
          <w:p w:rsidR="006B53D0" w:rsidRPr="003903ED" w:rsidRDefault="006B53D0" w:rsidP="004A2FED">
            <w:pPr>
              <w:spacing w:before="0" w:line="240" w:lineRule="auto"/>
              <w:jc w:val="left"/>
              <w:rPr>
                <w:rFonts w:ascii="Arial Narrow" w:eastAsia="Times New Roman" w:hAnsi="Arial Narrow" w:cs="Times New Roman"/>
                <w:color w:val="000000"/>
                <w:sz w:val="20"/>
                <w:szCs w:val="20"/>
                <w:lang w:val="es-CO" w:eastAsia="es-CO"/>
              </w:rPr>
            </w:pPr>
            <w:r w:rsidRPr="003903ED">
              <w:rPr>
                <w:rFonts w:ascii="Arial Narrow" w:eastAsia="Times New Roman" w:hAnsi="Arial Narrow" w:cs="Times New Roman"/>
                <w:color w:val="000000"/>
                <w:sz w:val="20"/>
                <w:szCs w:val="20"/>
                <w:lang w:val="es-CO" w:eastAsia="es-CO"/>
              </w:rPr>
              <w:t> </w:t>
            </w:r>
          </w:p>
        </w:tc>
      </w:tr>
    </w:tbl>
    <w:p w:rsidR="00A73051" w:rsidRPr="00D72C10" w:rsidRDefault="00A73051" w:rsidP="00A73051">
      <w:pPr>
        <w:jc w:val="center"/>
        <w:rPr>
          <w:rFonts w:ascii="Century Gothic" w:hAnsi="Century Gothic"/>
          <w:color w:val="595959" w:themeColor="text1" w:themeTint="A6"/>
          <w:sz w:val="20"/>
          <w:szCs w:val="18"/>
          <w:lang w:val="es-CO" w:eastAsia="es-ES"/>
        </w:rPr>
      </w:pPr>
      <w:r w:rsidRPr="00D72C10">
        <w:rPr>
          <w:rFonts w:ascii="Century Gothic" w:hAnsi="Century Gothic"/>
          <w:color w:val="595959" w:themeColor="text1" w:themeTint="A6"/>
          <w:sz w:val="20"/>
          <w:szCs w:val="18"/>
          <w:lang w:val="es-CO" w:eastAsia="es-ES"/>
        </w:rPr>
        <w:t>Fuente: ECV -DANE a nivel nacional 2010 y 2012, excluyendo los hogares con menos de $200.000 mensuales de ingreso familiar.</w:t>
      </w:r>
    </w:p>
    <w:p w:rsidR="00A73051" w:rsidRPr="00D72C10" w:rsidRDefault="00A73051" w:rsidP="00A73051">
      <w:pPr>
        <w:spacing w:before="0"/>
        <w:jc w:val="center"/>
        <w:rPr>
          <w:rFonts w:ascii="Century Gothic" w:hAnsi="Century Gothic"/>
          <w:color w:val="595959" w:themeColor="text1" w:themeTint="A6"/>
          <w:sz w:val="20"/>
          <w:szCs w:val="18"/>
          <w:lang w:val="es-CO" w:eastAsia="es-ES"/>
        </w:rPr>
      </w:pPr>
      <w:r w:rsidRPr="00D72C10">
        <w:rPr>
          <w:rFonts w:ascii="Century Gothic" w:hAnsi="Century Gothic"/>
          <w:color w:val="595959" w:themeColor="text1" w:themeTint="A6"/>
          <w:sz w:val="20"/>
          <w:szCs w:val="18"/>
          <w:lang w:val="es-CO" w:eastAsia="es-ES"/>
        </w:rPr>
        <w:t>Nota: Todas las diferencias 2010-2012 son estadísticamente significativas con 99% de certeza.</w:t>
      </w:r>
    </w:p>
    <w:p w:rsidR="00BA586B" w:rsidRPr="00BA586B" w:rsidRDefault="00BA586B" w:rsidP="00BA586B">
      <w:pPr>
        <w:pStyle w:val="Prrafodelista"/>
        <w:keepNext/>
        <w:keepLines/>
        <w:numPr>
          <w:ilvl w:val="0"/>
          <w:numId w:val="1"/>
        </w:numPr>
        <w:tabs>
          <w:tab w:val="left" w:pos="0"/>
        </w:tabs>
        <w:spacing w:after="120"/>
        <w:contextualSpacing w:val="0"/>
        <w:outlineLvl w:val="1"/>
        <w:rPr>
          <w:rFonts w:ascii="Century Gothic" w:eastAsia="Times New Roman" w:hAnsi="Century Gothic" w:cs="Times New Roman"/>
          <w:bCs/>
          <w:smallCaps/>
          <w:vanish/>
          <w:color w:val="C00000"/>
          <w:sz w:val="30"/>
          <w:szCs w:val="30"/>
          <w:lang w:eastAsia="es-ES"/>
        </w:rPr>
      </w:pPr>
    </w:p>
    <w:p w:rsidR="00BA586B" w:rsidRPr="00BA586B" w:rsidRDefault="00BA586B" w:rsidP="00BA586B">
      <w:pPr>
        <w:pStyle w:val="Prrafodelista"/>
        <w:keepNext/>
        <w:keepLines/>
        <w:numPr>
          <w:ilvl w:val="0"/>
          <w:numId w:val="1"/>
        </w:numPr>
        <w:tabs>
          <w:tab w:val="left" w:pos="0"/>
        </w:tabs>
        <w:spacing w:after="120"/>
        <w:contextualSpacing w:val="0"/>
        <w:outlineLvl w:val="1"/>
        <w:rPr>
          <w:rFonts w:ascii="Century Gothic" w:eastAsia="Times New Roman" w:hAnsi="Century Gothic" w:cs="Times New Roman"/>
          <w:bCs/>
          <w:smallCaps/>
          <w:vanish/>
          <w:color w:val="C00000"/>
          <w:sz w:val="30"/>
          <w:szCs w:val="30"/>
          <w:lang w:eastAsia="es-ES"/>
        </w:rPr>
      </w:pPr>
    </w:p>
    <w:p w:rsidR="00BA586B" w:rsidRPr="00BA586B" w:rsidRDefault="00BA586B" w:rsidP="00BA586B">
      <w:pPr>
        <w:pStyle w:val="Prrafodelista"/>
        <w:keepNext/>
        <w:keepLines/>
        <w:numPr>
          <w:ilvl w:val="1"/>
          <w:numId w:val="1"/>
        </w:numPr>
        <w:tabs>
          <w:tab w:val="left" w:pos="0"/>
        </w:tabs>
        <w:spacing w:after="120"/>
        <w:ind w:left="578" w:hanging="578"/>
        <w:contextualSpacing w:val="0"/>
        <w:outlineLvl w:val="1"/>
        <w:rPr>
          <w:rFonts w:ascii="Century Gothic" w:eastAsia="Times New Roman" w:hAnsi="Century Gothic" w:cs="Times New Roman"/>
          <w:bCs/>
          <w:smallCaps/>
          <w:vanish/>
          <w:color w:val="C00000"/>
          <w:sz w:val="30"/>
          <w:szCs w:val="30"/>
          <w:lang w:eastAsia="es-ES"/>
        </w:rPr>
      </w:pPr>
    </w:p>
    <w:p w:rsidR="00BA586B" w:rsidRPr="00BA586B" w:rsidRDefault="00BA586B" w:rsidP="00BA586B">
      <w:pPr>
        <w:pStyle w:val="Prrafodelista"/>
        <w:keepNext/>
        <w:keepLines/>
        <w:numPr>
          <w:ilvl w:val="1"/>
          <w:numId w:val="1"/>
        </w:numPr>
        <w:tabs>
          <w:tab w:val="left" w:pos="0"/>
        </w:tabs>
        <w:spacing w:after="120"/>
        <w:ind w:left="578" w:hanging="578"/>
        <w:contextualSpacing w:val="0"/>
        <w:outlineLvl w:val="1"/>
        <w:rPr>
          <w:rFonts w:ascii="Century Gothic" w:eastAsia="Times New Roman" w:hAnsi="Century Gothic" w:cs="Times New Roman"/>
          <w:bCs/>
          <w:smallCaps/>
          <w:vanish/>
          <w:color w:val="C00000"/>
          <w:sz w:val="30"/>
          <w:szCs w:val="30"/>
          <w:lang w:eastAsia="es-ES"/>
        </w:rPr>
      </w:pPr>
    </w:p>
    <w:p w:rsidR="00BA586B" w:rsidRPr="00BA586B" w:rsidRDefault="00BA586B" w:rsidP="00BA586B">
      <w:pPr>
        <w:pStyle w:val="Prrafodelista"/>
        <w:numPr>
          <w:ilvl w:val="2"/>
          <w:numId w:val="1"/>
        </w:numPr>
        <w:contextualSpacing w:val="0"/>
        <w:jc w:val="left"/>
        <w:outlineLvl w:val="2"/>
        <w:rPr>
          <w:rFonts w:ascii="Century Gothic" w:eastAsia="Times New Roman" w:hAnsi="Century Gothic" w:cstheme="majorBidi"/>
          <w:vanish/>
          <w:color w:val="404040" w:themeColor="text1" w:themeTint="BF"/>
          <w:spacing w:val="5"/>
          <w:sz w:val="24"/>
          <w:szCs w:val="24"/>
          <w:lang w:eastAsia="es-ES"/>
        </w:rPr>
      </w:pPr>
    </w:p>
    <w:p w:rsidR="00A73051" w:rsidRPr="00BA586B" w:rsidRDefault="006B53D0" w:rsidP="00BA586B">
      <w:pPr>
        <w:pStyle w:val="Ttulo3"/>
        <w:rPr>
          <w:sz w:val="26"/>
          <w:szCs w:val="26"/>
        </w:rPr>
      </w:pPr>
      <w:r w:rsidRPr="00BA586B">
        <w:rPr>
          <w:sz w:val="26"/>
          <w:szCs w:val="26"/>
        </w:rPr>
        <w:t>Efecto de la tenencia y uso de</w:t>
      </w:r>
      <w:r w:rsidR="00796B6A" w:rsidRPr="00BA586B">
        <w:rPr>
          <w:sz w:val="26"/>
          <w:szCs w:val="26"/>
        </w:rPr>
        <w:t xml:space="preserve"> Telefonía Móvil e Internet</w:t>
      </w:r>
      <w:r w:rsidRPr="00BA586B">
        <w:rPr>
          <w:sz w:val="26"/>
          <w:szCs w:val="26"/>
        </w:rPr>
        <w:t xml:space="preserve"> a nivel de hogar</w:t>
      </w:r>
      <w:r w:rsidR="00796B6A" w:rsidRPr="00BA586B">
        <w:rPr>
          <w:sz w:val="26"/>
          <w:szCs w:val="26"/>
        </w:rPr>
        <w:t xml:space="preserve"> </w:t>
      </w:r>
      <w:r w:rsidRPr="00BA586B">
        <w:rPr>
          <w:sz w:val="26"/>
          <w:szCs w:val="26"/>
        </w:rPr>
        <w:t>sobre los ing</w:t>
      </w:r>
      <w:r w:rsidR="00A73051" w:rsidRPr="00BA586B">
        <w:rPr>
          <w:sz w:val="26"/>
          <w:szCs w:val="26"/>
        </w:rPr>
        <w:t>resos familiares en 2010 y 2012</w:t>
      </w:r>
    </w:p>
    <w:p w:rsidR="00333D1A" w:rsidRDefault="00796B6A" w:rsidP="004F1B17">
      <w:r>
        <w:t>Para examinar la</w:t>
      </w:r>
      <w:r w:rsidR="00F96EA6">
        <w:t xml:space="preserve"> hipótesis </w:t>
      </w:r>
      <w:r>
        <w:t>de que tanto la tenencia y uso de Internet, como la tenencia y uso de Telefonía Móvil en el hogar tienen efectos productivos y de eficiencia en las actividades realizadas por los miembros del hogar,</w:t>
      </w:r>
      <w:r w:rsidR="006B53D0">
        <w:t xml:space="preserve"> se estim</w:t>
      </w:r>
      <w:r w:rsidR="00D443F5">
        <w:t>ó un nuevo</w:t>
      </w:r>
      <w:r w:rsidR="006B53D0">
        <w:t xml:space="preserve"> modelo estadístico sobre los determinantes del ingreso familia</w:t>
      </w:r>
      <w:r w:rsidR="00333D1A">
        <w:t>r</w:t>
      </w:r>
      <w:r w:rsidR="006B53D0">
        <w:t xml:space="preserve">, bajo el supuesto de que </w:t>
      </w:r>
      <w:r w:rsidR="00B338FD">
        <w:t>estos efectos productivos y de eficiencia del uso de las TIC, se deben reflejar en lo</w:t>
      </w:r>
      <w:r w:rsidR="00333D1A">
        <w:t>s ingresos familiares a ni</w:t>
      </w:r>
      <w:r w:rsidR="00B338FD">
        <w:t xml:space="preserve">vel de los hogares. </w:t>
      </w:r>
      <w:r w:rsidR="00D443F5">
        <w:t xml:space="preserve"> Para ello se utilizó</w:t>
      </w:r>
      <w:r w:rsidR="00333D1A">
        <w:rPr>
          <w:lang w:eastAsia="es-ES"/>
        </w:rPr>
        <w:t xml:space="preserve"> </w:t>
      </w:r>
      <w:r w:rsidR="00CE09BB">
        <w:rPr>
          <w:lang w:eastAsia="es-ES"/>
        </w:rPr>
        <w:t>un</w:t>
      </w:r>
      <w:r w:rsidR="00333D1A">
        <w:rPr>
          <w:lang w:eastAsia="es-ES"/>
        </w:rPr>
        <w:t xml:space="preserve"> modelo de determina</w:t>
      </w:r>
      <w:r w:rsidR="00CE09BB">
        <w:rPr>
          <w:lang w:eastAsia="es-ES"/>
        </w:rPr>
        <w:t xml:space="preserve">ción de los </w:t>
      </w:r>
      <w:r w:rsidR="00D861CD">
        <w:rPr>
          <w:lang w:eastAsia="es-ES"/>
        </w:rPr>
        <w:t>ingresos familiares, tomando como controles</w:t>
      </w:r>
      <w:r w:rsidR="00CE09BB">
        <w:rPr>
          <w:lang w:eastAsia="es-ES"/>
        </w:rPr>
        <w:t xml:space="preserve"> las mismas variables utilizadas para la estimación de la d</w:t>
      </w:r>
      <w:r w:rsidR="00D861CD">
        <w:rPr>
          <w:lang w:eastAsia="es-ES"/>
        </w:rPr>
        <w:t>emanda por TIC a nivel de hogar.</w:t>
      </w:r>
    </w:p>
    <w:p w:rsidR="009D31BC" w:rsidRDefault="009D31BC" w:rsidP="004F1B17">
      <w:pPr>
        <w:rPr>
          <w:rFonts w:eastAsia="Calibri" w:cs="Times New Roman"/>
        </w:rPr>
      </w:pPr>
      <w:r w:rsidRPr="00A8609D">
        <w:rPr>
          <w:rFonts w:eastAsia="Calibri" w:cs="Times New Roman"/>
        </w:rPr>
        <w:lastRenderedPageBreak/>
        <w:t>El Universo de hogares demandantes se desagrega en</w:t>
      </w:r>
      <w:r w:rsidR="00CE09BB">
        <w:rPr>
          <w:rFonts w:eastAsia="Calibri" w:cs="Times New Roman"/>
        </w:rPr>
        <w:t xml:space="preserve"> los mismos tres Dominios: </w:t>
      </w:r>
      <w:r w:rsidRPr="00A8609D">
        <w:rPr>
          <w:rFonts w:eastAsia="Times New Roman" w:cs="Times New Roman"/>
          <w:lang w:eastAsia="es-CO"/>
        </w:rPr>
        <w:t>Cabeceras Municipales</w:t>
      </w:r>
      <w:r w:rsidR="00CE09BB">
        <w:rPr>
          <w:rFonts w:eastAsia="Calibri" w:cs="Times New Roman"/>
        </w:rPr>
        <w:t xml:space="preserve">, </w:t>
      </w:r>
      <w:r w:rsidRPr="00A8609D">
        <w:rPr>
          <w:rFonts w:eastAsia="Times New Roman" w:cs="Times New Roman"/>
          <w:lang w:eastAsia="es-CO"/>
        </w:rPr>
        <w:t>Centros poblados</w:t>
      </w:r>
      <w:r>
        <w:rPr>
          <w:rFonts w:eastAsia="Times New Roman" w:cs="Times New Roman"/>
          <w:lang w:eastAsia="es-CO"/>
        </w:rPr>
        <w:t xml:space="preserve"> menores</w:t>
      </w:r>
      <w:r w:rsidR="00D861CD">
        <w:rPr>
          <w:rFonts w:eastAsia="Times New Roman" w:cs="Times New Roman"/>
          <w:lang w:eastAsia="es-CO"/>
        </w:rPr>
        <w:t>,</w:t>
      </w:r>
      <w:r w:rsidRPr="00A8609D">
        <w:rPr>
          <w:rFonts w:eastAsia="Times New Roman" w:cs="Times New Roman"/>
          <w:lang w:eastAsia="es-CO"/>
        </w:rPr>
        <w:t xml:space="preserve"> o inspecciones de policía</w:t>
      </w:r>
      <w:r w:rsidR="00D861CD">
        <w:rPr>
          <w:rFonts w:eastAsia="Times New Roman" w:cs="Times New Roman"/>
          <w:lang w:eastAsia="es-CO"/>
        </w:rPr>
        <w:t>,</w:t>
      </w:r>
      <w:r w:rsidR="00CE09BB">
        <w:rPr>
          <w:rFonts w:eastAsia="Calibri" w:cs="Times New Roman"/>
        </w:rPr>
        <w:t xml:space="preserve"> y </w:t>
      </w:r>
      <w:r>
        <w:rPr>
          <w:rFonts w:eastAsia="Times New Roman" w:cs="Times New Roman"/>
          <w:lang w:eastAsia="es-CO"/>
        </w:rPr>
        <w:t>Área</w:t>
      </w:r>
      <w:r w:rsidR="00CE09BB">
        <w:rPr>
          <w:rFonts w:eastAsia="Times New Roman" w:cs="Times New Roman"/>
          <w:lang w:eastAsia="es-CO"/>
        </w:rPr>
        <w:t xml:space="preserve"> rural dispersa, </w:t>
      </w:r>
      <w:r w:rsidR="00CE09BB">
        <w:rPr>
          <w:rFonts w:eastAsia="Calibri" w:cs="Times New Roman"/>
        </w:rPr>
        <w:t>para captar efectos</w:t>
      </w:r>
      <w:r w:rsidRPr="00A8609D">
        <w:rPr>
          <w:rFonts w:eastAsia="Calibri" w:cs="Times New Roman"/>
        </w:rPr>
        <w:t xml:space="preserve"> de concentración/dispersión</w:t>
      </w:r>
      <w:r w:rsidR="00CE09BB">
        <w:rPr>
          <w:rFonts w:eastAsia="Calibri" w:cs="Times New Roman"/>
        </w:rPr>
        <w:t xml:space="preserve"> de la demanda.</w:t>
      </w:r>
    </w:p>
    <w:p w:rsidR="00F45AF3" w:rsidRDefault="001D1DAD" w:rsidP="004F1B17">
      <w:pPr>
        <w:rPr>
          <w:rFonts w:eastAsia="Calibri" w:cs="Times New Roman"/>
        </w:rPr>
      </w:pPr>
      <w:r>
        <w:rPr>
          <w:rFonts w:eastAsia="Calibri" w:cs="Times New Roman"/>
        </w:rPr>
        <w:t xml:space="preserve">La variable dependiente es el logaritmo del ingreso familiar, </w:t>
      </w:r>
      <w:proofErr w:type="spellStart"/>
      <w:proofErr w:type="gramStart"/>
      <w:r>
        <w:rPr>
          <w:rFonts w:eastAsia="Calibri" w:cs="Times New Roman"/>
        </w:rPr>
        <w:t>ln</w:t>
      </w:r>
      <w:proofErr w:type="spellEnd"/>
      <w:r>
        <w:rPr>
          <w:rFonts w:eastAsia="Calibri" w:cs="Times New Roman"/>
        </w:rPr>
        <w:t>(</w:t>
      </w:r>
      <w:proofErr w:type="spellStart"/>
      <w:proofErr w:type="gramEnd"/>
      <w:r w:rsidRPr="001876DD">
        <w:rPr>
          <w:rFonts w:eastAsia="Calibri" w:cs="Times New Roman"/>
          <w:b/>
        </w:rPr>
        <w:t>y</w:t>
      </w:r>
      <w:r w:rsidRPr="001876DD">
        <w:rPr>
          <w:rFonts w:eastAsia="Calibri" w:cs="Times New Roman"/>
          <w:b/>
          <w:vertAlign w:val="subscript"/>
        </w:rPr>
        <w:t>fam</w:t>
      </w:r>
      <w:proofErr w:type="spellEnd"/>
      <w:r w:rsidR="001876DD">
        <w:rPr>
          <w:rFonts w:eastAsia="Calibri" w:cs="Times New Roman"/>
        </w:rPr>
        <w:t>), definido como</w:t>
      </w:r>
      <w:r w:rsidR="00F45AF3" w:rsidRPr="00A8609D">
        <w:rPr>
          <w:rFonts w:eastAsia="Calibri" w:cs="Times New Roman"/>
        </w:rPr>
        <w:t xml:space="preserve"> la s</w:t>
      </w:r>
      <w:r w:rsidR="00F45AF3">
        <w:rPr>
          <w:rFonts w:eastAsia="Calibri" w:cs="Times New Roman"/>
        </w:rPr>
        <w:t xml:space="preserve">uma de los </w:t>
      </w:r>
      <w:r w:rsidR="00D861CD">
        <w:rPr>
          <w:rFonts w:eastAsia="Calibri" w:cs="Times New Roman"/>
        </w:rPr>
        <w:t>ingresos de todos los</w:t>
      </w:r>
      <w:r w:rsidR="00F45AF3">
        <w:rPr>
          <w:rFonts w:eastAsia="Calibri" w:cs="Times New Roman"/>
        </w:rPr>
        <w:t xml:space="preserve"> miembros</w:t>
      </w:r>
      <w:r w:rsidR="00D861CD">
        <w:rPr>
          <w:rFonts w:eastAsia="Calibri" w:cs="Times New Roman"/>
        </w:rPr>
        <w:t xml:space="preserve"> del hogar</w:t>
      </w:r>
      <w:r w:rsidR="00F45AF3">
        <w:rPr>
          <w:rFonts w:eastAsia="Calibri" w:cs="Times New Roman"/>
        </w:rPr>
        <w:t xml:space="preserve"> (medidos  en Millones de $/mes)</w:t>
      </w:r>
      <w:r w:rsidR="00F45AF3">
        <w:rPr>
          <w:rStyle w:val="Refdenotaalpie"/>
          <w:rFonts w:eastAsia="Calibri" w:cs="Times New Roman"/>
        </w:rPr>
        <w:footnoteReference w:id="16"/>
      </w:r>
      <w:r w:rsidR="00F45AF3">
        <w:rPr>
          <w:rFonts w:eastAsia="Calibri" w:cs="Times New Roman"/>
        </w:rPr>
        <w:t xml:space="preserve">. </w:t>
      </w:r>
    </w:p>
    <w:p w:rsidR="009D31BC" w:rsidRDefault="00CE09BB" w:rsidP="004F1B17">
      <w:pPr>
        <w:rPr>
          <w:rFonts w:eastAsia="Times New Roman" w:cs="Times New Roman"/>
          <w:lang w:eastAsia="es-CO"/>
        </w:rPr>
      </w:pPr>
      <w:r>
        <w:rPr>
          <w:rFonts w:eastAsia="Calibri" w:cs="Times New Roman"/>
        </w:rPr>
        <w:t>La</w:t>
      </w:r>
      <w:r w:rsidR="001D1DAD">
        <w:rPr>
          <w:rFonts w:eastAsia="Calibri" w:cs="Times New Roman"/>
        </w:rPr>
        <w:t>s</w:t>
      </w:r>
      <w:r>
        <w:rPr>
          <w:rFonts w:eastAsia="Calibri" w:cs="Times New Roman"/>
        </w:rPr>
        <w:t xml:space="preserve"> variables</w:t>
      </w:r>
      <w:r w:rsidR="001D1DAD">
        <w:rPr>
          <w:rFonts w:eastAsia="Calibri" w:cs="Times New Roman"/>
        </w:rPr>
        <w:t xml:space="preserve"> independientes incluyen como controles</w:t>
      </w:r>
      <w:r w:rsidR="001876DD">
        <w:rPr>
          <w:rFonts w:eastAsia="Calibri" w:cs="Times New Roman"/>
        </w:rPr>
        <w:t xml:space="preserve"> o efectos fijos</w:t>
      </w:r>
      <w:r w:rsidR="001D1DAD">
        <w:rPr>
          <w:rFonts w:eastAsia="Calibri" w:cs="Times New Roman"/>
        </w:rPr>
        <w:t xml:space="preserve"> las mismas variables consideradas en la estimación de la demanda por TIC</w:t>
      </w:r>
      <w:r w:rsidR="001A0746">
        <w:rPr>
          <w:rFonts w:eastAsia="Calibri" w:cs="Times New Roman"/>
        </w:rPr>
        <w:t xml:space="preserve"> (Z)</w:t>
      </w:r>
      <w:r w:rsidR="001D1DAD">
        <w:rPr>
          <w:rFonts w:eastAsia="Calibri" w:cs="Times New Roman"/>
        </w:rPr>
        <w:t>: i) la Región (las mismas nueve regiones consideradas en la estimación de la deman</w:t>
      </w:r>
      <w:r w:rsidR="001876DD">
        <w:rPr>
          <w:rFonts w:eastAsia="Calibri" w:cs="Times New Roman"/>
        </w:rPr>
        <w:t>da por TIC), ii) la educación (b</w:t>
      </w:r>
      <w:r w:rsidR="001D1DAD">
        <w:rPr>
          <w:rFonts w:eastAsia="Calibri" w:cs="Times New Roman"/>
        </w:rPr>
        <w:t xml:space="preserve">ásica, media, técnica-tecnológica, superior), iii) la edad (7-17 años, </w:t>
      </w:r>
      <w:r w:rsidR="009D31BC" w:rsidRPr="00A8609D">
        <w:rPr>
          <w:rFonts w:eastAsia="Times New Roman" w:cs="Times New Roman"/>
          <w:lang w:eastAsia="es-CO"/>
        </w:rPr>
        <w:t>18 a 34 años</w:t>
      </w:r>
      <w:r w:rsidR="001D1DAD">
        <w:rPr>
          <w:rFonts w:eastAsia="Calibri" w:cs="Times New Roman"/>
        </w:rPr>
        <w:t xml:space="preserve">, </w:t>
      </w:r>
      <w:r w:rsidR="009D31BC" w:rsidRPr="00A8609D">
        <w:rPr>
          <w:rFonts w:eastAsia="Times New Roman" w:cs="Times New Roman"/>
          <w:lang w:eastAsia="es-CO"/>
        </w:rPr>
        <w:t>35 a 59 años</w:t>
      </w:r>
      <w:r w:rsidR="001D1DAD">
        <w:rPr>
          <w:rFonts w:eastAsia="Calibri" w:cs="Times New Roman"/>
        </w:rPr>
        <w:t xml:space="preserve"> y </w:t>
      </w:r>
      <w:r w:rsidR="009D31BC">
        <w:rPr>
          <w:rFonts w:eastAsia="Times New Roman" w:cs="Times New Roman"/>
          <w:lang w:eastAsia="es-CO"/>
        </w:rPr>
        <w:t>60 o más años</w:t>
      </w:r>
      <w:r w:rsidR="001D1DAD">
        <w:rPr>
          <w:rFonts w:eastAsia="Times New Roman" w:cs="Times New Roman"/>
          <w:lang w:eastAsia="es-CO"/>
        </w:rPr>
        <w:t>), todas variables dicótomas (0,1), que vale</w:t>
      </w:r>
      <w:r w:rsidR="001876DD">
        <w:rPr>
          <w:rFonts w:eastAsia="Times New Roman" w:cs="Times New Roman"/>
          <w:lang w:eastAsia="es-CO"/>
        </w:rPr>
        <w:t>n</w:t>
      </w:r>
      <w:r w:rsidR="001D1DAD">
        <w:rPr>
          <w:rFonts w:eastAsia="Times New Roman" w:cs="Times New Roman"/>
          <w:lang w:eastAsia="es-CO"/>
        </w:rPr>
        <w:t xml:space="preserve"> 1 si el hogar tiene al menos un miembro con la característica indicada</w:t>
      </w:r>
      <w:r w:rsidR="00D861CD">
        <w:rPr>
          <w:rFonts w:eastAsia="Times New Roman" w:cs="Times New Roman"/>
          <w:lang w:eastAsia="es-CO"/>
        </w:rPr>
        <w:t xml:space="preserve"> y 0 en caso contrario. A</w:t>
      </w:r>
      <w:r w:rsidR="001876DD">
        <w:rPr>
          <w:rFonts w:eastAsia="Times New Roman" w:cs="Times New Roman"/>
          <w:lang w:eastAsia="es-CO"/>
        </w:rPr>
        <w:t xml:space="preserve"> este conjunto de controles</w:t>
      </w:r>
      <w:r w:rsidR="00F45AF3">
        <w:rPr>
          <w:rFonts w:eastAsia="Times New Roman" w:cs="Times New Roman"/>
          <w:lang w:eastAsia="es-CO"/>
        </w:rPr>
        <w:t xml:space="preserve"> se le suman dos variables</w:t>
      </w:r>
      <w:r w:rsidR="001876DD">
        <w:rPr>
          <w:rFonts w:eastAsia="Times New Roman" w:cs="Times New Roman"/>
          <w:lang w:eastAsia="es-CO"/>
        </w:rPr>
        <w:t xml:space="preserve"> explicativas adicionales</w:t>
      </w:r>
      <w:r w:rsidR="00D861CD">
        <w:rPr>
          <w:rFonts w:eastAsia="Times New Roman" w:cs="Times New Roman"/>
          <w:lang w:eastAsia="es-CO"/>
        </w:rPr>
        <w:t>: Una, si los miembros del</w:t>
      </w:r>
      <w:r w:rsidR="00F45AF3">
        <w:rPr>
          <w:rFonts w:eastAsia="Times New Roman" w:cs="Times New Roman"/>
          <w:lang w:eastAsia="es-CO"/>
        </w:rPr>
        <w:t xml:space="preserve"> hogar tiene</w:t>
      </w:r>
      <w:r w:rsidR="00D861CD">
        <w:rPr>
          <w:rFonts w:eastAsia="Times New Roman" w:cs="Times New Roman"/>
          <w:lang w:eastAsia="es-CO"/>
        </w:rPr>
        <w:t>n</w:t>
      </w:r>
      <w:r w:rsidR="00F45AF3">
        <w:rPr>
          <w:rFonts w:eastAsia="Times New Roman" w:cs="Times New Roman"/>
          <w:lang w:eastAsia="es-CO"/>
        </w:rPr>
        <w:t xml:space="preserve"> al menos un teléfono móvil y, otra, si el hogar tiene Internet</w:t>
      </w:r>
      <w:r w:rsidR="001876DD">
        <w:rPr>
          <w:rFonts w:eastAsia="Times New Roman" w:cs="Times New Roman"/>
          <w:lang w:eastAsia="es-CO"/>
        </w:rPr>
        <w:t xml:space="preserve"> (internet)</w:t>
      </w:r>
      <w:r w:rsidR="00F45AF3">
        <w:rPr>
          <w:rFonts w:eastAsia="Times New Roman" w:cs="Times New Roman"/>
          <w:lang w:eastAsia="es-CO"/>
        </w:rPr>
        <w:t>.</w:t>
      </w:r>
    </w:p>
    <w:p w:rsidR="00BB7BF2" w:rsidRDefault="00BB7BF2" w:rsidP="004F1B17">
      <w:pPr>
        <w:rPr>
          <w:rFonts w:eastAsia="Times New Roman" w:cs="Times New Roman"/>
          <w:lang w:eastAsia="es-CO"/>
        </w:rPr>
      </w:pPr>
      <w:r>
        <w:rPr>
          <w:rFonts w:eastAsia="Times New Roman" w:cs="Times New Roman"/>
          <w:lang w:eastAsia="es-CO"/>
        </w:rPr>
        <w:t>En síntesis, el modelo completo de determinación del ingreso familiar</w:t>
      </w:r>
      <w:r w:rsidR="001A0746">
        <w:rPr>
          <w:rFonts w:eastAsia="Times New Roman" w:cs="Times New Roman"/>
          <w:lang w:eastAsia="es-CO"/>
        </w:rPr>
        <w:t xml:space="preserve"> estimado tiene la siguiente estructura</w:t>
      </w:r>
      <w:r w:rsidR="00334B50">
        <w:rPr>
          <w:rStyle w:val="Refdenotaalpie"/>
          <w:rFonts w:eastAsia="Times New Roman" w:cs="Times New Roman"/>
          <w:lang w:eastAsia="es-CO"/>
        </w:rPr>
        <w:footnoteReference w:id="17"/>
      </w:r>
      <w:r w:rsidR="001A0746">
        <w:rPr>
          <w:rFonts w:eastAsia="Times New Roman" w:cs="Times New Roman"/>
          <w:lang w:eastAsia="es-CO"/>
        </w:rPr>
        <w:t>:</w:t>
      </w:r>
    </w:p>
    <w:p w:rsidR="00BB7BF2" w:rsidRPr="004A70EA" w:rsidRDefault="00BB7BF2" w:rsidP="004F1B17">
      <w:pPr>
        <w:jc w:val="center"/>
        <w:rPr>
          <w:rFonts w:ascii="Symbol" w:eastAsia="Times New Roman" w:hAnsi="Symbol" w:cs="Times New Roman"/>
          <w:lang w:eastAsia="es-CO"/>
        </w:rPr>
      </w:pPr>
      <w:proofErr w:type="spellStart"/>
      <w:r w:rsidRPr="004A70EA">
        <w:rPr>
          <w:rFonts w:eastAsia="Times New Roman" w:cs="Times New Roman"/>
          <w:lang w:eastAsia="es-CO"/>
        </w:rPr>
        <w:t>Ln</w:t>
      </w:r>
      <w:proofErr w:type="spellEnd"/>
      <w:r w:rsidR="008341DC" w:rsidRPr="004A70EA">
        <w:rPr>
          <w:rFonts w:eastAsia="Times New Roman" w:cs="Times New Roman"/>
          <w:lang w:eastAsia="es-CO"/>
        </w:rPr>
        <w:t xml:space="preserve"> </w:t>
      </w:r>
      <w:r w:rsidRPr="004A70EA">
        <w:rPr>
          <w:rFonts w:eastAsia="Times New Roman" w:cs="Times New Roman"/>
          <w:lang w:eastAsia="es-CO"/>
        </w:rPr>
        <w:t>(y) = a</w:t>
      </w:r>
      <w:r w:rsidRPr="004A70EA">
        <w:rPr>
          <w:rFonts w:eastAsia="Times New Roman" w:cs="Times New Roman"/>
          <w:vertAlign w:val="subscript"/>
          <w:lang w:eastAsia="es-CO"/>
        </w:rPr>
        <w:t>0</w:t>
      </w:r>
      <w:r w:rsidRPr="004A70EA">
        <w:rPr>
          <w:rFonts w:eastAsia="Times New Roman" w:cs="Times New Roman"/>
          <w:lang w:eastAsia="es-CO"/>
        </w:rPr>
        <w:t xml:space="preserve">  +b</w:t>
      </w:r>
      <w:r w:rsidRPr="004A70EA">
        <w:rPr>
          <w:rFonts w:eastAsia="Times New Roman" w:cs="Times New Roman"/>
          <w:vertAlign w:val="subscript"/>
          <w:lang w:eastAsia="es-CO"/>
        </w:rPr>
        <w:t>1</w:t>
      </w:r>
      <w:r w:rsidR="008341DC" w:rsidRPr="004A70EA">
        <w:rPr>
          <w:rFonts w:eastAsia="Times New Roman" w:cs="Times New Roman"/>
          <w:vertAlign w:val="subscript"/>
          <w:lang w:eastAsia="es-CO"/>
        </w:rPr>
        <w:t xml:space="preserve"> </w:t>
      </w:r>
      <w:r w:rsidRPr="004A70EA">
        <w:rPr>
          <w:rFonts w:eastAsia="Times New Roman" w:cs="Times New Roman"/>
          <w:lang w:eastAsia="es-CO"/>
        </w:rPr>
        <w:t>*</w:t>
      </w:r>
      <w:r w:rsidR="00964481" w:rsidRPr="004A70EA">
        <w:rPr>
          <w:rFonts w:eastAsia="Times New Roman" w:cs="Times New Roman"/>
          <w:lang w:eastAsia="es-CO"/>
        </w:rPr>
        <w:t xml:space="preserve"> </w:t>
      </w:r>
      <w:r w:rsidR="001F59D4" w:rsidRPr="004A70EA">
        <w:rPr>
          <w:rFonts w:eastAsia="Times New Roman" w:cs="Times New Roman"/>
          <w:lang w:eastAsia="es-CO"/>
        </w:rPr>
        <w:t>telefonía móvil</w:t>
      </w:r>
      <w:r w:rsidR="001A0746" w:rsidRPr="004A70EA">
        <w:rPr>
          <w:rFonts w:eastAsia="Times New Roman" w:cs="Times New Roman"/>
          <w:lang w:eastAsia="es-CO"/>
        </w:rPr>
        <w:t xml:space="preserve"> + b</w:t>
      </w:r>
      <w:r w:rsidR="001A0746" w:rsidRPr="004A70EA">
        <w:rPr>
          <w:rFonts w:eastAsia="Times New Roman" w:cs="Times New Roman"/>
          <w:vertAlign w:val="subscript"/>
          <w:lang w:eastAsia="es-CO"/>
        </w:rPr>
        <w:t>2</w:t>
      </w:r>
      <w:r w:rsidR="008341DC" w:rsidRPr="004A70EA">
        <w:rPr>
          <w:rFonts w:eastAsia="Times New Roman" w:cs="Times New Roman"/>
          <w:lang w:eastAsia="es-CO"/>
        </w:rPr>
        <w:t xml:space="preserve"> * i</w:t>
      </w:r>
      <w:r w:rsidR="001A0746" w:rsidRPr="004A70EA">
        <w:rPr>
          <w:rFonts w:eastAsia="Times New Roman" w:cs="Times New Roman"/>
          <w:lang w:eastAsia="es-CO"/>
        </w:rPr>
        <w:t xml:space="preserve">nternet + </w:t>
      </w:r>
      <w:r w:rsidR="001A0746" w:rsidRPr="004A70EA">
        <w:rPr>
          <w:rFonts w:ascii="Symbol" w:eastAsia="Times New Roman" w:hAnsi="Symbol" w:cs="Times New Roman"/>
          <w:sz w:val="32"/>
          <w:szCs w:val="32"/>
          <w:lang w:eastAsia="es-CO"/>
        </w:rPr>
        <w:t></w:t>
      </w:r>
      <w:r w:rsidR="001A0746" w:rsidRPr="004A70EA">
        <w:rPr>
          <w:rFonts w:ascii="Symbol" w:eastAsia="Times New Roman" w:hAnsi="Symbol" w:cs="Times New Roman"/>
          <w:sz w:val="32"/>
          <w:szCs w:val="32"/>
          <w:lang w:eastAsia="es-CO"/>
        </w:rPr>
        <w:t></w:t>
      </w:r>
      <w:r w:rsidR="001A0746" w:rsidRPr="004A70EA">
        <w:rPr>
          <w:rFonts w:ascii="Symbol" w:eastAsia="Times New Roman" w:hAnsi="Symbol" w:cs="Times New Roman"/>
          <w:sz w:val="32"/>
          <w:szCs w:val="32"/>
          <w:lang w:eastAsia="es-CO"/>
        </w:rPr>
        <w:t></w:t>
      </w:r>
      <w:proofErr w:type="spellStart"/>
      <w:r w:rsidR="001A0746" w:rsidRPr="004A70EA">
        <w:rPr>
          <w:rFonts w:eastAsia="Times New Roman" w:cs="Times New Roman"/>
          <w:lang w:eastAsia="es-CO"/>
        </w:rPr>
        <w:t>c</w:t>
      </w:r>
      <w:r w:rsidR="001A0746" w:rsidRPr="004A70EA">
        <w:rPr>
          <w:rFonts w:eastAsia="Times New Roman" w:cs="Times New Roman"/>
          <w:vertAlign w:val="subscript"/>
          <w:lang w:eastAsia="es-CO"/>
        </w:rPr>
        <w:t>i</w:t>
      </w:r>
      <w:proofErr w:type="spellEnd"/>
      <w:r w:rsidR="001A0746" w:rsidRPr="004A70EA">
        <w:rPr>
          <w:rFonts w:eastAsia="Times New Roman" w:cs="Times New Roman"/>
          <w:lang w:eastAsia="es-CO"/>
        </w:rPr>
        <w:t xml:space="preserve"> * </w:t>
      </w:r>
      <w:proofErr w:type="spellStart"/>
      <w:r w:rsidR="001A0746" w:rsidRPr="004A70EA">
        <w:rPr>
          <w:rFonts w:eastAsia="Times New Roman" w:cs="Times New Roman"/>
          <w:lang w:eastAsia="es-CO"/>
        </w:rPr>
        <w:t>Z</w:t>
      </w:r>
      <w:r w:rsidR="001A0746" w:rsidRPr="004A70EA">
        <w:rPr>
          <w:rFonts w:eastAsia="Times New Roman" w:cs="Times New Roman"/>
          <w:vertAlign w:val="subscript"/>
          <w:lang w:eastAsia="es-CO"/>
        </w:rPr>
        <w:t>i</w:t>
      </w:r>
      <w:proofErr w:type="spellEnd"/>
      <w:r w:rsidR="001A0746" w:rsidRPr="004A70EA">
        <w:rPr>
          <w:rFonts w:eastAsia="Times New Roman" w:cs="Times New Roman"/>
          <w:lang w:eastAsia="es-CO"/>
        </w:rPr>
        <w:t xml:space="preserve">) + </w:t>
      </w:r>
      <w:r w:rsidR="001A0746" w:rsidRPr="004A70EA">
        <w:rPr>
          <w:rFonts w:ascii="Symbol" w:eastAsia="Times New Roman" w:hAnsi="Symbol" w:cs="Times New Roman"/>
          <w:lang w:eastAsia="es-CO"/>
        </w:rPr>
        <w:t></w:t>
      </w:r>
    </w:p>
    <w:p w:rsidR="008341DC" w:rsidRPr="008341DC" w:rsidRDefault="001A0746" w:rsidP="004F1B17">
      <w:pPr>
        <w:rPr>
          <w:rFonts w:eastAsia="Times New Roman" w:cs="Times New Roman"/>
          <w:lang w:eastAsia="es-CO"/>
        </w:rPr>
      </w:pPr>
      <w:r>
        <w:rPr>
          <w:rFonts w:eastAsia="Times New Roman" w:cs="Times New Roman"/>
          <w:lang w:eastAsia="es-CO"/>
        </w:rPr>
        <w:t>Donde el logaritmo del ingreso familiar es una función de las variables que caracterizan la estructura de</w:t>
      </w:r>
      <w:r w:rsidR="008341DC">
        <w:rPr>
          <w:rFonts w:eastAsia="Times New Roman" w:cs="Times New Roman"/>
          <w:lang w:eastAsia="es-CO"/>
        </w:rPr>
        <w:t xml:space="preserve"> localización, región,</w:t>
      </w:r>
      <w:r>
        <w:rPr>
          <w:rFonts w:eastAsia="Times New Roman" w:cs="Times New Roman"/>
          <w:lang w:eastAsia="es-CO"/>
        </w:rPr>
        <w:t xml:space="preserve"> educaci</w:t>
      </w:r>
      <w:r w:rsidR="008341DC">
        <w:rPr>
          <w:rFonts w:eastAsia="Times New Roman" w:cs="Times New Roman"/>
          <w:lang w:eastAsia="es-CO"/>
        </w:rPr>
        <w:t>ón, y edad de los hogares</w:t>
      </w:r>
      <w:r w:rsidR="004F7DBA">
        <w:rPr>
          <w:rFonts w:eastAsia="Times New Roman" w:cs="Times New Roman"/>
          <w:lang w:eastAsia="es-CO"/>
        </w:rPr>
        <w:t xml:space="preserve"> (variables en Z)</w:t>
      </w:r>
      <w:r w:rsidR="008341DC">
        <w:rPr>
          <w:rFonts w:eastAsia="Times New Roman" w:cs="Times New Roman"/>
          <w:lang w:eastAsia="es-CO"/>
        </w:rPr>
        <w:t xml:space="preserve"> y de la presencia de telefonía móvil e </w:t>
      </w:r>
      <w:r w:rsidR="004F7DBA">
        <w:rPr>
          <w:rFonts w:eastAsia="Times New Roman" w:cs="Times New Roman"/>
          <w:lang w:eastAsia="es-CO"/>
        </w:rPr>
        <w:t>i</w:t>
      </w:r>
      <w:r w:rsidR="008341DC">
        <w:rPr>
          <w:rFonts w:eastAsia="Times New Roman" w:cs="Times New Roman"/>
          <w:lang w:eastAsia="es-CO"/>
        </w:rPr>
        <w:t>nternet en el hogar.</w:t>
      </w:r>
      <w:r w:rsidR="004F7DBA">
        <w:rPr>
          <w:rFonts w:eastAsia="Times New Roman" w:cs="Times New Roman"/>
          <w:lang w:eastAsia="es-CO"/>
        </w:rPr>
        <w:t xml:space="preserve"> </w:t>
      </w:r>
      <w:r w:rsidR="008341DC">
        <w:rPr>
          <w:rFonts w:eastAsia="Times New Roman" w:cs="Times New Roman"/>
          <w:lang w:eastAsia="es-CO"/>
        </w:rPr>
        <w:t>Diferenciando esta ecuación se obtiene el diferencial de ingreso por tener telefonía móvil (b</w:t>
      </w:r>
      <w:r w:rsidR="008341DC">
        <w:rPr>
          <w:rFonts w:eastAsia="Times New Roman" w:cs="Times New Roman"/>
          <w:vertAlign w:val="subscript"/>
          <w:lang w:eastAsia="es-CO"/>
        </w:rPr>
        <w:t>1</w:t>
      </w:r>
      <w:r w:rsidR="008341DC">
        <w:rPr>
          <w:rFonts w:eastAsia="Times New Roman" w:cs="Times New Roman"/>
          <w:lang w:eastAsia="es-CO"/>
        </w:rPr>
        <w:t>) y por tener internet (b</w:t>
      </w:r>
      <w:r w:rsidR="008341DC">
        <w:rPr>
          <w:rFonts w:eastAsia="Times New Roman" w:cs="Times New Roman"/>
          <w:vertAlign w:val="subscript"/>
          <w:lang w:eastAsia="es-CO"/>
        </w:rPr>
        <w:t>2</w:t>
      </w:r>
      <w:r w:rsidR="008341DC">
        <w:rPr>
          <w:rFonts w:eastAsia="Times New Roman" w:cs="Times New Roman"/>
          <w:lang w:eastAsia="es-CO"/>
        </w:rPr>
        <w:t>), controlando por el resto de variables que afectan el ingreso familiar.</w:t>
      </w:r>
    </w:p>
    <w:p w:rsidR="008341DC" w:rsidRPr="005C3ECA" w:rsidRDefault="008341DC" w:rsidP="004F1B17">
      <w:pPr>
        <w:jc w:val="center"/>
        <w:rPr>
          <w:rFonts w:eastAsia="Times New Roman" w:cs="Times New Roman"/>
          <w:lang w:eastAsia="es-CO"/>
        </w:rPr>
      </w:pPr>
      <w:proofErr w:type="spellStart"/>
      <w:proofErr w:type="gramStart"/>
      <w:r w:rsidRPr="005C3ECA">
        <w:rPr>
          <w:rFonts w:eastAsia="Times New Roman" w:cs="Times New Roman"/>
          <w:lang w:eastAsia="es-CO"/>
        </w:rPr>
        <w:t>dy</w:t>
      </w:r>
      <w:proofErr w:type="spellEnd"/>
      <w:r w:rsidRPr="005C3ECA">
        <w:rPr>
          <w:rFonts w:eastAsia="Times New Roman" w:cs="Times New Roman"/>
          <w:lang w:eastAsia="es-CO"/>
        </w:rPr>
        <w:t>/</w:t>
      </w:r>
      <w:proofErr w:type="gramEnd"/>
      <w:r w:rsidRPr="005C3ECA">
        <w:rPr>
          <w:rFonts w:eastAsia="Times New Roman" w:cs="Times New Roman"/>
          <w:lang w:eastAsia="es-CO"/>
        </w:rPr>
        <w:t>y = b</w:t>
      </w:r>
      <w:r w:rsidRPr="005C3ECA">
        <w:rPr>
          <w:rFonts w:eastAsia="Times New Roman" w:cs="Times New Roman"/>
          <w:vertAlign w:val="subscript"/>
          <w:lang w:eastAsia="es-CO"/>
        </w:rPr>
        <w:t xml:space="preserve">1 </w:t>
      </w:r>
      <w:r w:rsidRPr="005C3ECA">
        <w:rPr>
          <w:rFonts w:eastAsia="Times New Roman" w:cs="Times New Roman"/>
          <w:lang w:eastAsia="es-CO"/>
        </w:rPr>
        <w:t>*d(telefonía móvil) +b</w:t>
      </w:r>
      <w:r w:rsidRPr="005C3ECA">
        <w:rPr>
          <w:rFonts w:eastAsia="Times New Roman" w:cs="Times New Roman"/>
          <w:vertAlign w:val="subscript"/>
          <w:lang w:eastAsia="es-CO"/>
        </w:rPr>
        <w:t>2</w:t>
      </w:r>
      <w:r w:rsidRPr="005C3ECA">
        <w:rPr>
          <w:rFonts w:eastAsia="Times New Roman" w:cs="Times New Roman"/>
          <w:lang w:eastAsia="es-CO"/>
        </w:rPr>
        <w:t xml:space="preserve"> * d(internet) + ….</w:t>
      </w:r>
    </w:p>
    <w:p w:rsidR="00964481" w:rsidRDefault="00E216DC" w:rsidP="004F1B17">
      <w:pPr>
        <w:rPr>
          <w:rFonts w:eastAsia="Times New Roman" w:cs="Times New Roman"/>
          <w:lang w:eastAsia="es-CO"/>
        </w:rPr>
      </w:pPr>
      <w:r>
        <w:rPr>
          <w:rFonts w:eastAsia="Times New Roman" w:cs="Times New Roman"/>
          <w:lang w:eastAsia="es-CO"/>
        </w:rPr>
        <w:t>Los resultados</w:t>
      </w:r>
      <w:r w:rsidR="0058076B">
        <w:rPr>
          <w:rFonts w:eastAsia="Times New Roman" w:cs="Times New Roman"/>
          <w:lang w:eastAsia="es-CO"/>
        </w:rPr>
        <w:t xml:space="preserve"> completos de la estimación de esta ecuación están en el Anexo A1, del cual se extraen los resultados relevantes</w:t>
      </w:r>
      <w:r>
        <w:rPr>
          <w:rFonts w:eastAsia="Times New Roman" w:cs="Times New Roman"/>
          <w:lang w:eastAsia="es-CO"/>
        </w:rPr>
        <w:t xml:space="preserve"> de este ejerc</w:t>
      </w:r>
      <w:r w:rsidR="001876DD">
        <w:rPr>
          <w:rFonts w:eastAsia="Times New Roman" w:cs="Times New Roman"/>
          <w:lang w:eastAsia="es-CO"/>
        </w:rPr>
        <w:t>icio</w:t>
      </w:r>
      <w:r w:rsidR="0058076B">
        <w:rPr>
          <w:rFonts w:eastAsia="Times New Roman" w:cs="Times New Roman"/>
          <w:lang w:eastAsia="es-CO"/>
        </w:rPr>
        <w:t xml:space="preserve"> que</w:t>
      </w:r>
      <w:r w:rsidR="001876DD">
        <w:rPr>
          <w:rFonts w:eastAsia="Times New Roman" w:cs="Times New Roman"/>
          <w:lang w:eastAsia="es-CO"/>
        </w:rPr>
        <w:t xml:space="preserve"> se presentan en el C</w:t>
      </w:r>
      <w:r w:rsidR="0077353F">
        <w:rPr>
          <w:rFonts w:eastAsia="Times New Roman" w:cs="Times New Roman"/>
          <w:lang w:eastAsia="es-CO"/>
        </w:rPr>
        <w:t xml:space="preserve">uadro 2.2.3. El cuadro presenta los efectos de tener telefonía móvil y/o internet en el hogar sobre los ingresos familiares, según lugar de residencia en los años 2010 y 2012. Para las </w:t>
      </w:r>
      <w:r w:rsidR="00491ADD">
        <w:rPr>
          <w:rFonts w:eastAsia="Times New Roman" w:cs="Times New Roman"/>
          <w:lang w:eastAsia="es-CO"/>
        </w:rPr>
        <w:lastRenderedPageBreak/>
        <w:t>seis estimaciones realizadas (dos años*tres lugares de residencia) se presentan los coeficientes de impacto de la telefonía móvil y del internet (en porcentaje), con</w:t>
      </w:r>
      <w:r w:rsidR="00634D81">
        <w:rPr>
          <w:rFonts w:eastAsia="Times New Roman" w:cs="Times New Roman"/>
          <w:lang w:eastAsia="es-CO"/>
        </w:rPr>
        <w:t xml:space="preserve"> su</w:t>
      </w:r>
      <w:r w:rsidR="00491ADD">
        <w:rPr>
          <w:rFonts w:eastAsia="Times New Roman" w:cs="Times New Roman"/>
          <w:lang w:eastAsia="es-CO"/>
        </w:rPr>
        <w:t xml:space="preserve"> error </w:t>
      </w:r>
      <w:proofErr w:type="spellStart"/>
      <w:r w:rsidR="00491ADD">
        <w:rPr>
          <w:rFonts w:eastAsia="Times New Roman" w:cs="Times New Roman"/>
          <w:lang w:eastAsia="es-CO"/>
        </w:rPr>
        <w:t>standard</w:t>
      </w:r>
      <w:proofErr w:type="spellEnd"/>
      <w:r w:rsidR="00491ADD">
        <w:rPr>
          <w:rFonts w:eastAsia="Times New Roman" w:cs="Times New Roman"/>
          <w:lang w:eastAsia="es-CO"/>
        </w:rPr>
        <w:t xml:space="preserve"> y la</w:t>
      </w:r>
      <w:r w:rsidR="00634D81">
        <w:rPr>
          <w:rFonts w:eastAsia="Times New Roman" w:cs="Times New Roman"/>
          <w:lang w:eastAsia="es-CO"/>
        </w:rPr>
        <w:t>s</w:t>
      </w:r>
      <w:r w:rsidR="00491ADD">
        <w:rPr>
          <w:rFonts w:eastAsia="Times New Roman" w:cs="Times New Roman"/>
          <w:lang w:eastAsia="es-CO"/>
        </w:rPr>
        <w:t xml:space="preserve"> prueba</w:t>
      </w:r>
      <w:r w:rsidR="00634D81">
        <w:rPr>
          <w:rFonts w:eastAsia="Times New Roman" w:cs="Times New Roman"/>
          <w:lang w:eastAsia="es-CO"/>
        </w:rPr>
        <w:t>s</w:t>
      </w:r>
      <w:r w:rsidR="00491ADD">
        <w:rPr>
          <w:rFonts w:eastAsia="Times New Roman" w:cs="Times New Roman"/>
          <w:lang w:eastAsia="es-CO"/>
        </w:rPr>
        <w:t xml:space="preserve"> t de su significancia estad</w:t>
      </w:r>
      <w:r w:rsidR="00634D81">
        <w:rPr>
          <w:rFonts w:eastAsia="Times New Roman" w:cs="Times New Roman"/>
          <w:lang w:eastAsia="es-CO"/>
        </w:rPr>
        <w:t>ística, que muestran que los dos impactos son altamente significativos en todos los casos.</w:t>
      </w:r>
    </w:p>
    <w:p w:rsidR="000D6671" w:rsidRDefault="00634D81" w:rsidP="004F1B17">
      <w:pPr>
        <w:rPr>
          <w:rFonts w:eastAsia="Times New Roman" w:cs="Times New Roman"/>
          <w:lang w:eastAsia="es-CO"/>
        </w:rPr>
      </w:pPr>
      <w:r>
        <w:rPr>
          <w:rFonts w:eastAsia="Times New Roman" w:cs="Times New Roman"/>
          <w:lang w:eastAsia="es-CO"/>
        </w:rPr>
        <w:t xml:space="preserve">Si se examina primero el impacto de </w:t>
      </w:r>
      <w:r w:rsidR="00FB2A66">
        <w:rPr>
          <w:rFonts w:eastAsia="Times New Roman" w:cs="Times New Roman"/>
          <w:lang w:eastAsia="es-CO"/>
        </w:rPr>
        <w:t>la T</w:t>
      </w:r>
      <w:r>
        <w:rPr>
          <w:rFonts w:eastAsia="Times New Roman" w:cs="Times New Roman"/>
          <w:lang w:eastAsia="es-CO"/>
        </w:rPr>
        <w:t>elefon</w:t>
      </w:r>
      <w:r w:rsidR="00FB2A66">
        <w:rPr>
          <w:rFonts w:eastAsia="Times New Roman" w:cs="Times New Roman"/>
          <w:lang w:eastAsia="es-CO"/>
        </w:rPr>
        <w:t>ía M</w:t>
      </w:r>
      <w:r>
        <w:rPr>
          <w:rFonts w:eastAsia="Times New Roman" w:cs="Times New Roman"/>
          <w:lang w:eastAsia="es-CO"/>
        </w:rPr>
        <w:t xml:space="preserve">óvil sobre los ingresos familiares en los seis dominios considerados se observan los siguientes patrones: </w:t>
      </w:r>
    </w:p>
    <w:p w:rsidR="00477C5A" w:rsidRDefault="000D6671" w:rsidP="004F1B17">
      <w:pPr>
        <w:pStyle w:val="Prrafodelista"/>
        <w:numPr>
          <w:ilvl w:val="0"/>
          <w:numId w:val="45"/>
        </w:numPr>
        <w:contextualSpacing w:val="0"/>
        <w:rPr>
          <w:rFonts w:eastAsia="Times New Roman" w:cs="Times New Roman"/>
          <w:lang w:eastAsia="es-CO"/>
        </w:rPr>
      </w:pPr>
      <w:r w:rsidRPr="00F44B51">
        <w:rPr>
          <w:rFonts w:eastAsia="Times New Roman" w:cs="Times New Roman"/>
          <w:lang w:eastAsia="es-CO"/>
        </w:rPr>
        <w:t>E</w:t>
      </w:r>
      <w:r w:rsidR="00112674" w:rsidRPr="00F44B51">
        <w:rPr>
          <w:rFonts w:eastAsia="Times New Roman" w:cs="Times New Roman"/>
          <w:lang w:eastAsia="es-CO"/>
        </w:rPr>
        <w:t>l impacto</w:t>
      </w:r>
      <w:r w:rsidRPr="00F44B51">
        <w:rPr>
          <w:rFonts w:eastAsia="Times New Roman" w:cs="Times New Roman"/>
          <w:lang w:eastAsia="es-CO"/>
        </w:rPr>
        <w:t>, medido como la diferencia en el ingreso familiar entre tener y no tener el servicio de telefonía móvil en el hogar, fue mayor en 2012 que</w:t>
      </w:r>
      <w:r w:rsidR="00112674" w:rsidRPr="00F44B51">
        <w:rPr>
          <w:rFonts w:eastAsia="Times New Roman" w:cs="Times New Roman"/>
          <w:lang w:eastAsia="es-CO"/>
        </w:rPr>
        <w:t xml:space="preserve"> en el</w:t>
      </w:r>
      <w:r w:rsidRPr="00F44B51">
        <w:rPr>
          <w:rFonts w:eastAsia="Times New Roman" w:cs="Times New Roman"/>
          <w:lang w:eastAsia="es-CO"/>
        </w:rPr>
        <w:t xml:space="preserve"> año</w:t>
      </w:r>
      <w:r w:rsidR="00112674" w:rsidRPr="00F44B51">
        <w:rPr>
          <w:rFonts w:eastAsia="Times New Roman" w:cs="Times New Roman"/>
          <w:lang w:eastAsia="es-CO"/>
        </w:rPr>
        <w:t xml:space="preserve"> 2010 en los tres lugares de residencia considerados, a pesar de que en ese año ya la telefonía móvil había alcanzado una alta penetración en todos los estratos socioeconómicos</w:t>
      </w:r>
      <w:r w:rsidR="00477C5A" w:rsidRPr="00F44B51">
        <w:rPr>
          <w:rFonts w:eastAsia="Times New Roman" w:cs="Times New Roman"/>
          <w:lang w:eastAsia="es-CO"/>
        </w:rPr>
        <w:t xml:space="preserve"> a nivel nacional. Una posible explicación a estas tendencias es que los efectos productivos de la telefonía móvil pasan por una fase acumulativa</w:t>
      </w:r>
      <w:r w:rsidR="002B5128">
        <w:rPr>
          <w:rFonts w:eastAsia="Times New Roman" w:cs="Times New Roman"/>
          <w:lang w:eastAsia="es-CO"/>
        </w:rPr>
        <w:t xml:space="preserve"> de usos cada vez más productivos</w:t>
      </w:r>
      <w:r w:rsidR="00F44B51" w:rsidRPr="00F44B51">
        <w:rPr>
          <w:rFonts w:eastAsia="Times New Roman" w:cs="Times New Roman"/>
          <w:lang w:eastAsia="es-CO"/>
        </w:rPr>
        <w:t xml:space="preserve"> en que los impactos son crecientes</w:t>
      </w:r>
      <w:r w:rsidR="00F44B51">
        <w:rPr>
          <w:rFonts w:eastAsia="Times New Roman" w:cs="Times New Roman"/>
          <w:lang w:eastAsia="es-CO"/>
        </w:rPr>
        <w:t xml:space="preserve"> en el tiempo</w:t>
      </w:r>
      <w:r w:rsidR="00F44B51" w:rsidRPr="00F44B51">
        <w:rPr>
          <w:rFonts w:eastAsia="Times New Roman" w:cs="Times New Roman"/>
          <w:lang w:eastAsia="es-CO"/>
        </w:rPr>
        <w:t xml:space="preserve"> y no decrecientes.</w:t>
      </w:r>
      <w:r w:rsidR="00477C5A" w:rsidRPr="00F44B51">
        <w:rPr>
          <w:rFonts w:eastAsia="Times New Roman" w:cs="Times New Roman"/>
          <w:lang w:eastAsia="es-CO"/>
        </w:rPr>
        <w:t xml:space="preserve"> </w:t>
      </w:r>
    </w:p>
    <w:p w:rsidR="00634D81" w:rsidRDefault="00477C5A" w:rsidP="004F1B17">
      <w:pPr>
        <w:pStyle w:val="Prrafodelista"/>
        <w:numPr>
          <w:ilvl w:val="0"/>
          <w:numId w:val="45"/>
        </w:numPr>
        <w:contextualSpacing w:val="0"/>
        <w:rPr>
          <w:rFonts w:eastAsia="Times New Roman" w:cs="Times New Roman"/>
          <w:lang w:eastAsia="es-CO"/>
        </w:rPr>
      </w:pPr>
      <w:r w:rsidRPr="00F44B51">
        <w:rPr>
          <w:rFonts w:eastAsia="Times New Roman" w:cs="Times New Roman"/>
          <w:lang w:eastAsia="es-CO"/>
        </w:rPr>
        <w:t xml:space="preserve">En los </w:t>
      </w:r>
      <w:r w:rsidR="000D6671" w:rsidRPr="00F44B51">
        <w:rPr>
          <w:rFonts w:eastAsia="Times New Roman" w:cs="Times New Roman"/>
          <w:lang w:eastAsia="es-CO"/>
        </w:rPr>
        <w:t>dos años los</w:t>
      </w:r>
      <w:r w:rsidR="00112674" w:rsidRPr="00F44B51">
        <w:rPr>
          <w:rFonts w:eastAsia="Times New Roman" w:cs="Times New Roman"/>
          <w:lang w:eastAsia="es-CO"/>
        </w:rPr>
        <w:t xml:space="preserve"> impacto</w:t>
      </w:r>
      <w:r w:rsidR="000D6671" w:rsidRPr="00F44B51">
        <w:rPr>
          <w:rFonts w:eastAsia="Times New Roman" w:cs="Times New Roman"/>
          <w:lang w:eastAsia="es-CO"/>
        </w:rPr>
        <w:t xml:space="preserve">s fueron altos y altamente significativos: </w:t>
      </w:r>
      <w:r w:rsidRPr="00F44B51">
        <w:rPr>
          <w:rFonts w:eastAsia="Times New Roman" w:cs="Times New Roman"/>
          <w:lang w:eastAsia="es-CO"/>
        </w:rPr>
        <w:t>T</w:t>
      </w:r>
      <w:r w:rsidR="000D6671" w:rsidRPr="00F44B51">
        <w:rPr>
          <w:rFonts w:eastAsia="Times New Roman" w:cs="Times New Roman"/>
          <w:lang w:eastAsia="es-CO"/>
        </w:rPr>
        <w:t>ener telefonía móvil frente a no tenerla significó</w:t>
      </w:r>
      <w:r w:rsidR="00F44B51" w:rsidRPr="00F44B51">
        <w:rPr>
          <w:rFonts w:eastAsia="Times New Roman" w:cs="Times New Roman"/>
          <w:lang w:eastAsia="es-CO"/>
        </w:rPr>
        <w:t xml:space="preserve"> en cabeceras municipales</w:t>
      </w:r>
      <w:r w:rsidR="000D6671" w:rsidRPr="00F44B51">
        <w:rPr>
          <w:rFonts w:eastAsia="Times New Roman" w:cs="Times New Roman"/>
          <w:lang w:eastAsia="es-CO"/>
        </w:rPr>
        <w:t xml:space="preserve"> tener un ingreso familiar</w:t>
      </w:r>
      <w:r w:rsidR="00112674" w:rsidRPr="00F44B51">
        <w:rPr>
          <w:rFonts w:eastAsia="Times New Roman" w:cs="Times New Roman"/>
          <w:lang w:eastAsia="es-CO"/>
        </w:rPr>
        <w:t xml:space="preserve"> 27.9%</w:t>
      </w:r>
      <w:r w:rsidR="000D6671" w:rsidRPr="00F44B51">
        <w:rPr>
          <w:rFonts w:eastAsia="Times New Roman" w:cs="Times New Roman"/>
          <w:lang w:eastAsia="es-CO"/>
        </w:rPr>
        <w:t xml:space="preserve"> más alto</w:t>
      </w:r>
      <w:r w:rsidRPr="00F44B51">
        <w:rPr>
          <w:rFonts w:eastAsia="Times New Roman" w:cs="Times New Roman"/>
          <w:lang w:eastAsia="es-CO"/>
        </w:rPr>
        <w:t xml:space="preserve"> en el año 2010</w:t>
      </w:r>
      <w:r w:rsidR="00F44B51" w:rsidRPr="00F44B51">
        <w:rPr>
          <w:rFonts w:eastAsia="Times New Roman" w:cs="Times New Roman"/>
          <w:lang w:eastAsia="es-CO"/>
        </w:rPr>
        <w:t xml:space="preserve"> y </w:t>
      </w:r>
      <w:r w:rsidR="00112674" w:rsidRPr="00F44B51">
        <w:rPr>
          <w:rFonts w:eastAsia="Times New Roman" w:cs="Times New Roman"/>
          <w:lang w:eastAsia="es-CO"/>
        </w:rPr>
        <w:t xml:space="preserve"> 45.4%</w:t>
      </w:r>
      <w:r w:rsidR="00F44B51" w:rsidRPr="00F44B51">
        <w:rPr>
          <w:rFonts w:eastAsia="Times New Roman" w:cs="Times New Roman"/>
          <w:lang w:eastAsia="es-CO"/>
        </w:rPr>
        <w:t xml:space="preserve"> más alto</w:t>
      </w:r>
      <w:r w:rsidR="00112674" w:rsidRPr="00F44B51">
        <w:rPr>
          <w:rFonts w:eastAsia="Times New Roman" w:cs="Times New Roman"/>
          <w:lang w:eastAsia="es-CO"/>
        </w:rPr>
        <w:t xml:space="preserve"> en</w:t>
      </w:r>
      <w:r w:rsidR="000D6671" w:rsidRPr="00F44B51">
        <w:rPr>
          <w:rFonts w:eastAsia="Times New Roman" w:cs="Times New Roman"/>
          <w:lang w:eastAsia="es-CO"/>
        </w:rPr>
        <w:t xml:space="preserve"> el año 2012</w:t>
      </w:r>
      <w:r w:rsidR="00F44B51" w:rsidRPr="00F44B51">
        <w:rPr>
          <w:rFonts w:eastAsia="Times New Roman" w:cs="Times New Roman"/>
          <w:lang w:eastAsia="es-CO"/>
        </w:rPr>
        <w:t xml:space="preserve">. </w:t>
      </w:r>
      <w:r w:rsidR="00112674" w:rsidRPr="00F44B51">
        <w:rPr>
          <w:rFonts w:eastAsia="Times New Roman" w:cs="Times New Roman"/>
          <w:lang w:eastAsia="es-CO"/>
        </w:rPr>
        <w:t xml:space="preserve"> </w:t>
      </w:r>
      <w:r w:rsidR="00F44B51" w:rsidRPr="00F44B51">
        <w:rPr>
          <w:rFonts w:eastAsia="Times New Roman" w:cs="Times New Roman"/>
          <w:lang w:eastAsia="es-CO"/>
        </w:rPr>
        <w:t xml:space="preserve">Este mismo impacto pasó </w:t>
      </w:r>
      <w:r w:rsidR="00112674" w:rsidRPr="00F44B51">
        <w:rPr>
          <w:rFonts w:eastAsia="Times New Roman" w:cs="Times New Roman"/>
          <w:lang w:eastAsia="es-CO"/>
        </w:rPr>
        <w:t>de 25 a 39%</w:t>
      </w:r>
      <w:r w:rsidR="00F44B51" w:rsidRPr="00F44B51">
        <w:rPr>
          <w:rFonts w:eastAsia="Times New Roman" w:cs="Times New Roman"/>
          <w:lang w:eastAsia="es-CO"/>
        </w:rPr>
        <w:t xml:space="preserve"> en</w:t>
      </w:r>
      <w:r w:rsidR="00112674" w:rsidRPr="00F44B51">
        <w:rPr>
          <w:rFonts w:eastAsia="Times New Roman" w:cs="Times New Roman"/>
          <w:lang w:eastAsia="es-CO"/>
        </w:rPr>
        <w:t xml:space="preserve"> centros poblados menores, y de 13.9 a </w:t>
      </w:r>
      <w:r w:rsidR="00F44B51" w:rsidRPr="00F44B51">
        <w:rPr>
          <w:rFonts w:eastAsia="Times New Roman" w:cs="Times New Roman"/>
          <w:lang w:eastAsia="es-CO"/>
        </w:rPr>
        <w:t>23.6% en</w:t>
      </w:r>
      <w:r w:rsidR="00112674" w:rsidRPr="00F44B51">
        <w:rPr>
          <w:rFonts w:eastAsia="Times New Roman" w:cs="Times New Roman"/>
          <w:lang w:eastAsia="es-CO"/>
        </w:rPr>
        <w:t xml:space="preserve"> el área rural dispersa.</w:t>
      </w:r>
      <w:r w:rsidR="00F44B51" w:rsidRPr="00F44B51">
        <w:rPr>
          <w:rFonts w:eastAsia="Times New Roman" w:cs="Times New Roman"/>
          <w:lang w:eastAsia="es-CO"/>
        </w:rPr>
        <w:t xml:space="preserve"> El hecho de que los impactos tiendan a ser mayores a mayores niveles de urbanización, está mostrando que existen importantes efectos de red que son mayores a mayor concentración de la población.</w:t>
      </w:r>
    </w:p>
    <w:p w:rsidR="000D68AC" w:rsidRPr="001F0632" w:rsidRDefault="000D68AC" w:rsidP="004F1B17">
      <w:pPr>
        <w:pStyle w:val="T-Figura"/>
        <w:spacing w:after="0"/>
        <w:ind w:left="0"/>
        <w:rPr>
          <w:lang w:eastAsia="es-ES"/>
        </w:rPr>
      </w:pPr>
      <w:r w:rsidRPr="001F0632">
        <w:rPr>
          <w:lang w:eastAsia="es-ES"/>
        </w:rPr>
        <w:t>Cuadro 2.3 - Efectos de tener telefonía móvil y/o Internet en el Hogar sobre los ingresos familiares, según lugar de residencia en 2010 y 2012</w:t>
      </w:r>
    </w:p>
    <w:p w:rsidR="000D68AC" w:rsidRPr="001F0632" w:rsidRDefault="001F0632" w:rsidP="001F0632">
      <w:pPr>
        <w:pStyle w:val="T-Figura"/>
        <w:spacing w:before="0"/>
        <w:ind w:left="0"/>
        <w:rPr>
          <w:lang w:eastAsia="es-ES"/>
        </w:rPr>
      </w:pPr>
      <w:r>
        <w:rPr>
          <w:lang w:eastAsia="es-ES"/>
        </w:rPr>
        <w:t>Porcentaje</w:t>
      </w:r>
      <w:r w:rsidR="000D68AC" w:rsidRPr="001F0632">
        <w:rPr>
          <w:lang w:eastAsia="es-ES"/>
        </w:rPr>
        <w:t xml:space="preserve"> de diferencia en el ingreso familiar entr</w:t>
      </w:r>
      <w:r w:rsidR="005A4439">
        <w:rPr>
          <w:lang w:eastAsia="es-ES"/>
        </w:rPr>
        <w:t>e tener y no tener el servicio</w:t>
      </w:r>
      <w:r w:rsidR="000D68AC" w:rsidRPr="001F0632">
        <w:rPr>
          <w:lang w:eastAsia="es-ES"/>
        </w:rPr>
        <w:t>:</w:t>
      </w:r>
    </w:p>
    <w:tbl>
      <w:tblPr>
        <w:tblW w:w="8620" w:type="dxa"/>
        <w:tblInd w:w="55" w:type="dxa"/>
        <w:tblBorders>
          <w:top w:val="single" w:sz="4" w:space="0" w:color="A6A6A6"/>
          <w:bottom w:val="single" w:sz="4" w:space="0" w:color="A6A6A6"/>
          <w:insideH w:val="single" w:sz="4" w:space="0" w:color="A6A6A6"/>
        </w:tblBorders>
        <w:tblCellMar>
          <w:left w:w="70" w:type="dxa"/>
          <w:right w:w="70" w:type="dxa"/>
        </w:tblCellMar>
        <w:tblLook w:val="04A0"/>
      </w:tblPr>
      <w:tblGrid>
        <w:gridCol w:w="2709"/>
        <w:gridCol w:w="1559"/>
        <w:gridCol w:w="1134"/>
        <w:gridCol w:w="1134"/>
        <w:gridCol w:w="992"/>
        <w:gridCol w:w="1092"/>
      </w:tblGrid>
      <w:tr w:rsidR="009E36E3" w:rsidRPr="001F0632" w:rsidTr="007807EA">
        <w:trPr>
          <w:trHeight w:val="227"/>
          <w:tblHeader/>
        </w:trPr>
        <w:tc>
          <w:tcPr>
            <w:tcW w:w="2709" w:type="dxa"/>
            <w:vMerge w:val="restart"/>
            <w:shd w:val="clear" w:color="auto" w:fill="A6A6A6" w:themeFill="background1" w:themeFillShade="A6"/>
            <w:vAlign w:val="center"/>
            <w:hideMark/>
          </w:tcPr>
          <w:p w:rsidR="009E36E3" w:rsidRPr="001F0632" w:rsidRDefault="009E36E3" w:rsidP="009E36E3">
            <w:pPr>
              <w:spacing w:before="0" w:line="240" w:lineRule="auto"/>
              <w:jc w:val="center"/>
              <w:rPr>
                <w:rFonts w:ascii="Arial Narrow" w:eastAsia="Times New Roman" w:hAnsi="Arial Narrow" w:cs="Times New Roman"/>
                <w:b/>
                <w:color w:val="000000"/>
                <w:sz w:val="20"/>
                <w:szCs w:val="20"/>
                <w:lang w:val="es-CO" w:eastAsia="es-CO"/>
              </w:rPr>
            </w:pPr>
            <w:r w:rsidRPr="001F0632">
              <w:rPr>
                <w:rFonts w:ascii="Arial Narrow" w:eastAsia="Times New Roman" w:hAnsi="Arial Narrow" w:cs="Times New Roman"/>
                <w:b/>
                <w:color w:val="000000"/>
                <w:sz w:val="20"/>
                <w:szCs w:val="20"/>
                <w:lang w:val="es-CO" w:eastAsia="es-CO"/>
              </w:rPr>
              <w:t>Lugar de Residencia</w:t>
            </w:r>
          </w:p>
        </w:tc>
        <w:tc>
          <w:tcPr>
            <w:tcW w:w="1559" w:type="dxa"/>
            <w:vMerge w:val="restart"/>
            <w:shd w:val="clear" w:color="auto" w:fill="A6A6A6" w:themeFill="background1" w:themeFillShade="A6"/>
            <w:vAlign w:val="center"/>
            <w:hideMark/>
          </w:tcPr>
          <w:p w:rsidR="009E36E3" w:rsidRPr="001F0632" w:rsidRDefault="009E36E3" w:rsidP="009E36E3">
            <w:pPr>
              <w:spacing w:before="0" w:line="240" w:lineRule="auto"/>
              <w:jc w:val="center"/>
              <w:rPr>
                <w:rFonts w:ascii="Arial Narrow" w:eastAsia="Times New Roman" w:hAnsi="Arial Narrow" w:cs="Times New Roman"/>
                <w:b/>
                <w:color w:val="000000"/>
                <w:sz w:val="20"/>
                <w:szCs w:val="20"/>
                <w:lang w:val="es-CO" w:eastAsia="es-CO"/>
              </w:rPr>
            </w:pPr>
            <w:r w:rsidRPr="001F0632">
              <w:rPr>
                <w:rFonts w:ascii="Arial Narrow" w:eastAsia="Times New Roman" w:hAnsi="Arial Narrow" w:cs="Times New Roman"/>
                <w:b/>
                <w:color w:val="000000"/>
                <w:sz w:val="20"/>
                <w:szCs w:val="20"/>
                <w:lang w:val="es-CO" w:eastAsia="es-CO"/>
              </w:rPr>
              <w:t>Variable</w:t>
            </w:r>
          </w:p>
        </w:tc>
        <w:tc>
          <w:tcPr>
            <w:tcW w:w="2268" w:type="dxa"/>
            <w:gridSpan w:val="2"/>
            <w:shd w:val="clear" w:color="auto" w:fill="A6A6A6" w:themeFill="background1" w:themeFillShade="A6"/>
            <w:noWrap/>
            <w:vAlign w:val="bottom"/>
            <w:hideMark/>
          </w:tcPr>
          <w:p w:rsidR="009E36E3" w:rsidRPr="001F0632" w:rsidRDefault="009E36E3" w:rsidP="009E36E3">
            <w:pPr>
              <w:spacing w:before="0" w:line="240" w:lineRule="auto"/>
              <w:jc w:val="center"/>
              <w:rPr>
                <w:rFonts w:ascii="Arial Narrow" w:eastAsia="Times New Roman" w:hAnsi="Arial Narrow" w:cs="Times New Roman"/>
                <w:b/>
                <w:color w:val="000000"/>
                <w:sz w:val="20"/>
                <w:szCs w:val="20"/>
                <w:lang w:val="es-CO" w:eastAsia="es-CO"/>
              </w:rPr>
            </w:pPr>
            <w:r w:rsidRPr="001F0632">
              <w:rPr>
                <w:rFonts w:ascii="Arial Narrow" w:eastAsia="Times New Roman" w:hAnsi="Arial Narrow" w:cs="Times New Roman"/>
                <w:b/>
                <w:color w:val="000000"/>
                <w:sz w:val="20"/>
                <w:szCs w:val="20"/>
                <w:lang w:val="es-CO" w:eastAsia="es-CO"/>
              </w:rPr>
              <w:t>Telefonía Móvil</w:t>
            </w:r>
          </w:p>
        </w:tc>
        <w:tc>
          <w:tcPr>
            <w:tcW w:w="2084" w:type="dxa"/>
            <w:gridSpan w:val="2"/>
            <w:shd w:val="clear" w:color="auto" w:fill="A6A6A6" w:themeFill="background1" w:themeFillShade="A6"/>
            <w:vAlign w:val="bottom"/>
            <w:hideMark/>
          </w:tcPr>
          <w:p w:rsidR="009E36E3" w:rsidRPr="001F0632" w:rsidRDefault="009E36E3" w:rsidP="009E36E3">
            <w:pPr>
              <w:spacing w:before="0" w:line="240" w:lineRule="auto"/>
              <w:jc w:val="center"/>
              <w:rPr>
                <w:rFonts w:ascii="Arial Narrow" w:eastAsia="Times New Roman" w:hAnsi="Arial Narrow" w:cs="Times New Roman"/>
                <w:b/>
                <w:color w:val="000000"/>
                <w:sz w:val="20"/>
                <w:szCs w:val="20"/>
                <w:lang w:val="es-CO" w:eastAsia="es-CO"/>
              </w:rPr>
            </w:pPr>
            <w:r w:rsidRPr="001F0632">
              <w:rPr>
                <w:rFonts w:ascii="Arial Narrow" w:eastAsia="Times New Roman" w:hAnsi="Arial Narrow" w:cs="Times New Roman"/>
                <w:b/>
                <w:color w:val="000000"/>
                <w:sz w:val="20"/>
                <w:szCs w:val="20"/>
                <w:lang w:val="es-CO" w:eastAsia="es-CO"/>
              </w:rPr>
              <w:t>Internet</w:t>
            </w:r>
          </w:p>
        </w:tc>
      </w:tr>
      <w:tr w:rsidR="009E36E3" w:rsidRPr="001F0632" w:rsidTr="007807EA">
        <w:trPr>
          <w:trHeight w:val="227"/>
          <w:tblHeader/>
        </w:trPr>
        <w:tc>
          <w:tcPr>
            <w:tcW w:w="2709" w:type="dxa"/>
            <w:vMerge/>
            <w:shd w:val="clear" w:color="auto" w:fill="A6A6A6" w:themeFill="background1" w:themeFillShade="A6"/>
            <w:vAlign w:val="center"/>
            <w:hideMark/>
          </w:tcPr>
          <w:p w:rsidR="009E36E3" w:rsidRPr="001F0632" w:rsidRDefault="009E36E3" w:rsidP="009E36E3">
            <w:pPr>
              <w:spacing w:before="0" w:line="240" w:lineRule="auto"/>
              <w:jc w:val="left"/>
              <w:rPr>
                <w:rFonts w:ascii="Arial Narrow" w:eastAsia="Times New Roman" w:hAnsi="Arial Narrow" w:cs="Times New Roman"/>
                <w:b/>
                <w:color w:val="000000"/>
                <w:sz w:val="20"/>
                <w:szCs w:val="20"/>
                <w:lang w:val="es-CO" w:eastAsia="es-CO"/>
              </w:rPr>
            </w:pPr>
          </w:p>
        </w:tc>
        <w:tc>
          <w:tcPr>
            <w:tcW w:w="1559" w:type="dxa"/>
            <w:vMerge/>
            <w:shd w:val="clear" w:color="auto" w:fill="A6A6A6" w:themeFill="background1" w:themeFillShade="A6"/>
            <w:vAlign w:val="center"/>
            <w:hideMark/>
          </w:tcPr>
          <w:p w:rsidR="009E36E3" w:rsidRPr="001F0632" w:rsidRDefault="009E36E3" w:rsidP="009E36E3">
            <w:pPr>
              <w:spacing w:before="0" w:line="240" w:lineRule="auto"/>
              <w:jc w:val="left"/>
              <w:rPr>
                <w:rFonts w:ascii="Arial Narrow" w:eastAsia="Times New Roman" w:hAnsi="Arial Narrow" w:cs="Times New Roman"/>
                <w:b/>
                <w:color w:val="000000"/>
                <w:sz w:val="20"/>
                <w:szCs w:val="20"/>
                <w:lang w:val="es-CO" w:eastAsia="es-CO"/>
              </w:rPr>
            </w:pPr>
          </w:p>
        </w:tc>
        <w:tc>
          <w:tcPr>
            <w:tcW w:w="1134" w:type="dxa"/>
            <w:shd w:val="clear" w:color="auto" w:fill="A6A6A6" w:themeFill="background1" w:themeFillShade="A6"/>
            <w:noWrap/>
            <w:vAlign w:val="bottom"/>
            <w:hideMark/>
          </w:tcPr>
          <w:p w:rsidR="009E36E3" w:rsidRPr="001F0632" w:rsidRDefault="009E36E3" w:rsidP="009E36E3">
            <w:pPr>
              <w:spacing w:before="0" w:line="240" w:lineRule="auto"/>
              <w:jc w:val="center"/>
              <w:rPr>
                <w:rFonts w:ascii="Arial Narrow" w:eastAsia="Times New Roman" w:hAnsi="Arial Narrow" w:cs="Times New Roman"/>
                <w:b/>
                <w:color w:val="000000"/>
                <w:sz w:val="20"/>
                <w:szCs w:val="20"/>
                <w:lang w:val="es-CO" w:eastAsia="es-CO"/>
              </w:rPr>
            </w:pPr>
            <w:r w:rsidRPr="001F0632">
              <w:rPr>
                <w:rFonts w:ascii="Arial Narrow" w:eastAsia="Times New Roman" w:hAnsi="Arial Narrow" w:cs="Times New Roman"/>
                <w:b/>
                <w:color w:val="000000"/>
                <w:sz w:val="20"/>
                <w:szCs w:val="20"/>
                <w:lang w:val="es-CO" w:eastAsia="es-CO"/>
              </w:rPr>
              <w:t>2010</w:t>
            </w:r>
          </w:p>
        </w:tc>
        <w:tc>
          <w:tcPr>
            <w:tcW w:w="1134" w:type="dxa"/>
            <w:shd w:val="clear" w:color="auto" w:fill="A6A6A6" w:themeFill="background1" w:themeFillShade="A6"/>
            <w:noWrap/>
            <w:vAlign w:val="bottom"/>
            <w:hideMark/>
          </w:tcPr>
          <w:p w:rsidR="009E36E3" w:rsidRPr="001F0632" w:rsidRDefault="009E36E3" w:rsidP="009E36E3">
            <w:pPr>
              <w:spacing w:before="0" w:line="240" w:lineRule="auto"/>
              <w:jc w:val="center"/>
              <w:rPr>
                <w:rFonts w:ascii="Arial Narrow" w:eastAsia="Times New Roman" w:hAnsi="Arial Narrow" w:cs="Times New Roman"/>
                <w:b/>
                <w:color w:val="000000"/>
                <w:sz w:val="20"/>
                <w:szCs w:val="20"/>
                <w:lang w:val="es-CO" w:eastAsia="es-CO"/>
              </w:rPr>
            </w:pPr>
            <w:r w:rsidRPr="001F0632">
              <w:rPr>
                <w:rFonts w:ascii="Arial Narrow" w:eastAsia="Times New Roman" w:hAnsi="Arial Narrow" w:cs="Times New Roman"/>
                <w:b/>
                <w:color w:val="000000"/>
                <w:sz w:val="20"/>
                <w:szCs w:val="20"/>
                <w:lang w:val="es-CO" w:eastAsia="es-CO"/>
              </w:rPr>
              <w:t>2012</w:t>
            </w:r>
          </w:p>
        </w:tc>
        <w:tc>
          <w:tcPr>
            <w:tcW w:w="992" w:type="dxa"/>
            <w:shd w:val="clear" w:color="auto" w:fill="A6A6A6" w:themeFill="background1" w:themeFillShade="A6"/>
            <w:noWrap/>
            <w:vAlign w:val="bottom"/>
            <w:hideMark/>
          </w:tcPr>
          <w:p w:rsidR="009E36E3" w:rsidRPr="001F0632" w:rsidRDefault="009E36E3" w:rsidP="009E36E3">
            <w:pPr>
              <w:spacing w:before="0" w:line="240" w:lineRule="auto"/>
              <w:jc w:val="center"/>
              <w:rPr>
                <w:rFonts w:ascii="Arial Narrow" w:eastAsia="Times New Roman" w:hAnsi="Arial Narrow" w:cs="Times New Roman"/>
                <w:b/>
                <w:color w:val="000000"/>
                <w:sz w:val="20"/>
                <w:szCs w:val="20"/>
                <w:lang w:val="es-CO" w:eastAsia="es-CO"/>
              </w:rPr>
            </w:pPr>
            <w:r w:rsidRPr="001F0632">
              <w:rPr>
                <w:rFonts w:ascii="Arial Narrow" w:eastAsia="Times New Roman" w:hAnsi="Arial Narrow" w:cs="Times New Roman"/>
                <w:b/>
                <w:color w:val="000000"/>
                <w:sz w:val="20"/>
                <w:szCs w:val="20"/>
                <w:lang w:val="es-CO" w:eastAsia="es-CO"/>
              </w:rPr>
              <w:t>2010</w:t>
            </w:r>
          </w:p>
        </w:tc>
        <w:tc>
          <w:tcPr>
            <w:tcW w:w="1092" w:type="dxa"/>
            <w:shd w:val="clear" w:color="auto" w:fill="A6A6A6" w:themeFill="background1" w:themeFillShade="A6"/>
            <w:noWrap/>
            <w:vAlign w:val="bottom"/>
            <w:hideMark/>
          </w:tcPr>
          <w:p w:rsidR="009E36E3" w:rsidRPr="001F0632" w:rsidRDefault="009E36E3" w:rsidP="009E36E3">
            <w:pPr>
              <w:spacing w:before="0" w:line="240" w:lineRule="auto"/>
              <w:jc w:val="center"/>
              <w:rPr>
                <w:rFonts w:ascii="Arial Narrow" w:eastAsia="Times New Roman" w:hAnsi="Arial Narrow" w:cs="Times New Roman"/>
                <w:b/>
                <w:color w:val="000000"/>
                <w:sz w:val="20"/>
                <w:szCs w:val="20"/>
                <w:lang w:val="es-CO" w:eastAsia="es-CO"/>
              </w:rPr>
            </w:pPr>
            <w:r w:rsidRPr="001F0632">
              <w:rPr>
                <w:rFonts w:ascii="Arial Narrow" w:eastAsia="Times New Roman" w:hAnsi="Arial Narrow" w:cs="Times New Roman"/>
                <w:b/>
                <w:color w:val="000000"/>
                <w:sz w:val="20"/>
                <w:szCs w:val="20"/>
                <w:lang w:val="es-CO" w:eastAsia="es-CO"/>
              </w:rPr>
              <w:t>2012</w:t>
            </w:r>
          </w:p>
        </w:tc>
      </w:tr>
      <w:tr w:rsidR="009E36E3" w:rsidRPr="001F0632" w:rsidTr="007807EA">
        <w:trPr>
          <w:trHeight w:val="255"/>
        </w:trPr>
        <w:tc>
          <w:tcPr>
            <w:tcW w:w="270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p>
        </w:tc>
        <w:tc>
          <w:tcPr>
            <w:tcW w:w="155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Coeficiente (%)</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27.86</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45.41</w:t>
            </w:r>
          </w:p>
        </w:tc>
        <w:tc>
          <w:tcPr>
            <w:tcW w:w="9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47.72</w:t>
            </w:r>
          </w:p>
        </w:tc>
        <w:tc>
          <w:tcPr>
            <w:tcW w:w="10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44.51</w:t>
            </w:r>
          </w:p>
        </w:tc>
      </w:tr>
      <w:tr w:rsidR="009E36E3" w:rsidRPr="001F0632" w:rsidTr="007807EA">
        <w:trPr>
          <w:trHeight w:val="255"/>
        </w:trPr>
        <w:tc>
          <w:tcPr>
            <w:tcW w:w="270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Cabeceras Municipales</w:t>
            </w:r>
          </w:p>
        </w:tc>
        <w:tc>
          <w:tcPr>
            <w:tcW w:w="155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w:t>
            </w:r>
            <w:proofErr w:type="spellStart"/>
            <w:r w:rsidRPr="001F0632">
              <w:rPr>
                <w:rFonts w:ascii="Arial Narrow" w:eastAsia="Times New Roman" w:hAnsi="Arial Narrow" w:cs="Times New Roman"/>
                <w:color w:val="000000"/>
                <w:sz w:val="20"/>
                <w:szCs w:val="20"/>
                <w:lang w:val="es-CO" w:eastAsia="es-CO"/>
              </w:rPr>
              <w:t>Std.</w:t>
            </w:r>
            <w:proofErr w:type="spellEnd"/>
            <w:r w:rsidRPr="001F0632">
              <w:rPr>
                <w:rFonts w:ascii="Arial Narrow" w:eastAsia="Times New Roman" w:hAnsi="Arial Narrow" w:cs="Times New Roman"/>
                <w:color w:val="000000"/>
                <w:sz w:val="20"/>
                <w:szCs w:val="20"/>
                <w:lang w:val="es-CO" w:eastAsia="es-CO"/>
              </w:rPr>
              <w:t xml:space="preserve"> Error)</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3.35</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4.34</w:t>
            </w:r>
          </w:p>
        </w:tc>
        <w:tc>
          <w:tcPr>
            <w:tcW w:w="9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2.3</w:t>
            </w:r>
          </w:p>
        </w:tc>
        <w:tc>
          <w:tcPr>
            <w:tcW w:w="10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1.67</w:t>
            </w:r>
          </w:p>
        </w:tc>
      </w:tr>
      <w:tr w:rsidR="009E36E3" w:rsidRPr="001F0632" w:rsidTr="007807EA">
        <w:trPr>
          <w:trHeight w:val="255"/>
        </w:trPr>
        <w:tc>
          <w:tcPr>
            <w:tcW w:w="270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 </w:t>
            </w:r>
          </w:p>
        </w:tc>
        <w:tc>
          <w:tcPr>
            <w:tcW w:w="155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(t-</w:t>
            </w:r>
            <w:proofErr w:type="spellStart"/>
            <w:r w:rsidRPr="001F0632">
              <w:rPr>
                <w:rFonts w:ascii="Arial Narrow" w:eastAsia="Times New Roman" w:hAnsi="Arial Narrow" w:cs="Times New Roman"/>
                <w:color w:val="000000"/>
                <w:sz w:val="20"/>
                <w:szCs w:val="20"/>
                <w:lang w:val="es-CO" w:eastAsia="es-CO"/>
              </w:rPr>
              <w:t>value</w:t>
            </w:r>
            <w:proofErr w:type="spellEnd"/>
            <w:r w:rsidRPr="001F0632">
              <w:rPr>
                <w:rFonts w:ascii="Arial Narrow" w:eastAsia="Times New Roman" w:hAnsi="Arial Narrow" w:cs="Times New Roman"/>
                <w:color w:val="000000"/>
                <w:sz w:val="20"/>
                <w:szCs w:val="20"/>
                <w:lang w:val="es-CO" w:eastAsia="es-CO"/>
              </w:rPr>
              <w:t>)</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8.32</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10.47</w:t>
            </w:r>
          </w:p>
        </w:tc>
        <w:tc>
          <w:tcPr>
            <w:tcW w:w="9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20.78</w:t>
            </w:r>
          </w:p>
        </w:tc>
        <w:tc>
          <w:tcPr>
            <w:tcW w:w="10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26.64</w:t>
            </w:r>
          </w:p>
        </w:tc>
      </w:tr>
      <w:tr w:rsidR="009E36E3" w:rsidRPr="001F0632" w:rsidTr="007807EA">
        <w:trPr>
          <w:trHeight w:val="255"/>
        </w:trPr>
        <w:tc>
          <w:tcPr>
            <w:tcW w:w="270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p>
        </w:tc>
        <w:tc>
          <w:tcPr>
            <w:tcW w:w="155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Coeficiente (%)</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25.04</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39.08</w:t>
            </w:r>
          </w:p>
        </w:tc>
        <w:tc>
          <w:tcPr>
            <w:tcW w:w="9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38.06</w:t>
            </w:r>
          </w:p>
        </w:tc>
        <w:tc>
          <w:tcPr>
            <w:tcW w:w="10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37.84</w:t>
            </w:r>
          </w:p>
        </w:tc>
      </w:tr>
      <w:tr w:rsidR="009E36E3" w:rsidRPr="001F0632" w:rsidTr="007807EA">
        <w:trPr>
          <w:trHeight w:val="255"/>
        </w:trPr>
        <w:tc>
          <w:tcPr>
            <w:tcW w:w="270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Centros Poblados menores</w:t>
            </w:r>
          </w:p>
        </w:tc>
        <w:tc>
          <w:tcPr>
            <w:tcW w:w="155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w:t>
            </w:r>
            <w:proofErr w:type="spellStart"/>
            <w:r w:rsidRPr="001F0632">
              <w:rPr>
                <w:rFonts w:ascii="Arial Narrow" w:eastAsia="Times New Roman" w:hAnsi="Arial Narrow" w:cs="Times New Roman"/>
                <w:color w:val="000000"/>
                <w:sz w:val="20"/>
                <w:szCs w:val="20"/>
                <w:lang w:val="es-CO" w:eastAsia="es-CO"/>
              </w:rPr>
              <w:t>Std.</w:t>
            </w:r>
            <w:proofErr w:type="spellEnd"/>
            <w:r w:rsidRPr="001F0632">
              <w:rPr>
                <w:rFonts w:ascii="Arial Narrow" w:eastAsia="Times New Roman" w:hAnsi="Arial Narrow" w:cs="Times New Roman"/>
                <w:color w:val="000000"/>
                <w:sz w:val="20"/>
                <w:szCs w:val="20"/>
                <w:lang w:val="es-CO" w:eastAsia="es-CO"/>
              </w:rPr>
              <w:t xml:space="preserve"> Error)</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4.61</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5.02</w:t>
            </w:r>
          </w:p>
        </w:tc>
        <w:tc>
          <w:tcPr>
            <w:tcW w:w="9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8.69</w:t>
            </w:r>
          </w:p>
        </w:tc>
        <w:tc>
          <w:tcPr>
            <w:tcW w:w="10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4.79</w:t>
            </w:r>
          </w:p>
        </w:tc>
      </w:tr>
      <w:tr w:rsidR="009E36E3" w:rsidRPr="001F0632" w:rsidTr="007807EA">
        <w:trPr>
          <w:trHeight w:val="255"/>
        </w:trPr>
        <w:tc>
          <w:tcPr>
            <w:tcW w:w="270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 </w:t>
            </w:r>
          </w:p>
        </w:tc>
        <w:tc>
          <w:tcPr>
            <w:tcW w:w="155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(t-</w:t>
            </w:r>
            <w:proofErr w:type="spellStart"/>
            <w:r w:rsidRPr="001F0632">
              <w:rPr>
                <w:rFonts w:ascii="Arial Narrow" w:eastAsia="Times New Roman" w:hAnsi="Arial Narrow" w:cs="Times New Roman"/>
                <w:color w:val="000000"/>
                <w:sz w:val="20"/>
                <w:szCs w:val="20"/>
                <w:lang w:val="es-CO" w:eastAsia="es-CO"/>
              </w:rPr>
              <w:t>value</w:t>
            </w:r>
            <w:proofErr w:type="spellEnd"/>
            <w:r w:rsidRPr="001F0632">
              <w:rPr>
                <w:rFonts w:ascii="Arial Narrow" w:eastAsia="Times New Roman" w:hAnsi="Arial Narrow" w:cs="Times New Roman"/>
                <w:color w:val="000000"/>
                <w:sz w:val="20"/>
                <w:szCs w:val="20"/>
                <w:lang w:val="es-CO" w:eastAsia="es-CO"/>
              </w:rPr>
              <w:t>)</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5.43</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7.78</w:t>
            </w:r>
          </w:p>
        </w:tc>
        <w:tc>
          <w:tcPr>
            <w:tcW w:w="9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4.38</w:t>
            </w:r>
          </w:p>
        </w:tc>
        <w:tc>
          <w:tcPr>
            <w:tcW w:w="10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7.9</w:t>
            </w:r>
          </w:p>
        </w:tc>
      </w:tr>
      <w:tr w:rsidR="009E36E3" w:rsidRPr="001F0632" w:rsidTr="007807EA">
        <w:trPr>
          <w:trHeight w:val="255"/>
        </w:trPr>
        <w:tc>
          <w:tcPr>
            <w:tcW w:w="270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p>
        </w:tc>
        <w:tc>
          <w:tcPr>
            <w:tcW w:w="155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Coeficiente (%)</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13.87</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23.57</w:t>
            </w:r>
          </w:p>
        </w:tc>
        <w:tc>
          <w:tcPr>
            <w:tcW w:w="9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61.71</w:t>
            </w:r>
          </w:p>
        </w:tc>
        <w:tc>
          <w:tcPr>
            <w:tcW w:w="10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50.14</w:t>
            </w:r>
          </w:p>
        </w:tc>
      </w:tr>
      <w:tr w:rsidR="009E36E3" w:rsidRPr="001F0632" w:rsidTr="007807EA">
        <w:trPr>
          <w:trHeight w:val="255"/>
        </w:trPr>
        <w:tc>
          <w:tcPr>
            <w:tcW w:w="270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Área Rural dispersa</w:t>
            </w:r>
          </w:p>
        </w:tc>
        <w:tc>
          <w:tcPr>
            <w:tcW w:w="155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w:t>
            </w:r>
            <w:proofErr w:type="spellStart"/>
            <w:r w:rsidRPr="001F0632">
              <w:rPr>
                <w:rFonts w:ascii="Arial Narrow" w:eastAsia="Times New Roman" w:hAnsi="Arial Narrow" w:cs="Times New Roman"/>
                <w:color w:val="000000"/>
                <w:sz w:val="20"/>
                <w:szCs w:val="20"/>
                <w:lang w:val="es-CO" w:eastAsia="es-CO"/>
              </w:rPr>
              <w:t>Std.</w:t>
            </w:r>
            <w:proofErr w:type="spellEnd"/>
            <w:r w:rsidRPr="001F0632">
              <w:rPr>
                <w:rFonts w:ascii="Arial Narrow" w:eastAsia="Times New Roman" w:hAnsi="Arial Narrow" w:cs="Times New Roman"/>
                <w:color w:val="000000"/>
                <w:sz w:val="20"/>
                <w:szCs w:val="20"/>
                <w:lang w:val="es-CO" w:eastAsia="es-CO"/>
              </w:rPr>
              <w:t xml:space="preserve"> Error)</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3.18</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3.65</w:t>
            </w:r>
          </w:p>
        </w:tc>
        <w:tc>
          <w:tcPr>
            <w:tcW w:w="9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11.23</w:t>
            </w:r>
          </w:p>
        </w:tc>
        <w:tc>
          <w:tcPr>
            <w:tcW w:w="10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5.37</w:t>
            </w:r>
          </w:p>
        </w:tc>
      </w:tr>
      <w:tr w:rsidR="009E36E3" w:rsidRPr="001F0632" w:rsidTr="007807EA">
        <w:trPr>
          <w:trHeight w:val="255"/>
        </w:trPr>
        <w:tc>
          <w:tcPr>
            <w:tcW w:w="270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 </w:t>
            </w:r>
          </w:p>
        </w:tc>
        <w:tc>
          <w:tcPr>
            <w:tcW w:w="1559" w:type="dxa"/>
            <w:shd w:val="clear" w:color="auto" w:fill="auto"/>
            <w:noWrap/>
            <w:vAlign w:val="center"/>
            <w:hideMark/>
          </w:tcPr>
          <w:p w:rsidR="009E36E3" w:rsidRPr="001F0632" w:rsidRDefault="009E36E3" w:rsidP="007807EA">
            <w:pPr>
              <w:spacing w:before="0" w:line="240" w:lineRule="auto"/>
              <w:jc w:val="left"/>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(t-</w:t>
            </w:r>
            <w:proofErr w:type="spellStart"/>
            <w:r w:rsidRPr="001F0632">
              <w:rPr>
                <w:rFonts w:ascii="Arial Narrow" w:eastAsia="Times New Roman" w:hAnsi="Arial Narrow" w:cs="Times New Roman"/>
                <w:color w:val="000000"/>
                <w:sz w:val="20"/>
                <w:szCs w:val="20"/>
                <w:lang w:val="es-CO" w:eastAsia="es-CO"/>
              </w:rPr>
              <w:t>value</w:t>
            </w:r>
            <w:proofErr w:type="spellEnd"/>
            <w:r w:rsidRPr="001F0632">
              <w:rPr>
                <w:rFonts w:ascii="Arial Narrow" w:eastAsia="Times New Roman" w:hAnsi="Arial Narrow" w:cs="Times New Roman"/>
                <w:color w:val="000000"/>
                <w:sz w:val="20"/>
                <w:szCs w:val="20"/>
                <w:lang w:val="es-CO" w:eastAsia="es-CO"/>
              </w:rPr>
              <w:t>)</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4.36</w:t>
            </w:r>
          </w:p>
        </w:tc>
        <w:tc>
          <w:tcPr>
            <w:tcW w:w="1134"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6.46</w:t>
            </w:r>
          </w:p>
        </w:tc>
        <w:tc>
          <w:tcPr>
            <w:tcW w:w="9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5.5</w:t>
            </w:r>
          </w:p>
        </w:tc>
        <w:tc>
          <w:tcPr>
            <w:tcW w:w="1092" w:type="dxa"/>
            <w:shd w:val="clear" w:color="auto" w:fill="auto"/>
            <w:noWrap/>
            <w:vAlign w:val="center"/>
            <w:hideMark/>
          </w:tcPr>
          <w:p w:rsidR="009E36E3" w:rsidRPr="001F0632" w:rsidRDefault="009E36E3" w:rsidP="007807EA">
            <w:pPr>
              <w:spacing w:before="0" w:line="240" w:lineRule="auto"/>
              <w:jc w:val="center"/>
              <w:rPr>
                <w:rFonts w:ascii="Arial Narrow" w:eastAsia="Times New Roman" w:hAnsi="Arial Narrow" w:cs="Times New Roman"/>
                <w:color w:val="000000"/>
                <w:sz w:val="20"/>
                <w:szCs w:val="20"/>
                <w:lang w:val="es-CO" w:eastAsia="es-CO"/>
              </w:rPr>
            </w:pPr>
            <w:r w:rsidRPr="001F0632">
              <w:rPr>
                <w:rFonts w:ascii="Arial Narrow" w:eastAsia="Times New Roman" w:hAnsi="Arial Narrow" w:cs="Times New Roman"/>
                <w:color w:val="000000"/>
                <w:sz w:val="20"/>
                <w:szCs w:val="20"/>
                <w:lang w:val="es-CO" w:eastAsia="es-CO"/>
              </w:rPr>
              <w:t>9.34</w:t>
            </w:r>
          </w:p>
        </w:tc>
      </w:tr>
    </w:tbl>
    <w:p w:rsidR="00D349CB" w:rsidRPr="00D72C10" w:rsidRDefault="00D349CB" w:rsidP="00D349CB">
      <w:pPr>
        <w:jc w:val="center"/>
        <w:rPr>
          <w:rFonts w:ascii="Century Gothic" w:hAnsi="Century Gothic"/>
          <w:color w:val="595959" w:themeColor="text1" w:themeTint="A6"/>
          <w:sz w:val="20"/>
          <w:szCs w:val="18"/>
          <w:lang w:val="es-CO" w:eastAsia="es-ES"/>
        </w:rPr>
      </w:pPr>
      <w:r w:rsidRPr="00D72C10">
        <w:rPr>
          <w:rFonts w:ascii="Century Gothic" w:hAnsi="Century Gothic"/>
          <w:color w:val="595959" w:themeColor="text1" w:themeTint="A6"/>
          <w:sz w:val="20"/>
          <w:szCs w:val="18"/>
          <w:lang w:val="es-CO" w:eastAsia="es-ES"/>
        </w:rPr>
        <w:t xml:space="preserve">Fuente: ECV -DANE por lugar de residencia en 2010 y 2012, excluyendo los hogares con menos de $200.000 mensuales de ingreso familiar. </w:t>
      </w:r>
    </w:p>
    <w:p w:rsidR="009E36E3" w:rsidRPr="00D72C10" w:rsidRDefault="00D349CB" w:rsidP="00D349CB">
      <w:pPr>
        <w:spacing w:before="0"/>
        <w:jc w:val="center"/>
        <w:rPr>
          <w:sz w:val="28"/>
          <w:lang w:val="es-CO"/>
        </w:rPr>
      </w:pPr>
      <w:r w:rsidRPr="00D72C10">
        <w:rPr>
          <w:rFonts w:ascii="Century Gothic" w:hAnsi="Century Gothic"/>
          <w:color w:val="595959" w:themeColor="text1" w:themeTint="A6"/>
          <w:sz w:val="20"/>
          <w:szCs w:val="18"/>
          <w:lang w:val="es-CO" w:eastAsia="es-ES"/>
        </w:rPr>
        <w:lastRenderedPageBreak/>
        <w:t>Nota: Todos los coeficientes de diferencias 2010-2012 son estadísticamente significativos con 99% de certeza, de acuerdo con el estadístico t.</w:t>
      </w:r>
    </w:p>
    <w:p w:rsidR="00FB2A66" w:rsidRDefault="00FB2A66" w:rsidP="007807EA">
      <w:pPr>
        <w:rPr>
          <w:rFonts w:eastAsia="Times New Roman" w:cs="Times New Roman"/>
          <w:lang w:eastAsia="es-CO"/>
        </w:rPr>
      </w:pPr>
      <w:r>
        <w:rPr>
          <w:rFonts w:eastAsia="Times New Roman" w:cs="Times New Roman"/>
          <w:lang w:val="es-CO" w:eastAsia="es-CO"/>
        </w:rPr>
        <w:t>E</w:t>
      </w:r>
      <w:r>
        <w:rPr>
          <w:rFonts w:eastAsia="Times New Roman" w:cs="Times New Roman"/>
          <w:lang w:eastAsia="es-CO"/>
        </w:rPr>
        <w:t>l impacto del Internet sobre los ingresos familiares en los seis dominios considerados  presenta patrones similares a los de la Telefonía Móvil, aunque muestra diferencias específicas notorias.</w:t>
      </w:r>
    </w:p>
    <w:p w:rsidR="00796B6A" w:rsidRPr="009F1AB8" w:rsidRDefault="00FB2A66" w:rsidP="007807EA">
      <w:pPr>
        <w:rPr>
          <w:rFonts w:eastAsia="Times New Roman" w:cs="Times New Roman"/>
          <w:lang w:eastAsia="es-CO"/>
        </w:rPr>
      </w:pPr>
      <w:r>
        <w:rPr>
          <w:rFonts w:eastAsia="Times New Roman" w:cs="Times New Roman"/>
          <w:lang w:eastAsia="es-CO"/>
        </w:rPr>
        <w:t xml:space="preserve">Por un lado, </w:t>
      </w:r>
      <w:r w:rsidR="00B5627D">
        <w:rPr>
          <w:rFonts w:eastAsia="Times New Roman" w:cs="Times New Roman"/>
          <w:lang w:eastAsia="es-CO"/>
        </w:rPr>
        <w:t xml:space="preserve">en el año 2010 </w:t>
      </w:r>
      <w:r>
        <w:rPr>
          <w:rFonts w:eastAsia="Times New Roman" w:cs="Times New Roman"/>
          <w:lang w:eastAsia="es-CO"/>
        </w:rPr>
        <w:t>los impactos del Internet sobre los ingresos familiares</w:t>
      </w:r>
      <w:r w:rsidR="00B5627D">
        <w:rPr>
          <w:rFonts w:eastAsia="Times New Roman" w:cs="Times New Roman"/>
          <w:lang w:eastAsia="es-CO"/>
        </w:rPr>
        <w:t xml:space="preserve"> </w:t>
      </w:r>
      <w:r>
        <w:rPr>
          <w:rFonts w:eastAsia="Times New Roman" w:cs="Times New Roman"/>
          <w:lang w:eastAsia="es-CO"/>
        </w:rPr>
        <w:t>tendieron a ser significativamente mayores que los de la Telefonía Móvil en los tres dominios territoriales considerados: 47.7% vs. 27.8% en cabeceras municipales, 38% vs. 25% en centros poblados menores y 61.7% vs. 13.9% en el área rural dispersa. Especialmente notoria es la diferencia en el área rural dispersa</w:t>
      </w:r>
      <w:r w:rsidR="00B5627D">
        <w:rPr>
          <w:rFonts w:eastAsia="Times New Roman" w:cs="Times New Roman"/>
          <w:lang w:eastAsia="es-CO"/>
        </w:rPr>
        <w:t>. En el año 2012, sin embargo, estos efectos se revierten y el impacto de la Telefonía Móvil sobre los ingresos familiares tiende a ser ligeramente mayor que el impacto de Internet en cabeceras municipales y en centros poblados menores</w:t>
      </w:r>
      <w:r w:rsidR="00E72F7C">
        <w:rPr>
          <w:rFonts w:eastAsia="Times New Roman" w:cs="Times New Roman"/>
          <w:lang w:eastAsia="es-CO"/>
        </w:rPr>
        <w:t>, mientras</w:t>
      </w:r>
      <w:r w:rsidR="00B5627D">
        <w:rPr>
          <w:rFonts w:eastAsia="Times New Roman" w:cs="Times New Roman"/>
          <w:lang w:eastAsia="es-CO"/>
        </w:rPr>
        <w:t xml:space="preserve"> el Internet confirma su primacía sobre la Telefonía M</w:t>
      </w:r>
      <w:r w:rsidR="00E72F7C">
        <w:rPr>
          <w:rFonts w:eastAsia="Times New Roman" w:cs="Times New Roman"/>
          <w:lang w:eastAsia="es-CO"/>
        </w:rPr>
        <w:t>óvil en e</w:t>
      </w:r>
      <w:r w:rsidR="00B5627D">
        <w:rPr>
          <w:rFonts w:eastAsia="Times New Roman" w:cs="Times New Roman"/>
          <w:lang w:eastAsia="es-CO"/>
        </w:rPr>
        <w:t xml:space="preserve">l </w:t>
      </w:r>
      <w:r w:rsidR="00E72F7C">
        <w:rPr>
          <w:rFonts w:eastAsia="Times New Roman" w:cs="Times New Roman"/>
          <w:lang w:eastAsia="es-CO"/>
        </w:rPr>
        <w:t>área rural dispersa, aunque su impacto decrece marginalmente con respecto al observado en el año 2010.</w:t>
      </w:r>
      <w:r w:rsidR="009F1AB8">
        <w:rPr>
          <w:rFonts w:eastAsia="Times New Roman" w:cs="Times New Roman"/>
          <w:lang w:eastAsia="es-CO"/>
        </w:rPr>
        <w:t xml:space="preserve"> La reversión de los efectos de tener Internet en el hogar sobre los ingresos familiares en el año 2012, dos años después de iniciado el </w:t>
      </w:r>
      <w:r w:rsidR="00916B5F">
        <w:rPr>
          <w:rFonts w:eastAsia="Times New Roman" w:cs="Times New Roman"/>
          <w:lang w:eastAsia="es-CO"/>
        </w:rPr>
        <w:t>Plan</w:t>
      </w:r>
      <w:r w:rsidR="009F1AB8">
        <w:rPr>
          <w:rFonts w:eastAsia="Times New Roman" w:cs="Times New Roman"/>
          <w:lang w:eastAsia="es-CO"/>
        </w:rPr>
        <w:t xml:space="preserve"> Vive Digital, puede estar asociado con la creciente presencia de substitutos como los café internet privados y los telecentros urbanos y kioscos digitales rurales, promovidos por el </w:t>
      </w:r>
      <w:r w:rsidR="00916B5F">
        <w:rPr>
          <w:rFonts w:eastAsia="Times New Roman" w:cs="Times New Roman"/>
          <w:lang w:eastAsia="es-CO"/>
        </w:rPr>
        <w:t>Plan</w:t>
      </w:r>
      <w:r w:rsidR="000D7612">
        <w:rPr>
          <w:rFonts w:eastAsia="Times New Roman" w:cs="Times New Roman"/>
          <w:lang w:eastAsia="es-CO"/>
        </w:rPr>
        <w:t>, que desincentivan la tenencia de Internet (y de computador) el hogar.</w:t>
      </w:r>
      <w:r w:rsidR="00B5627D">
        <w:rPr>
          <w:rFonts w:eastAsia="Times New Roman" w:cs="Times New Roman"/>
          <w:lang w:eastAsia="es-CO"/>
        </w:rPr>
        <w:t xml:space="preserve"> </w:t>
      </w:r>
    </w:p>
    <w:p w:rsidR="00465411" w:rsidRPr="00465411" w:rsidRDefault="00E216DC" w:rsidP="00465411">
      <w:pPr>
        <w:pStyle w:val="Ttulo2"/>
        <w:numPr>
          <w:ilvl w:val="0"/>
          <w:numId w:val="0"/>
        </w:numPr>
        <w:spacing w:after="0"/>
        <w:ind w:left="578" w:hanging="578"/>
      </w:pPr>
      <w:bookmarkStart w:id="99" w:name="_Toc405992296"/>
      <w:r w:rsidRPr="00AC1E04">
        <w:t>2.3</w:t>
      </w:r>
      <w:r w:rsidRPr="00AC1E04">
        <w:tab/>
        <w:t xml:space="preserve">Generación de empleo y </w:t>
      </w:r>
      <w:r w:rsidR="009708AA" w:rsidRPr="00AC1E04">
        <w:t>las</w:t>
      </w:r>
      <w:r w:rsidRPr="00AC1E04">
        <w:t xml:space="preserve"> TIC</w:t>
      </w:r>
      <w:r w:rsidR="00465411">
        <w:t xml:space="preserve">: </w:t>
      </w:r>
      <w:r w:rsidR="00465411">
        <w:rPr>
          <w:sz w:val="28"/>
          <w:szCs w:val="28"/>
        </w:rPr>
        <w:t>Impacto macroeconómico de la expansión del sector de telecomunicaciones</w:t>
      </w:r>
      <w:bookmarkEnd w:id="99"/>
    </w:p>
    <w:p w:rsidR="00BA586B" w:rsidRPr="00BA586B" w:rsidRDefault="00BA586B" w:rsidP="00BA586B">
      <w:pPr>
        <w:pStyle w:val="Prrafodelista"/>
        <w:keepNext/>
        <w:keepLines/>
        <w:numPr>
          <w:ilvl w:val="1"/>
          <w:numId w:val="1"/>
        </w:numPr>
        <w:tabs>
          <w:tab w:val="left" w:pos="0"/>
        </w:tabs>
        <w:spacing w:after="120"/>
        <w:ind w:left="578" w:hanging="578"/>
        <w:contextualSpacing w:val="0"/>
        <w:outlineLvl w:val="1"/>
        <w:rPr>
          <w:rFonts w:ascii="Century Gothic" w:eastAsia="Times New Roman" w:hAnsi="Century Gothic" w:cs="Times New Roman"/>
          <w:bCs/>
          <w:smallCaps/>
          <w:vanish/>
          <w:color w:val="C00000"/>
          <w:sz w:val="30"/>
          <w:szCs w:val="30"/>
          <w:lang w:eastAsia="es-ES"/>
        </w:rPr>
      </w:pPr>
    </w:p>
    <w:p w:rsidR="00465411" w:rsidRPr="00BA586B" w:rsidRDefault="00465411" w:rsidP="00BA586B">
      <w:pPr>
        <w:pStyle w:val="Ttulo3"/>
        <w:rPr>
          <w:sz w:val="26"/>
          <w:szCs w:val="26"/>
        </w:rPr>
      </w:pPr>
      <w:r w:rsidRPr="00BA586B">
        <w:rPr>
          <w:sz w:val="26"/>
          <w:szCs w:val="26"/>
        </w:rPr>
        <w:t>Aspectos conceptuales</w:t>
      </w:r>
    </w:p>
    <w:p w:rsidR="00465411" w:rsidRDefault="00465411" w:rsidP="00465411">
      <w:r>
        <w:t xml:space="preserve">De acuerdo con la literatura internacional revisada en el Informe II de esta consultoría, </w:t>
      </w:r>
      <w:r w:rsidRPr="00CD176E">
        <w:t xml:space="preserve"> </w:t>
      </w:r>
      <w:r>
        <w:t xml:space="preserve">el uso de productos </w:t>
      </w:r>
      <w:r w:rsidR="000A61AD">
        <w:t>TIC</w:t>
      </w:r>
      <w:r>
        <w:t xml:space="preserve"> y, en particular, de Internet y sus aplicaciones y contenidos, tienen un efecto importante en el mediano y largo plazo sobre la productividad en todos los sectores de la economía que los usan. Este aumento en productividad genera un crecimiento de la capacidad de producción, con el mismo nivel de activos de capital existente, y reducciones en los costos de producción que inducen una caída en los precios relativos de oferta en todos los sectores que utilizan productos de este sector. A través de  este mecanismo de transmisión, se incrementa la demanda de bienes y servicios en todos los sectores de la economía, de acuerdo con la incidencia que tengan estos servicios en la canasta de insumos que se usan para la producción en cada sector.</w:t>
      </w:r>
    </w:p>
    <w:p w:rsidR="00465411" w:rsidRPr="00E83441" w:rsidRDefault="00465411" w:rsidP="00465411">
      <w:pPr>
        <w:rPr>
          <w:b/>
        </w:rPr>
      </w:pPr>
      <w:r>
        <w:lastRenderedPageBreak/>
        <w:t>El Plan Vive Digital ha sido un promotor del uso de productos del sector de telecomunicaciones y, en particular de internet y sus aplicaciones, tanto a nivel de los hogares, con los resultados indicados en los numerales 2.1 y 2.2, como a nivel de las empresas y entidades, públicas y privadas, existentes en el país</w:t>
      </w:r>
      <w:r>
        <w:rPr>
          <w:b/>
        </w:rPr>
        <w:t>.</w:t>
      </w:r>
      <w:r w:rsidRPr="00E83441">
        <w:rPr>
          <w:b/>
        </w:rPr>
        <w:t xml:space="preserve"> </w:t>
      </w:r>
    </w:p>
    <w:p w:rsidR="00465411" w:rsidRDefault="00465411" w:rsidP="00465411">
      <w:r>
        <w:t>Para tener una aproximación empírica a los posibles impactos de una expansión del sector de las telecomunicaciones</w:t>
      </w:r>
      <w:r w:rsidR="000A61AD">
        <w:rPr>
          <w:rStyle w:val="Refdenotaalpie"/>
        </w:rPr>
        <w:footnoteReference w:id="18"/>
      </w:r>
      <w:r>
        <w:t xml:space="preserve"> en la generación de empleo en la economía nacional, se propone utilizar las Cuentas Nacionales que elabora trimestralmente el DANE a pa</w:t>
      </w:r>
      <w:r w:rsidR="005C2C46">
        <w:t xml:space="preserve">rtir de las matrices de </w:t>
      </w:r>
      <w:r w:rsidR="00A2529B">
        <w:t>I</w:t>
      </w:r>
      <w:r w:rsidR="005C2C46">
        <w:t>nsumo-</w:t>
      </w:r>
      <w:r w:rsidR="00A2529B">
        <w:t>P</w:t>
      </w:r>
      <w:r>
        <w:t xml:space="preserve">roducto de la economía colombiana para 62 sectores de actividad económica. El DANE cuantifica anualmente la interacción entre la oferta (nacional e internacional) y la demanda final (consumo privado, gasto público, inversión y exportaciones), incorporando en la matriz las relaciones intersectoriales de origen y destino de los insumos de bienes y servicios utilizados para la producción por todos los sectores de la economía y el gasto en mano de obra (separando el gasto en trabajo asalariado y el gasto en trabajo independiente o por cuenta propia) y en importaciones de materias primas requeridas para sustentar la producción demandada de cada sector. </w:t>
      </w:r>
    </w:p>
    <w:p w:rsidR="00465411" w:rsidRDefault="00465411" w:rsidP="00465411">
      <w:r>
        <w:t xml:space="preserve">Para estimar los impactos de una expansión del sector de las telecomunicaciones sobre  el resto de la  economía se pueden utilizar las matrices de Insumo-Producto que elabora anualmente el DANE para la estimación de las Cuentas Nacionales por sectores. La estructura de la matriz de Insumo-Producto permite identificar el impacto multiplicador de un crecimiento predeterminado en la producción del sector de las telecomunicaciones sobre la producción sectorial, el valor agregado y, en particular, sobre la remuneración de los trabajadores en el propio sector y  de todos los demás sectores de la economía que demandan insumos (compras intermedias) de este sector que están considerados en la matriz de I-P. El impacto en las remuneraciones laborales de otros sectores es la suma del impacto sobre el empleo y el impacto sobre los ingresos laborales per cápita de la población empleada. </w:t>
      </w:r>
    </w:p>
    <w:p w:rsidR="00465411" w:rsidRDefault="00465411" w:rsidP="00465411">
      <w:pPr>
        <w:rPr>
          <w:lang w:val="es-CO"/>
        </w:rPr>
      </w:pPr>
      <w:r>
        <w:rPr>
          <w:lang w:val="es-CO"/>
        </w:rPr>
        <w:t>A partir de la información de la matriz de Insumo-Producto se han desarrollado en diferentes países, múltiples modelos  de equilibrio macroeconómico</w:t>
      </w:r>
      <w:r>
        <w:rPr>
          <w:rStyle w:val="Refdenotaalpie"/>
          <w:lang w:val="es-CO"/>
        </w:rPr>
        <w:footnoteReference w:id="19"/>
      </w:r>
      <w:r>
        <w:rPr>
          <w:lang w:val="es-CO"/>
        </w:rPr>
        <w:t xml:space="preserve">. En particular, se han desarrollado modelos macroeconómicos de equilibrio general computable, que </w:t>
      </w:r>
      <w:r>
        <w:rPr>
          <w:lang w:val="es-CO"/>
        </w:rPr>
        <w:lastRenderedPageBreak/>
        <w:t>permiten simular diferentes trayectorias de crecimiento de la economía, en función de las políticas que se quieren impulsar.</w:t>
      </w:r>
    </w:p>
    <w:p w:rsidR="00465411" w:rsidRPr="0036762B" w:rsidRDefault="00465411" w:rsidP="00465411">
      <w:r>
        <w:t xml:space="preserve">El planteamiento de los modelos de insumo-producto parte del </w:t>
      </w:r>
      <w:r w:rsidRPr="0036762B">
        <w:t>equilibr</w:t>
      </w:r>
      <w:r>
        <w:t>io</w:t>
      </w:r>
      <w:r w:rsidRPr="0036762B">
        <w:t xml:space="preserve"> </w:t>
      </w:r>
      <w:r>
        <w:t xml:space="preserve">de </w:t>
      </w:r>
      <w:r w:rsidRPr="0036762B">
        <w:t>las cuentas nacionales</w:t>
      </w:r>
      <w:r>
        <w:t xml:space="preserve"> para un año dado</w:t>
      </w:r>
      <w:r>
        <w:rPr>
          <w:rStyle w:val="Refdenotaalpie"/>
        </w:rPr>
        <w:footnoteReference w:id="20"/>
      </w:r>
      <w:r>
        <w:t>.</w:t>
      </w:r>
      <w:r w:rsidRPr="0036762B">
        <w:t xml:space="preserve"> </w:t>
      </w:r>
      <w:r>
        <w:t xml:space="preserve">Así pues, </w:t>
      </w:r>
      <w:r w:rsidRPr="0036762B">
        <w:t xml:space="preserve">la oferta sectorial total </w:t>
      </w:r>
      <w:r>
        <w:t xml:space="preserve">de cada sector </w:t>
      </w:r>
      <w:r w:rsidRPr="0029765A">
        <w:rPr>
          <w:i/>
        </w:rPr>
        <w:t>i</w:t>
      </w:r>
      <w:r>
        <w:t xml:space="preserve">, </w:t>
      </w:r>
      <w:r w:rsidRPr="0036762B">
        <w:t>debe ser igual  a la demanda total en</w:t>
      </w:r>
      <w:r>
        <w:t xml:space="preserve"> dicho </w:t>
      </w:r>
      <w:r w:rsidRPr="0036762B">
        <w:t>sector i, lo cual se puede expresar de la siguiente forma</w:t>
      </w:r>
      <w:r>
        <w:t>:</w:t>
      </w:r>
    </w:p>
    <w:tbl>
      <w:tblPr>
        <w:tblW w:w="8630" w:type="dxa"/>
        <w:jc w:val="center"/>
        <w:tblInd w:w="708" w:type="dxa"/>
        <w:tblLayout w:type="fixed"/>
        <w:tblCellMar>
          <w:left w:w="70" w:type="dxa"/>
          <w:right w:w="70" w:type="dxa"/>
        </w:tblCellMar>
        <w:tblLook w:val="0000"/>
      </w:tblPr>
      <w:tblGrid>
        <w:gridCol w:w="2873"/>
        <w:gridCol w:w="284"/>
        <w:gridCol w:w="4623"/>
        <w:gridCol w:w="850"/>
      </w:tblGrid>
      <w:tr w:rsidR="00465411" w:rsidRPr="004A70EA" w:rsidTr="007C69F6">
        <w:trPr>
          <w:jc w:val="center"/>
        </w:trPr>
        <w:tc>
          <w:tcPr>
            <w:tcW w:w="2873" w:type="dxa"/>
          </w:tcPr>
          <w:p w:rsidR="00465411" w:rsidRPr="004A70EA" w:rsidRDefault="00465411" w:rsidP="00465411">
            <w:pPr>
              <w:jc w:val="right"/>
              <w:rPr>
                <w:rFonts w:ascii="Cambria Math" w:hAnsi="Cambria Math"/>
              </w:rPr>
            </w:pPr>
            <w:proofErr w:type="spellStart"/>
            <w:r w:rsidRPr="004A70EA">
              <w:rPr>
                <w:rFonts w:ascii="Cambria Math" w:hAnsi="Cambria Math"/>
                <w:i/>
              </w:rPr>
              <w:t>OT</w:t>
            </w:r>
            <w:r w:rsidRPr="004A70EA">
              <w:rPr>
                <w:rFonts w:ascii="Cambria Math" w:hAnsi="Cambria Math"/>
                <w:vertAlign w:val="subscript"/>
              </w:rPr>
              <w:t>i</w:t>
            </w:r>
            <w:proofErr w:type="spellEnd"/>
          </w:p>
        </w:tc>
        <w:tc>
          <w:tcPr>
            <w:tcW w:w="284" w:type="dxa"/>
          </w:tcPr>
          <w:p w:rsidR="00465411" w:rsidRPr="004A70EA" w:rsidRDefault="00465411" w:rsidP="00465411">
            <w:pPr>
              <w:rPr>
                <w:rFonts w:ascii="Cambria Math" w:hAnsi="Cambria Math"/>
              </w:rPr>
            </w:pPr>
            <w:r w:rsidRPr="004A70EA">
              <w:rPr>
                <w:rFonts w:ascii="Cambria Math" w:hAnsi="Cambria Math"/>
              </w:rPr>
              <w:t>=</w:t>
            </w:r>
          </w:p>
        </w:tc>
        <w:tc>
          <w:tcPr>
            <w:tcW w:w="4623" w:type="dxa"/>
          </w:tcPr>
          <w:p w:rsidR="00465411" w:rsidRPr="004A70EA" w:rsidRDefault="00465411" w:rsidP="00465411">
            <w:pPr>
              <w:rPr>
                <w:rFonts w:ascii="Cambria Math" w:hAnsi="Cambria Math"/>
              </w:rPr>
            </w:pPr>
            <w:proofErr w:type="spellStart"/>
            <w:r w:rsidRPr="004A70EA">
              <w:rPr>
                <w:rFonts w:ascii="Cambria Math" w:hAnsi="Cambria Math"/>
                <w:i/>
              </w:rPr>
              <w:t>DT</w:t>
            </w:r>
            <w:r w:rsidRPr="004A70EA">
              <w:rPr>
                <w:rFonts w:ascii="Cambria Math" w:hAnsi="Cambria Math"/>
                <w:vertAlign w:val="subscript"/>
              </w:rPr>
              <w:t>i</w:t>
            </w:r>
            <w:proofErr w:type="spellEnd"/>
          </w:p>
        </w:tc>
        <w:tc>
          <w:tcPr>
            <w:tcW w:w="850" w:type="dxa"/>
            <w:vAlign w:val="center"/>
          </w:tcPr>
          <w:p w:rsidR="00465411" w:rsidRPr="004A70EA" w:rsidRDefault="00465411" w:rsidP="00465411">
            <w:pPr>
              <w:jc w:val="right"/>
              <w:rPr>
                <w:i/>
              </w:rPr>
            </w:pPr>
            <w:r w:rsidRPr="004A70EA">
              <w:rPr>
                <w:i/>
              </w:rPr>
              <w:t>(1)</w:t>
            </w:r>
          </w:p>
        </w:tc>
      </w:tr>
      <w:tr w:rsidR="00465411" w:rsidRPr="004A70EA" w:rsidTr="007C69F6">
        <w:trPr>
          <w:jc w:val="center"/>
        </w:trPr>
        <w:tc>
          <w:tcPr>
            <w:tcW w:w="2873" w:type="dxa"/>
          </w:tcPr>
          <w:p w:rsidR="00465411" w:rsidRPr="004A70EA" w:rsidRDefault="00465411" w:rsidP="00465411">
            <w:pPr>
              <w:jc w:val="right"/>
              <w:rPr>
                <w:rFonts w:ascii="Cambria Math" w:hAnsi="Cambria Math"/>
              </w:rPr>
            </w:pPr>
            <w:proofErr w:type="spellStart"/>
            <w:r w:rsidRPr="004A70EA">
              <w:rPr>
                <w:rFonts w:ascii="Cambria Math" w:hAnsi="Cambria Math"/>
                <w:i/>
              </w:rPr>
              <w:t>VBP</w:t>
            </w:r>
            <w:r w:rsidRPr="004A70EA">
              <w:rPr>
                <w:rFonts w:ascii="Cambria Math" w:hAnsi="Cambria Math"/>
                <w:vertAlign w:val="subscript"/>
              </w:rPr>
              <w:t>i</w:t>
            </w:r>
            <w:proofErr w:type="spellEnd"/>
            <w:r w:rsidRPr="004A70EA">
              <w:rPr>
                <w:rFonts w:ascii="Cambria Math" w:hAnsi="Cambria Math"/>
              </w:rPr>
              <w:t xml:space="preserve"> + </w:t>
            </w:r>
            <w:proofErr w:type="spellStart"/>
            <w:r w:rsidRPr="004A70EA">
              <w:rPr>
                <w:rFonts w:ascii="Cambria Math" w:hAnsi="Cambria Math"/>
                <w:i/>
              </w:rPr>
              <w:t>IMP</w:t>
            </w:r>
            <w:r w:rsidRPr="004A70EA">
              <w:rPr>
                <w:rFonts w:ascii="Cambria Math" w:hAnsi="Cambria Math"/>
                <w:vertAlign w:val="subscript"/>
              </w:rPr>
              <w:t>i</w:t>
            </w:r>
            <w:proofErr w:type="spellEnd"/>
          </w:p>
        </w:tc>
        <w:tc>
          <w:tcPr>
            <w:tcW w:w="284" w:type="dxa"/>
          </w:tcPr>
          <w:p w:rsidR="00465411" w:rsidRPr="004A70EA" w:rsidRDefault="00465411" w:rsidP="00465411">
            <w:pPr>
              <w:rPr>
                <w:rFonts w:ascii="Cambria Math" w:hAnsi="Cambria Math"/>
              </w:rPr>
            </w:pPr>
            <w:r w:rsidRPr="004A70EA">
              <w:rPr>
                <w:rFonts w:ascii="Cambria Math" w:hAnsi="Cambria Math"/>
              </w:rPr>
              <w:t>=</w:t>
            </w:r>
          </w:p>
        </w:tc>
        <w:tc>
          <w:tcPr>
            <w:tcW w:w="4623" w:type="dxa"/>
          </w:tcPr>
          <w:p w:rsidR="00465411" w:rsidRPr="004A70EA" w:rsidRDefault="00465411" w:rsidP="00465411">
            <w:pPr>
              <w:ind w:left="-160" w:firstLine="160"/>
              <w:jc w:val="left"/>
              <w:rPr>
                <w:rFonts w:ascii="Cambria Math" w:hAnsi="Cambria Math"/>
              </w:rPr>
            </w:pPr>
            <w:proofErr w:type="spellStart"/>
            <w:r w:rsidRPr="004A70EA">
              <w:rPr>
                <w:rFonts w:ascii="Cambria Math" w:hAnsi="Cambria Math"/>
                <w:i/>
              </w:rPr>
              <w:t>VI</w:t>
            </w:r>
            <w:r w:rsidRPr="004A70EA">
              <w:rPr>
                <w:rFonts w:ascii="Cambria Math" w:hAnsi="Cambria Math"/>
                <w:vertAlign w:val="subscript"/>
              </w:rPr>
              <w:t>i</w:t>
            </w:r>
            <w:proofErr w:type="spellEnd"/>
            <w:r w:rsidRPr="004A70EA">
              <w:rPr>
                <w:rFonts w:ascii="Cambria Math" w:hAnsi="Cambria Math"/>
              </w:rPr>
              <w:t xml:space="preserve"> + </w:t>
            </w:r>
            <w:proofErr w:type="spellStart"/>
            <w:r w:rsidRPr="004A70EA">
              <w:rPr>
                <w:rFonts w:ascii="Cambria Math" w:hAnsi="Cambria Math"/>
                <w:i/>
              </w:rPr>
              <w:t>DFn</w:t>
            </w:r>
            <w:r w:rsidRPr="004A70EA">
              <w:rPr>
                <w:rFonts w:ascii="Cambria Math" w:hAnsi="Cambria Math"/>
                <w:vertAlign w:val="subscript"/>
              </w:rPr>
              <w:t>i</w:t>
            </w:r>
            <w:proofErr w:type="spellEnd"/>
            <w:r w:rsidRPr="004A70EA">
              <w:rPr>
                <w:rFonts w:ascii="Cambria Math" w:hAnsi="Cambria Math"/>
                <w:vertAlign w:val="subscript"/>
              </w:rPr>
              <w:t xml:space="preserve"> </w:t>
            </w:r>
            <w:r w:rsidRPr="004A70EA">
              <w:rPr>
                <w:rFonts w:ascii="Cambria Math" w:hAnsi="Cambria Math"/>
              </w:rPr>
              <w:t xml:space="preserve"> = </w:t>
            </w:r>
            <w:proofErr w:type="spellStart"/>
            <w:r w:rsidRPr="004A70EA">
              <w:rPr>
                <w:rFonts w:ascii="Cambria Math" w:hAnsi="Cambria Math"/>
                <w:i/>
              </w:rPr>
              <w:t>VI</w:t>
            </w:r>
            <w:r w:rsidRPr="004A70EA">
              <w:rPr>
                <w:rFonts w:ascii="Cambria Math" w:hAnsi="Cambria Math"/>
                <w:vertAlign w:val="subscript"/>
              </w:rPr>
              <w:t>i</w:t>
            </w:r>
            <w:proofErr w:type="spellEnd"/>
            <w:r w:rsidRPr="004A70EA">
              <w:rPr>
                <w:rFonts w:ascii="Cambria Math" w:hAnsi="Cambria Math"/>
              </w:rPr>
              <w:t xml:space="preserve"> + </w:t>
            </w:r>
            <w:proofErr w:type="spellStart"/>
            <w:r w:rsidRPr="004A70EA">
              <w:rPr>
                <w:rFonts w:ascii="Cambria Math" w:hAnsi="Cambria Math"/>
                <w:i/>
              </w:rPr>
              <w:t>CON</w:t>
            </w:r>
            <w:r w:rsidRPr="004A70EA">
              <w:rPr>
                <w:rFonts w:ascii="Cambria Math" w:hAnsi="Cambria Math"/>
                <w:vertAlign w:val="subscript"/>
              </w:rPr>
              <w:t>i</w:t>
            </w:r>
            <w:proofErr w:type="spellEnd"/>
            <w:r w:rsidRPr="004A70EA">
              <w:rPr>
                <w:rFonts w:ascii="Cambria Math" w:hAnsi="Cambria Math"/>
              </w:rPr>
              <w:t xml:space="preserve"> + </w:t>
            </w:r>
            <w:proofErr w:type="spellStart"/>
            <w:r w:rsidRPr="004A70EA">
              <w:rPr>
                <w:rFonts w:ascii="Cambria Math" w:hAnsi="Cambria Math"/>
                <w:i/>
              </w:rPr>
              <w:t>INV</w:t>
            </w:r>
            <w:r w:rsidRPr="004A70EA">
              <w:rPr>
                <w:rFonts w:ascii="Cambria Math" w:hAnsi="Cambria Math"/>
                <w:vertAlign w:val="subscript"/>
              </w:rPr>
              <w:t>i</w:t>
            </w:r>
            <w:proofErr w:type="spellEnd"/>
            <w:r w:rsidRPr="004A70EA">
              <w:rPr>
                <w:rFonts w:ascii="Cambria Math" w:hAnsi="Cambria Math"/>
              </w:rPr>
              <w:t xml:space="preserve"> + </w:t>
            </w:r>
            <w:proofErr w:type="spellStart"/>
            <w:r w:rsidRPr="004A70EA">
              <w:rPr>
                <w:rFonts w:ascii="Cambria Math" w:hAnsi="Cambria Math"/>
                <w:i/>
              </w:rPr>
              <w:t>EXP</w:t>
            </w:r>
            <w:r w:rsidRPr="004A70EA">
              <w:rPr>
                <w:rFonts w:ascii="Cambria Math" w:hAnsi="Cambria Math"/>
                <w:vertAlign w:val="subscript"/>
              </w:rPr>
              <w:t>i</w:t>
            </w:r>
            <w:proofErr w:type="spellEnd"/>
          </w:p>
        </w:tc>
        <w:tc>
          <w:tcPr>
            <w:tcW w:w="850" w:type="dxa"/>
            <w:vAlign w:val="center"/>
          </w:tcPr>
          <w:p w:rsidR="00465411" w:rsidRPr="004A70EA" w:rsidRDefault="00465411" w:rsidP="00465411">
            <w:pPr>
              <w:jc w:val="right"/>
              <w:rPr>
                <w:i/>
              </w:rPr>
            </w:pPr>
            <w:r w:rsidRPr="004A70EA">
              <w:rPr>
                <w:i/>
              </w:rPr>
              <w:t>(2)</w:t>
            </w:r>
          </w:p>
        </w:tc>
      </w:tr>
    </w:tbl>
    <w:p w:rsidR="00465411" w:rsidRPr="0036762B" w:rsidRDefault="00465411" w:rsidP="00465411">
      <w:r>
        <w:t>L</w:t>
      </w:r>
      <w:r w:rsidRPr="0036762B">
        <w:t>a oferta sectorial (</w:t>
      </w:r>
      <w:proofErr w:type="spellStart"/>
      <w:r w:rsidRPr="0036762B">
        <w:rPr>
          <w:i/>
          <w:iCs/>
        </w:rPr>
        <w:t>OT</w:t>
      </w:r>
      <w:r w:rsidRPr="0029765A">
        <w:rPr>
          <w:i/>
          <w:iCs/>
          <w:vertAlign w:val="subscript"/>
        </w:rPr>
        <w:t>i</w:t>
      </w:r>
      <w:proofErr w:type="spellEnd"/>
      <w:r>
        <w:t>) está</w:t>
      </w:r>
      <w:r w:rsidRPr="0036762B">
        <w:t xml:space="preserve"> dada por la suma del valor bruto de la producción nacional (</w:t>
      </w:r>
      <w:proofErr w:type="spellStart"/>
      <w:r w:rsidRPr="0036762B">
        <w:rPr>
          <w:i/>
          <w:iCs/>
        </w:rPr>
        <w:t>VBP</w:t>
      </w:r>
      <w:r w:rsidRPr="002D57BF">
        <w:rPr>
          <w:i/>
          <w:iCs/>
          <w:vertAlign w:val="subscript"/>
        </w:rPr>
        <w:t>i</w:t>
      </w:r>
      <w:proofErr w:type="spellEnd"/>
      <w:r w:rsidRPr="0036762B">
        <w:t>) y las importaciones de bienes finales producidos en el exterior (</w:t>
      </w:r>
      <w:proofErr w:type="spellStart"/>
      <w:r w:rsidRPr="0036762B">
        <w:rPr>
          <w:i/>
          <w:iCs/>
        </w:rPr>
        <w:t>IMP</w:t>
      </w:r>
      <w:r w:rsidRPr="002D57BF">
        <w:rPr>
          <w:i/>
          <w:iCs/>
          <w:vertAlign w:val="subscript"/>
        </w:rPr>
        <w:t>i</w:t>
      </w:r>
      <w:proofErr w:type="spellEnd"/>
      <w:r w:rsidRPr="0036762B">
        <w:t xml:space="preserve">). </w:t>
      </w:r>
    </w:p>
    <w:p w:rsidR="00465411" w:rsidRPr="0036762B" w:rsidRDefault="00465411" w:rsidP="00465411">
      <w:r w:rsidRPr="0036762B">
        <w:t xml:space="preserve">La demanda sectorial está representadas por la demanda </w:t>
      </w:r>
      <w:r>
        <w:t>por insumos (</w:t>
      </w:r>
      <w:r w:rsidRPr="0036762B">
        <w:t>bienes intermedios</w:t>
      </w:r>
      <w:r>
        <w:t>)</w:t>
      </w:r>
      <w:r w:rsidRPr="0036762B">
        <w:t xml:space="preserve"> o ventas intermedias (</w:t>
      </w:r>
      <w:proofErr w:type="spellStart"/>
      <w:r w:rsidRPr="0036762B">
        <w:rPr>
          <w:i/>
          <w:iCs/>
        </w:rPr>
        <w:t>VI</w:t>
      </w:r>
      <w:r w:rsidRPr="008543EF">
        <w:rPr>
          <w:i/>
          <w:iCs/>
          <w:vertAlign w:val="subscript"/>
        </w:rPr>
        <w:t>i</w:t>
      </w:r>
      <w:proofErr w:type="spellEnd"/>
      <w:r w:rsidRPr="0036762B">
        <w:t xml:space="preserve">) y la demanda </w:t>
      </w:r>
      <w:r>
        <w:t>por</w:t>
      </w:r>
      <w:r w:rsidRPr="0036762B">
        <w:t xml:space="preserve"> bienes finales (</w:t>
      </w:r>
      <w:proofErr w:type="spellStart"/>
      <w:r w:rsidRPr="0036762B">
        <w:rPr>
          <w:i/>
          <w:iCs/>
        </w:rPr>
        <w:t>DFn</w:t>
      </w:r>
      <w:r w:rsidRPr="008543EF">
        <w:rPr>
          <w:i/>
          <w:iCs/>
          <w:vertAlign w:val="subscript"/>
        </w:rPr>
        <w:t>i</w:t>
      </w:r>
      <w:proofErr w:type="spellEnd"/>
      <w:r w:rsidRPr="0036762B">
        <w:t xml:space="preserve">), que a su vez está compuesta de </w:t>
      </w:r>
      <w:r>
        <w:t>d</w:t>
      </w:r>
      <w:r w:rsidRPr="0036762B">
        <w:t>emanda por bienes de Consumo (</w:t>
      </w:r>
      <w:proofErr w:type="spellStart"/>
      <w:r w:rsidRPr="0036762B">
        <w:rPr>
          <w:i/>
          <w:iCs/>
        </w:rPr>
        <w:t>CON</w:t>
      </w:r>
      <w:r w:rsidRPr="008543EF">
        <w:rPr>
          <w:i/>
          <w:iCs/>
          <w:vertAlign w:val="subscript"/>
        </w:rPr>
        <w:t>i</w:t>
      </w:r>
      <w:proofErr w:type="spellEnd"/>
      <w:r w:rsidRPr="0036762B">
        <w:t xml:space="preserve">), </w:t>
      </w:r>
      <w:r>
        <w:t>d</w:t>
      </w:r>
      <w:r w:rsidRPr="0036762B">
        <w:t>emanda por bienes de Inversión (</w:t>
      </w:r>
      <w:proofErr w:type="spellStart"/>
      <w:r w:rsidRPr="0036762B">
        <w:rPr>
          <w:i/>
          <w:iCs/>
        </w:rPr>
        <w:t>INV</w:t>
      </w:r>
      <w:r w:rsidRPr="008543EF">
        <w:rPr>
          <w:i/>
          <w:iCs/>
          <w:vertAlign w:val="subscript"/>
        </w:rPr>
        <w:t>i</w:t>
      </w:r>
      <w:proofErr w:type="spellEnd"/>
      <w:r w:rsidRPr="0036762B">
        <w:t>) y demanda de otros países por bienes nacionales o exportaciones (</w:t>
      </w:r>
      <w:proofErr w:type="spellStart"/>
      <w:r w:rsidRPr="0036762B">
        <w:rPr>
          <w:i/>
          <w:iCs/>
        </w:rPr>
        <w:t>EXP</w:t>
      </w:r>
      <w:r w:rsidRPr="008543EF">
        <w:rPr>
          <w:i/>
          <w:iCs/>
          <w:vertAlign w:val="subscript"/>
        </w:rPr>
        <w:t>i</w:t>
      </w:r>
      <w:proofErr w:type="spellEnd"/>
      <w:r w:rsidRPr="0036762B">
        <w:t>).</w:t>
      </w:r>
    </w:p>
    <w:p w:rsidR="00465411" w:rsidRPr="0036762B" w:rsidRDefault="00465411" w:rsidP="00465411">
      <w:r w:rsidRPr="0036762B">
        <w:t>Considerando conjuntamente el equilibrio entre oferta y demanda para todos los sectores, la ecuación (2) se puede expresar en términos vectoriales de la siguiente forma para el año t:</w:t>
      </w:r>
    </w:p>
    <w:tbl>
      <w:tblPr>
        <w:tblW w:w="8792" w:type="dxa"/>
        <w:tblInd w:w="70" w:type="dxa"/>
        <w:tblLayout w:type="fixed"/>
        <w:tblCellMar>
          <w:left w:w="70" w:type="dxa"/>
          <w:right w:w="70" w:type="dxa"/>
        </w:tblCellMar>
        <w:tblLook w:val="0000"/>
      </w:tblPr>
      <w:tblGrid>
        <w:gridCol w:w="2552"/>
        <w:gridCol w:w="283"/>
        <w:gridCol w:w="5103"/>
        <w:gridCol w:w="854"/>
      </w:tblGrid>
      <w:tr w:rsidR="00465411" w:rsidRPr="004A70EA" w:rsidTr="007C69F6">
        <w:tc>
          <w:tcPr>
            <w:tcW w:w="2552" w:type="dxa"/>
            <w:vAlign w:val="center"/>
          </w:tcPr>
          <w:p w:rsidR="00465411" w:rsidRPr="004A70EA" w:rsidRDefault="00465411" w:rsidP="00465411">
            <w:pPr>
              <w:jc w:val="center"/>
              <w:rPr>
                <w:rFonts w:ascii="Cambria Math" w:hAnsi="Cambria Math"/>
              </w:rPr>
            </w:pPr>
            <w:r w:rsidRPr="004A70EA">
              <w:rPr>
                <w:rFonts w:ascii="Cambria Math" w:hAnsi="Cambria Math"/>
              </w:rPr>
              <w:t>VBP(t) + IMP(t)</w:t>
            </w:r>
          </w:p>
        </w:tc>
        <w:tc>
          <w:tcPr>
            <w:tcW w:w="283" w:type="dxa"/>
            <w:vAlign w:val="center"/>
          </w:tcPr>
          <w:p w:rsidR="00465411" w:rsidRPr="004A70EA" w:rsidRDefault="00465411" w:rsidP="00465411">
            <w:pPr>
              <w:jc w:val="center"/>
              <w:rPr>
                <w:rFonts w:ascii="Cambria Math" w:hAnsi="Cambria Math"/>
              </w:rPr>
            </w:pPr>
            <w:r w:rsidRPr="004A70EA">
              <w:rPr>
                <w:rFonts w:ascii="Cambria Math" w:hAnsi="Cambria Math"/>
              </w:rPr>
              <w:t>=</w:t>
            </w:r>
          </w:p>
        </w:tc>
        <w:tc>
          <w:tcPr>
            <w:tcW w:w="5103" w:type="dxa"/>
            <w:vAlign w:val="center"/>
          </w:tcPr>
          <w:p w:rsidR="00465411" w:rsidRPr="004A70EA" w:rsidRDefault="00465411" w:rsidP="00465411">
            <w:pPr>
              <w:jc w:val="center"/>
              <w:rPr>
                <w:rFonts w:ascii="Cambria Math" w:hAnsi="Cambria Math"/>
                <w:lang w:val="en-US"/>
              </w:rPr>
            </w:pPr>
            <w:r w:rsidRPr="004A70EA">
              <w:rPr>
                <w:rFonts w:ascii="Cambria Math" w:hAnsi="Cambria Math"/>
                <w:lang w:val="en-US"/>
              </w:rPr>
              <w:t xml:space="preserve">VI(t) + </w:t>
            </w:r>
            <w:proofErr w:type="spellStart"/>
            <w:r w:rsidRPr="004A70EA">
              <w:rPr>
                <w:rFonts w:ascii="Cambria Math" w:hAnsi="Cambria Math"/>
                <w:lang w:val="en-US"/>
              </w:rPr>
              <w:t>DFn</w:t>
            </w:r>
            <w:proofErr w:type="spellEnd"/>
            <w:r w:rsidRPr="004A70EA">
              <w:rPr>
                <w:rFonts w:ascii="Cambria Math" w:hAnsi="Cambria Math"/>
                <w:lang w:val="en-US"/>
              </w:rPr>
              <w:t>(t) = VI(t) + CON(t) + INV(t) + EXP(t)</w:t>
            </w:r>
          </w:p>
        </w:tc>
        <w:tc>
          <w:tcPr>
            <w:tcW w:w="854" w:type="dxa"/>
            <w:vAlign w:val="center"/>
          </w:tcPr>
          <w:p w:rsidR="00465411" w:rsidRPr="004A70EA" w:rsidRDefault="00465411" w:rsidP="00465411">
            <w:pPr>
              <w:jc w:val="right"/>
              <w:rPr>
                <w:rFonts w:ascii="Cambria Math" w:hAnsi="Cambria Math"/>
                <w:i/>
              </w:rPr>
            </w:pPr>
            <w:r w:rsidRPr="004A70EA">
              <w:rPr>
                <w:rFonts w:ascii="Cambria Math" w:hAnsi="Cambria Math"/>
                <w:i/>
              </w:rPr>
              <w:t>(3)</w:t>
            </w:r>
          </w:p>
        </w:tc>
      </w:tr>
    </w:tbl>
    <w:p w:rsidR="00465411" w:rsidRPr="0036762B" w:rsidRDefault="00465411" w:rsidP="00465411">
      <w:bookmarkStart w:id="100" w:name="Def_A"/>
      <w:bookmarkEnd w:id="100"/>
      <w:r>
        <w:t>El principal supuesto del modelo de insumo producto es</w:t>
      </w:r>
      <w:r w:rsidRPr="0036762B">
        <w:t xml:space="preserve"> que la estructura de requerimientos de insumos de los diferentes sectores no cambia significativamente en el tiempo, de manera que el tamaño de las demandas por insumos </w:t>
      </w:r>
      <w:r>
        <w:t>es</w:t>
      </w:r>
      <w:r w:rsidRPr="0036762B">
        <w:t xml:space="preserve"> directamente proporcional al ni</w:t>
      </w:r>
      <w:r>
        <w:t>vel de la producción. Así pues,</w:t>
      </w:r>
      <w:r w:rsidRPr="0036762B">
        <w:t xml:space="preserve"> la matriz de transacciones se puede expresar en términos de una matriz de coeficientes técnicos constantes </w:t>
      </w:r>
      <w:r>
        <w:t xml:space="preserve">relativos al </w:t>
      </w:r>
      <w:r w:rsidRPr="0036762B">
        <w:t xml:space="preserve"> val</w:t>
      </w:r>
      <w:r>
        <w:t>or de la producción bruta (VBP)</w:t>
      </w:r>
      <w:r w:rsidRPr="0036762B">
        <w:t>,</w:t>
      </w:r>
      <w:r>
        <w:t xml:space="preserve"> la cual</w:t>
      </w:r>
      <w:r w:rsidRPr="0036762B">
        <w:t xml:space="preserve"> se denota como </w:t>
      </w:r>
      <w:r w:rsidRPr="0036762B">
        <w:rPr>
          <w:b/>
        </w:rPr>
        <w:t xml:space="preserve">A </w:t>
      </w:r>
      <w:r w:rsidRPr="0036762B">
        <w:t xml:space="preserve">y cada uno de sus elementos como </w:t>
      </w:r>
      <w:proofErr w:type="spellStart"/>
      <w:r w:rsidRPr="0036762B">
        <w:rPr>
          <w:i/>
        </w:rPr>
        <w:t>a</w:t>
      </w:r>
      <w:r w:rsidRPr="0036762B">
        <w:rPr>
          <w:i/>
          <w:vertAlign w:val="subscript"/>
        </w:rPr>
        <w:t>ij</w:t>
      </w:r>
      <w:proofErr w:type="spellEnd"/>
      <w:r w:rsidRPr="0036762B">
        <w:rPr>
          <w:i/>
          <w:vertAlign w:val="subscript"/>
        </w:rPr>
        <w:t xml:space="preserve">. </w:t>
      </w:r>
      <w:r w:rsidRPr="0036762B">
        <w:t>Los elementos de la matriz de coeficientes se calculan de la siguiente forma</w:t>
      </w:r>
    </w:p>
    <w:tbl>
      <w:tblPr>
        <w:tblW w:w="0" w:type="auto"/>
        <w:tblInd w:w="212" w:type="dxa"/>
        <w:tblLayout w:type="fixed"/>
        <w:tblCellMar>
          <w:left w:w="70" w:type="dxa"/>
          <w:right w:w="70" w:type="dxa"/>
        </w:tblCellMar>
        <w:tblLook w:val="0000"/>
      </w:tblPr>
      <w:tblGrid>
        <w:gridCol w:w="2835"/>
        <w:gridCol w:w="444"/>
        <w:gridCol w:w="4517"/>
        <w:gridCol w:w="709"/>
      </w:tblGrid>
      <w:tr w:rsidR="00465411" w:rsidRPr="0036762B" w:rsidTr="007C69F6">
        <w:trPr>
          <w:cantSplit/>
        </w:trPr>
        <w:tc>
          <w:tcPr>
            <w:tcW w:w="2835" w:type="dxa"/>
            <w:vMerge w:val="restart"/>
            <w:vAlign w:val="center"/>
          </w:tcPr>
          <w:p w:rsidR="00465411" w:rsidRPr="004A70EA" w:rsidRDefault="00465411" w:rsidP="00465411">
            <w:pPr>
              <w:jc w:val="right"/>
              <w:rPr>
                <w:rFonts w:ascii="Cambria Math" w:hAnsi="Cambria Math"/>
              </w:rPr>
            </w:pPr>
            <w:proofErr w:type="spellStart"/>
            <w:r w:rsidRPr="004A70EA">
              <w:rPr>
                <w:rFonts w:ascii="Cambria Math" w:hAnsi="Cambria Math"/>
                <w:i/>
              </w:rPr>
              <w:t>a</w:t>
            </w:r>
            <w:r w:rsidRPr="004A70EA">
              <w:rPr>
                <w:rFonts w:ascii="Cambria Math" w:hAnsi="Cambria Math"/>
                <w:i/>
                <w:vertAlign w:val="subscript"/>
              </w:rPr>
              <w:t>ij</w:t>
            </w:r>
            <w:proofErr w:type="spellEnd"/>
          </w:p>
        </w:tc>
        <w:tc>
          <w:tcPr>
            <w:tcW w:w="444" w:type="dxa"/>
            <w:vMerge w:val="restart"/>
            <w:tcBorders>
              <w:left w:val="nil"/>
            </w:tcBorders>
            <w:vAlign w:val="center"/>
          </w:tcPr>
          <w:p w:rsidR="00465411" w:rsidRPr="004A70EA" w:rsidRDefault="00465411" w:rsidP="00465411">
            <w:pPr>
              <w:rPr>
                <w:rFonts w:ascii="Cambria Math" w:hAnsi="Cambria Math"/>
                <w:i/>
              </w:rPr>
            </w:pPr>
            <w:r w:rsidRPr="004A70EA">
              <w:rPr>
                <w:rFonts w:ascii="Cambria Math" w:hAnsi="Cambria Math"/>
              </w:rPr>
              <w:t>=</w:t>
            </w:r>
          </w:p>
        </w:tc>
        <w:tc>
          <w:tcPr>
            <w:tcW w:w="4517" w:type="dxa"/>
            <w:tcBorders>
              <w:right w:val="nil"/>
            </w:tcBorders>
          </w:tcPr>
          <w:p w:rsidR="00465411" w:rsidRPr="004A70EA" w:rsidRDefault="00465411" w:rsidP="00465411">
            <w:pPr>
              <w:rPr>
                <w:rFonts w:ascii="Cambria Math" w:hAnsi="Cambria Math"/>
                <w:i/>
              </w:rPr>
            </w:pPr>
            <w:proofErr w:type="spellStart"/>
            <w:r w:rsidRPr="004A70EA">
              <w:rPr>
                <w:rFonts w:ascii="Cambria Math" w:hAnsi="Cambria Math"/>
                <w:i/>
              </w:rPr>
              <w:t>x</w:t>
            </w:r>
            <w:r w:rsidRPr="004A70EA">
              <w:rPr>
                <w:rFonts w:ascii="Cambria Math" w:hAnsi="Cambria Math"/>
                <w:i/>
                <w:vertAlign w:val="subscript"/>
              </w:rPr>
              <w:t>ij</w:t>
            </w:r>
            <w:proofErr w:type="spellEnd"/>
          </w:p>
        </w:tc>
        <w:tc>
          <w:tcPr>
            <w:tcW w:w="709" w:type="dxa"/>
            <w:vMerge w:val="restart"/>
            <w:tcBorders>
              <w:left w:val="nil"/>
              <w:bottom w:val="nil"/>
            </w:tcBorders>
            <w:vAlign w:val="center"/>
          </w:tcPr>
          <w:p w:rsidR="00465411" w:rsidRPr="0036762B" w:rsidRDefault="00465411" w:rsidP="00465411">
            <w:pPr>
              <w:jc w:val="right"/>
              <w:rPr>
                <w:i/>
              </w:rPr>
            </w:pPr>
            <w:r>
              <w:rPr>
                <w:i/>
              </w:rPr>
              <w:t>(4</w:t>
            </w:r>
            <w:r w:rsidRPr="0036762B">
              <w:rPr>
                <w:i/>
              </w:rPr>
              <w:t>)</w:t>
            </w:r>
          </w:p>
        </w:tc>
      </w:tr>
      <w:tr w:rsidR="00465411" w:rsidRPr="0036762B" w:rsidTr="007C69F6">
        <w:trPr>
          <w:cantSplit/>
          <w:trHeight w:val="412"/>
        </w:trPr>
        <w:tc>
          <w:tcPr>
            <w:tcW w:w="2835" w:type="dxa"/>
            <w:vMerge/>
          </w:tcPr>
          <w:p w:rsidR="00465411" w:rsidRPr="004A70EA" w:rsidRDefault="00465411" w:rsidP="00465411">
            <w:pPr>
              <w:rPr>
                <w:rFonts w:ascii="Cambria Math" w:hAnsi="Cambria Math"/>
              </w:rPr>
            </w:pPr>
          </w:p>
        </w:tc>
        <w:tc>
          <w:tcPr>
            <w:tcW w:w="444" w:type="dxa"/>
            <w:vMerge/>
            <w:tcBorders>
              <w:left w:val="nil"/>
            </w:tcBorders>
          </w:tcPr>
          <w:p w:rsidR="00465411" w:rsidRPr="004A70EA" w:rsidRDefault="00465411" w:rsidP="00465411">
            <w:pPr>
              <w:rPr>
                <w:rFonts w:ascii="Cambria Math" w:hAnsi="Cambria Math"/>
                <w:i/>
              </w:rPr>
            </w:pPr>
          </w:p>
        </w:tc>
        <w:tc>
          <w:tcPr>
            <w:tcW w:w="4517" w:type="dxa"/>
            <w:tcBorders>
              <w:right w:val="nil"/>
            </w:tcBorders>
          </w:tcPr>
          <w:p w:rsidR="00465411" w:rsidRPr="004A70EA" w:rsidRDefault="00465411" w:rsidP="00465411">
            <w:pPr>
              <w:rPr>
                <w:rFonts w:ascii="Cambria Math" w:hAnsi="Cambria Math"/>
                <w:i/>
              </w:rPr>
            </w:pPr>
            <w:proofErr w:type="spellStart"/>
            <w:r w:rsidRPr="004A70EA">
              <w:rPr>
                <w:rFonts w:ascii="Cambria Math" w:hAnsi="Cambria Math"/>
                <w:i/>
              </w:rPr>
              <w:t>VBP</w:t>
            </w:r>
            <w:r w:rsidRPr="004A70EA">
              <w:rPr>
                <w:rFonts w:ascii="Cambria Math" w:hAnsi="Cambria Math"/>
                <w:i/>
                <w:vertAlign w:val="subscript"/>
              </w:rPr>
              <w:t>j</w:t>
            </w:r>
            <w:proofErr w:type="spellEnd"/>
          </w:p>
        </w:tc>
        <w:tc>
          <w:tcPr>
            <w:tcW w:w="709" w:type="dxa"/>
            <w:vMerge/>
            <w:tcBorders>
              <w:left w:val="nil"/>
            </w:tcBorders>
          </w:tcPr>
          <w:p w:rsidR="00465411" w:rsidRPr="0036762B" w:rsidRDefault="00465411" w:rsidP="00465411">
            <w:pPr>
              <w:rPr>
                <w:i/>
              </w:rPr>
            </w:pPr>
          </w:p>
        </w:tc>
      </w:tr>
    </w:tbl>
    <w:p w:rsidR="00465411" w:rsidRPr="0036762B" w:rsidRDefault="00465411" w:rsidP="00465411">
      <w:bookmarkStart w:id="101" w:name="InversaLeontief"/>
      <w:bookmarkEnd w:id="101"/>
      <w:r w:rsidRPr="0036762B">
        <w:t xml:space="preserve">La matriz </w:t>
      </w:r>
      <w:r w:rsidRPr="00AA2838">
        <w:t>(I-A)</w:t>
      </w:r>
      <w:r w:rsidRPr="00AA2838">
        <w:rPr>
          <w:vertAlign w:val="superscript"/>
        </w:rPr>
        <w:t>-1</w:t>
      </w:r>
      <w:r w:rsidRPr="0036762B">
        <w:t xml:space="preserve"> se denomina Inversa de </w:t>
      </w:r>
      <w:proofErr w:type="spellStart"/>
      <w:r w:rsidRPr="0036762B">
        <w:t>Leontief</w:t>
      </w:r>
      <w:proofErr w:type="spellEnd"/>
      <w:r w:rsidRPr="0036762B">
        <w:t xml:space="preserve"> y contiene los coeficientes de requerimientos tanto directos como indirectos de insumos entre los sectores. Esta matriz se considera relativamente estable en el tiempo por lo que la ecuación indica que si se tienen los valores de la demanda final se puede obtener la producción bruta requerida para satisfacer dicha demanda. Para calcular el VBP de cualquier año a partir de la demanda final, se tiene,</w:t>
      </w:r>
    </w:p>
    <w:tbl>
      <w:tblPr>
        <w:tblW w:w="8859" w:type="dxa"/>
        <w:tblLayout w:type="fixed"/>
        <w:tblCellMar>
          <w:left w:w="70" w:type="dxa"/>
          <w:right w:w="70" w:type="dxa"/>
        </w:tblCellMar>
        <w:tblLook w:val="0000"/>
      </w:tblPr>
      <w:tblGrid>
        <w:gridCol w:w="7725"/>
        <w:gridCol w:w="1134"/>
      </w:tblGrid>
      <w:tr w:rsidR="00465411" w:rsidRPr="0036762B" w:rsidTr="007C69F6">
        <w:tc>
          <w:tcPr>
            <w:tcW w:w="7725" w:type="dxa"/>
          </w:tcPr>
          <w:p w:rsidR="00465411" w:rsidRPr="00514918" w:rsidRDefault="00465411" w:rsidP="00465411">
            <w:pPr>
              <w:rPr>
                <w:lang w:val="en-US"/>
              </w:rPr>
            </w:pPr>
            <m:oMathPara>
              <m:oMathParaPr>
                <m:jc m:val="center"/>
              </m:oMathParaPr>
              <m:oMath>
                <m:r>
                  <m:rPr>
                    <m:sty m:val="p"/>
                  </m:rPr>
                  <w:rPr>
                    <w:rFonts w:ascii="Cambria Math"/>
                  </w:rPr>
                  <m:t>VB</m:t>
                </m:r>
                <m:sSub>
                  <m:sSubPr>
                    <m:ctrlPr>
                      <w:rPr>
                        <w:rFonts w:ascii="Cambria Math" w:hAnsi="Cambria Math"/>
                        <w:lang w:val="en-US"/>
                      </w:rPr>
                    </m:ctrlPr>
                  </m:sSubPr>
                  <m:e>
                    <m:r>
                      <m:rPr>
                        <m:sty m:val="p"/>
                      </m:rPr>
                      <w:rPr>
                        <w:rFonts w:ascii="Cambria Math"/>
                      </w:rPr>
                      <m:t>P</m:t>
                    </m:r>
                    <m:ctrlPr>
                      <w:rPr>
                        <w:rFonts w:ascii="Cambria Math" w:hAnsi="Cambria Math"/>
                      </w:rPr>
                    </m:ctrlPr>
                  </m:e>
                  <m:sub>
                    <m:r>
                      <m:rPr>
                        <m:sty m:val="p"/>
                      </m:rPr>
                      <w:rPr>
                        <w:rFonts w:ascii="Cambria Math"/>
                      </w:rPr>
                      <m:t>t</m:t>
                    </m:r>
                  </m:sub>
                </m:sSub>
                <m:r>
                  <w:rPr>
                    <w:rFonts w:asci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m:rPr>
                            <m:sty m:val="p"/>
                          </m:rPr>
                          <w:rPr>
                            <w:rFonts w:ascii="Cambria Math"/>
                            <w:lang w:val="en-US"/>
                          </w:rPr>
                          <m:t>I</m:t>
                        </m:r>
                        <m:r>
                          <m:rPr>
                            <m:sty m:val="p"/>
                          </m:rPr>
                          <w:rPr>
                            <w:rFonts w:ascii="Cambria Math"/>
                            <w:lang w:val="en-US"/>
                          </w:rPr>
                          <m:t>-</m:t>
                        </m:r>
                        <m:r>
                          <m:rPr>
                            <m:sty m:val="p"/>
                          </m:rPr>
                          <w:rPr>
                            <w:rFonts w:ascii="Cambria Math"/>
                            <w:lang w:val="en-US"/>
                          </w:rPr>
                          <m:t>A</m:t>
                        </m:r>
                      </m:e>
                    </m:d>
                  </m:e>
                  <m:sup>
                    <m:r>
                      <w:rPr>
                        <w:rFonts w:ascii="Cambria Math" w:hAnsi="Cambria Math"/>
                        <w:lang w:val="en-US"/>
                      </w:rPr>
                      <m:t>-</m:t>
                    </m:r>
                    <m:r>
                      <w:rPr>
                        <w:rFonts w:ascii="Cambria Math"/>
                        <w:lang w:val="en-US"/>
                      </w:rPr>
                      <m:t>1</m:t>
                    </m:r>
                  </m:sup>
                </m:sSup>
                <m:r>
                  <m:rPr>
                    <m:sty m:val="p"/>
                  </m:rPr>
                  <w:rPr>
                    <w:rFonts w:ascii="Cambria Math"/>
                    <w:lang w:val="en-US"/>
                  </w:rPr>
                  <m:t>D</m:t>
                </m:r>
                <m:sSub>
                  <m:sSubPr>
                    <m:ctrlPr>
                      <w:rPr>
                        <w:rFonts w:ascii="Cambria Math" w:hAnsi="Cambria Math"/>
                        <w:lang w:val="en-US"/>
                      </w:rPr>
                    </m:ctrlPr>
                  </m:sSubPr>
                  <m:e>
                    <m:r>
                      <m:rPr>
                        <m:sty m:val="p"/>
                      </m:rPr>
                      <w:rPr>
                        <w:rFonts w:ascii="Cambria Math"/>
                        <w:lang w:val="en-US"/>
                      </w:rPr>
                      <m:t>F</m:t>
                    </m:r>
                  </m:e>
                  <m:sub>
                    <m:r>
                      <m:rPr>
                        <m:sty m:val="p"/>
                      </m:rPr>
                      <w:rPr>
                        <w:rFonts w:ascii="Cambria Math"/>
                        <w:lang w:val="en-US"/>
                      </w:rPr>
                      <m:t>t</m:t>
                    </m:r>
                  </m:sub>
                </m:sSub>
              </m:oMath>
            </m:oMathPara>
          </w:p>
        </w:tc>
        <w:tc>
          <w:tcPr>
            <w:tcW w:w="1134" w:type="dxa"/>
            <w:vAlign w:val="center"/>
          </w:tcPr>
          <w:p w:rsidR="00465411" w:rsidRPr="0036762B" w:rsidRDefault="002D7E4D" w:rsidP="00465411">
            <w:pPr>
              <w:jc w:val="right"/>
              <w:rPr>
                <w:i/>
              </w:rPr>
            </w:pPr>
            <w:r>
              <w:rPr>
                <w:i/>
              </w:rPr>
              <w:t xml:space="preserve"> </w:t>
            </w:r>
            <w:r w:rsidR="00465411">
              <w:rPr>
                <w:i/>
              </w:rPr>
              <w:t>(5</w:t>
            </w:r>
            <w:r w:rsidR="00465411" w:rsidRPr="0036762B">
              <w:rPr>
                <w:i/>
              </w:rPr>
              <w:t>)</w:t>
            </w:r>
          </w:p>
        </w:tc>
      </w:tr>
    </w:tbl>
    <w:p w:rsidR="00465411" w:rsidRPr="002D57BF" w:rsidRDefault="00465411" w:rsidP="00465411">
      <w:pPr>
        <w:rPr>
          <w:bCs/>
        </w:rPr>
      </w:pPr>
      <w:r w:rsidRPr="002D57BF">
        <w:rPr>
          <w:bCs/>
        </w:rPr>
        <w:t>La suma</w:t>
      </w:r>
      <w:r>
        <w:rPr>
          <w:bCs/>
        </w:rPr>
        <w:t xml:space="preserve"> vertical de los elementos de la matriz inversa de </w:t>
      </w:r>
      <w:proofErr w:type="spellStart"/>
      <w:r>
        <w:rPr>
          <w:bCs/>
        </w:rPr>
        <w:t>Leontief</w:t>
      </w:r>
      <w:proofErr w:type="spellEnd"/>
      <w:r>
        <w:rPr>
          <w:bCs/>
        </w:rPr>
        <w:t xml:space="preserve"> expresa de manera acumulada los efectos directos e indirectos de incrementar la demanda final en una unidad. Es decir que indican cuál es el efecto multiplicador sobre la producción, del incremento en la demanda debido al jalonamiento de demandas intersectoriales de insumos. </w:t>
      </w:r>
    </w:p>
    <w:p w:rsidR="00465411" w:rsidRDefault="00465411" w:rsidP="00465411">
      <w:r>
        <w:t>Por otra parte se puede descomponer el Valor Bruto de la Producción desde el punto de vista de sus costos de la siguiente forma:</w:t>
      </w:r>
    </w:p>
    <w:p w:rsidR="00465411" w:rsidRPr="004A70EA" w:rsidRDefault="00465411" w:rsidP="002D7E4D">
      <w:pPr>
        <w:ind w:left="708" w:firstLine="708"/>
        <w:jc w:val="center"/>
        <w:rPr>
          <w:rFonts w:ascii="Cambria Math" w:hAnsi="Cambria Math"/>
        </w:rPr>
      </w:pPr>
      <w:proofErr w:type="spellStart"/>
      <w:r w:rsidRPr="004A70EA">
        <w:rPr>
          <w:rFonts w:ascii="Cambria Math" w:hAnsi="Cambria Math"/>
        </w:rPr>
        <w:t>VBP</w:t>
      </w:r>
      <w:r w:rsidRPr="004A70EA">
        <w:rPr>
          <w:rFonts w:ascii="Cambria Math" w:hAnsi="Cambria Math"/>
          <w:vertAlign w:val="subscript"/>
        </w:rPr>
        <w:t>j</w:t>
      </w:r>
      <w:proofErr w:type="spellEnd"/>
      <w:r w:rsidRPr="004A70EA">
        <w:rPr>
          <w:rFonts w:ascii="Cambria Math" w:hAnsi="Cambria Math"/>
        </w:rPr>
        <w:t xml:space="preserve"> = </w:t>
      </w:r>
      <w:proofErr w:type="spellStart"/>
      <w:r w:rsidRPr="004A70EA">
        <w:rPr>
          <w:rFonts w:ascii="Cambria Math" w:hAnsi="Cambria Math"/>
        </w:rPr>
        <w:t>CI</w:t>
      </w:r>
      <w:r w:rsidRPr="004A70EA">
        <w:rPr>
          <w:rFonts w:ascii="Cambria Math" w:hAnsi="Cambria Math"/>
          <w:vertAlign w:val="subscript"/>
        </w:rPr>
        <w:t>j</w:t>
      </w:r>
      <w:proofErr w:type="spellEnd"/>
      <w:r w:rsidRPr="004A70EA">
        <w:rPr>
          <w:rFonts w:ascii="Cambria Math" w:hAnsi="Cambria Math"/>
        </w:rPr>
        <w:t xml:space="preserve"> +</w:t>
      </w:r>
      <w:proofErr w:type="spellStart"/>
      <w:r w:rsidRPr="004A70EA">
        <w:rPr>
          <w:rFonts w:ascii="Cambria Math" w:hAnsi="Cambria Math"/>
        </w:rPr>
        <w:t>RA</w:t>
      </w:r>
      <w:r w:rsidRPr="004A70EA">
        <w:rPr>
          <w:rFonts w:ascii="Cambria Math" w:hAnsi="Cambria Math"/>
          <w:vertAlign w:val="subscript"/>
        </w:rPr>
        <w:t>j</w:t>
      </w:r>
      <w:proofErr w:type="spellEnd"/>
      <w:r w:rsidRPr="004A70EA">
        <w:rPr>
          <w:rFonts w:ascii="Cambria Math" w:hAnsi="Cambria Math"/>
        </w:rPr>
        <w:t xml:space="preserve"> +</w:t>
      </w:r>
      <w:proofErr w:type="spellStart"/>
      <w:r w:rsidRPr="004A70EA">
        <w:rPr>
          <w:rFonts w:ascii="Cambria Math" w:hAnsi="Cambria Math"/>
        </w:rPr>
        <w:t>IM</w:t>
      </w:r>
      <w:r w:rsidRPr="004A70EA">
        <w:rPr>
          <w:rFonts w:ascii="Cambria Math" w:hAnsi="Cambria Math"/>
          <w:vertAlign w:val="subscript"/>
        </w:rPr>
        <w:t>j</w:t>
      </w:r>
      <w:proofErr w:type="spellEnd"/>
      <w:r w:rsidRPr="004A70EA">
        <w:rPr>
          <w:rFonts w:ascii="Cambria Math" w:hAnsi="Cambria Math"/>
        </w:rPr>
        <w:t xml:space="preserve"> + </w:t>
      </w:r>
      <w:proofErr w:type="spellStart"/>
      <w:r w:rsidRPr="004A70EA">
        <w:rPr>
          <w:rFonts w:ascii="Cambria Math" w:hAnsi="Cambria Math"/>
        </w:rPr>
        <w:t>EBE</w:t>
      </w:r>
      <w:r w:rsidRPr="004A70EA">
        <w:rPr>
          <w:rFonts w:ascii="Cambria Math" w:hAnsi="Cambria Math"/>
          <w:vertAlign w:val="subscript"/>
        </w:rPr>
        <w:t>j</w:t>
      </w:r>
      <w:proofErr w:type="spellEnd"/>
      <w:r w:rsidRPr="004A70EA">
        <w:rPr>
          <w:rFonts w:ascii="Cambria Math" w:hAnsi="Cambria Math"/>
        </w:rPr>
        <w:t xml:space="preserve"> + </w:t>
      </w:r>
      <w:proofErr w:type="spellStart"/>
      <w:r w:rsidRPr="004A70EA">
        <w:rPr>
          <w:rFonts w:ascii="Cambria Math" w:hAnsi="Cambria Math"/>
        </w:rPr>
        <w:t>II</w:t>
      </w:r>
      <w:r w:rsidRPr="004A70EA">
        <w:rPr>
          <w:rFonts w:ascii="Cambria Math" w:hAnsi="Cambria Math"/>
          <w:vertAlign w:val="subscript"/>
        </w:rPr>
        <w:t>j</w:t>
      </w:r>
      <w:proofErr w:type="spellEnd"/>
      <w:r w:rsidRPr="004A70EA">
        <w:rPr>
          <w:rFonts w:ascii="Cambria Math" w:hAnsi="Cambria Math"/>
        </w:rPr>
        <w:t xml:space="preserve"> = </w:t>
      </w:r>
      <w:proofErr w:type="spellStart"/>
      <w:r w:rsidRPr="004A70EA">
        <w:rPr>
          <w:rFonts w:ascii="Cambria Math" w:hAnsi="Cambria Math"/>
        </w:rPr>
        <w:t>CI</w:t>
      </w:r>
      <w:r w:rsidRPr="004A70EA">
        <w:rPr>
          <w:rFonts w:ascii="Cambria Math" w:hAnsi="Cambria Math"/>
          <w:vertAlign w:val="subscript"/>
        </w:rPr>
        <w:t>j</w:t>
      </w:r>
      <w:proofErr w:type="spellEnd"/>
      <w:r w:rsidRPr="004A70EA">
        <w:rPr>
          <w:rFonts w:ascii="Cambria Math" w:hAnsi="Cambria Math"/>
        </w:rPr>
        <w:t xml:space="preserve"> +</w:t>
      </w:r>
      <w:proofErr w:type="spellStart"/>
      <w:r w:rsidRPr="004A70EA">
        <w:rPr>
          <w:rFonts w:ascii="Cambria Math" w:hAnsi="Cambria Math"/>
        </w:rPr>
        <w:t>VA</w:t>
      </w:r>
      <w:r w:rsidRPr="004A70EA">
        <w:rPr>
          <w:rFonts w:ascii="Cambria Math" w:hAnsi="Cambria Math"/>
          <w:vertAlign w:val="subscript"/>
        </w:rPr>
        <w:t>j</w:t>
      </w:r>
      <w:proofErr w:type="spellEnd"/>
      <w:r w:rsidR="004C65E3">
        <w:rPr>
          <w:rFonts w:ascii="Cambria Math" w:hAnsi="Cambria Math"/>
          <w:vertAlign w:val="subscript"/>
        </w:rPr>
        <w:t xml:space="preserve">                                                       </w:t>
      </w:r>
      <w:r w:rsidR="002D7E4D">
        <w:rPr>
          <w:rFonts w:ascii="Cambria Math" w:hAnsi="Cambria Math"/>
          <w:vertAlign w:val="subscript"/>
        </w:rPr>
        <w:t xml:space="preserve">    </w:t>
      </w:r>
      <w:r w:rsidR="004C65E3">
        <w:rPr>
          <w:i/>
        </w:rPr>
        <w:t>(6</w:t>
      </w:r>
      <w:r w:rsidR="004C65E3" w:rsidRPr="0036762B">
        <w:rPr>
          <w:i/>
        </w:rPr>
        <w:t>)</w:t>
      </w:r>
    </w:p>
    <w:p w:rsidR="00465411" w:rsidRPr="002D57BF" w:rsidRDefault="00465411" w:rsidP="00465411">
      <w:pPr>
        <w:rPr>
          <w:lang w:val="es-CO"/>
        </w:rPr>
      </w:pPr>
      <w:r>
        <w:t xml:space="preserve">Los coeficientes que expresan el impacto directo e indirecto de un incremento en una unidad de demanda sobre el total de  la economía se obtienen de sumar cada columna de la </w:t>
      </w:r>
      <w:r w:rsidRPr="00AA2838">
        <w:t xml:space="preserve">matriz </w:t>
      </w:r>
      <m:oMath>
        <m:sSup>
          <m:sSupPr>
            <m:ctrlPr>
              <w:rPr>
                <w:rFonts w:ascii="Cambria Math" w:hAnsi="Cambria Math"/>
                <w:i/>
                <w:lang w:val="en-US"/>
              </w:rPr>
            </m:ctrlPr>
          </m:sSupPr>
          <m:e>
            <m:d>
              <m:dPr>
                <m:ctrlPr>
                  <w:rPr>
                    <w:rFonts w:ascii="Cambria Math" w:hAnsi="Cambria Math"/>
                    <w:i/>
                    <w:lang w:val="en-US"/>
                  </w:rPr>
                </m:ctrlPr>
              </m:dPr>
              <m:e>
                <m:r>
                  <m:rPr>
                    <m:sty m:val="p"/>
                  </m:rPr>
                  <w:rPr>
                    <w:rFonts w:ascii="Cambria Math" w:hAnsi="Cambria Math"/>
                    <w:lang w:val="es-CO"/>
                  </w:rPr>
                  <m:t>I-A</m:t>
                </m:r>
              </m:e>
            </m:d>
          </m:e>
          <m:sup>
            <m:r>
              <w:rPr>
                <w:rFonts w:ascii="Cambria Math" w:hAnsi="Cambria Math"/>
                <w:lang w:val="es-CO"/>
              </w:rPr>
              <m:t>-1</m:t>
            </m:r>
          </m:sup>
        </m:sSup>
      </m:oMath>
      <w:r w:rsidRPr="002D57BF">
        <w:rPr>
          <w:lang w:val="es-CO"/>
        </w:rPr>
        <w:t xml:space="preserve"> o lo que es igual premultipilcarla por un vector de </w:t>
      </w:r>
      <w:r w:rsidRPr="00AA2838">
        <w:rPr>
          <w:lang w:val="es-CO"/>
        </w:rPr>
        <w:t>1</w:t>
      </w:r>
      <w:r>
        <w:rPr>
          <w:lang w:val="es-CO"/>
        </w:rPr>
        <w:t>s</w:t>
      </w:r>
    </w:p>
    <w:p w:rsidR="004C65E3" w:rsidRPr="004A70EA" w:rsidRDefault="00465411" w:rsidP="004C65E3">
      <w:pPr>
        <w:ind w:left="2124" w:firstLine="708"/>
        <w:jc w:val="center"/>
        <w:rPr>
          <w:rFonts w:ascii="Cambria Math" w:hAnsi="Cambria Math"/>
        </w:rPr>
      </w:pPr>
      <m:oMath>
        <m:r>
          <w:rPr>
            <w:rFonts w:ascii="Cambria Math" w:hAnsi="Cambria Math"/>
            <w:lang w:val="es-CO"/>
          </w:rPr>
          <m:t>impacto=1'</m:t>
        </m:r>
        <m:sSup>
          <m:sSupPr>
            <m:ctrlPr>
              <w:rPr>
                <w:rFonts w:ascii="Cambria Math" w:hAnsi="Cambria Math"/>
                <w:i/>
                <w:lang w:val="en-US"/>
              </w:rPr>
            </m:ctrlPr>
          </m:sSupPr>
          <m:e>
            <m:d>
              <m:dPr>
                <m:ctrlPr>
                  <w:rPr>
                    <w:rFonts w:ascii="Cambria Math" w:hAnsi="Cambria Math"/>
                    <w:i/>
                    <w:lang w:val="en-US"/>
                  </w:rPr>
                </m:ctrlPr>
              </m:dPr>
              <m:e>
                <m:r>
                  <m:rPr>
                    <m:sty m:val="p"/>
                  </m:rPr>
                  <w:rPr>
                    <w:rFonts w:ascii="Cambria Math" w:hAnsi="Cambria Math"/>
                    <w:lang w:val="es-CO"/>
                  </w:rPr>
                  <m:t>I-A</m:t>
                </m:r>
              </m:e>
            </m:d>
          </m:e>
          <m:sup>
            <m:r>
              <w:rPr>
                <w:rFonts w:ascii="Cambria Math" w:hAnsi="Cambria Math"/>
                <w:lang w:val="es-CO"/>
              </w:rPr>
              <m:t>-1</m:t>
            </m:r>
          </m:sup>
        </m:sSup>
      </m:oMath>
      <w:r w:rsidR="004C65E3" w:rsidRPr="004C65E3">
        <w:rPr>
          <w:lang w:val="es-CO"/>
        </w:rPr>
        <w:t xml:space="preserve"> </w:t>
      </w:r>
      <w:r w:rsidR="004C65E3">
        <w:rPr>
          <w:lang w:val="es-CO"/>
        </w:rPr>
        <w:tab/>
      </w:r>
      <w:r w:rsidR="004C65E3">
        <w:rPr>
          <w:lang w:val="es-CO"/>
        </w:rPr>
        <w:tab/>
      </w:r>
      <w:r w:rsidR="004C65E3">
        <w:rPr>
          <w:lang w:val="es-CO"/>
        </w:rPr>
        <w:tab/>
      </w:r>
      <w:r w:rsidR="004C65E3">
        <w:rPr>
          <w:lang w:val="es-CO"/>
        </w:rPr>
        <w:tab/>
      </w:r>
      <w:r w:rsidR="004C65E3">
        <w:rPr>
          <w:lang w:val="es-CO"/>
        </w:rPr>
        <w:tab/>
      </w:r>
      <w:r w:rsidR="004C65E3">
        <w:rPr>
          <w:i/>
        </w:rPr>
        <w:t>(7</w:t>
      </w:r>
      <w:r w:rsidR="004C65E3" w:rsidRPr="0036762B">
        <w:rPr>
          <w:i/>
        </w:rPr>
        <w:t>)</w:t>
      </w:r>
    </w:p>
    <w:p w:rsidR="00465411" w:rsidRDefault="00465411" w:rsidP="00465411">
      <w:pPr>
        <w:rPr>
          <w:lang w:val="es-CO"/>
        </w:rPr>
      </w:pPr>
      <w:r w:rsidRPr="00C76F73">
        <w:rPr>
          <w:lang w:val="es-CO"/>
        </w:rPr>
        <w:t>Para el an</w:t>
      </w:r>
      <w:r w:rsidRPr="00C51B3E">
        <w:rPr>
          <w:lang w:val="es-CO"/>
        </w:rPr>
        <w:t>ál</w:t>
      </w:r>
      <w:r>
        <w:rPr>
          <w:lang w:val="es-CO"/>
        </w:rPr>
        <w:t>isis</w:t>
      </w:r>
      <w:r w:rsidRPr="00C76F73">
        <w:rPr>
          <w:lang w:val="es-CO"/>
        </w:rPr>
        <w:t xml:space="preserve"> sectorial</w:t>
      </w:r>
      <w:r>
        <w:rPr>
          <w:lang w:val="es-CO"/>
        </w:rPr>
        <w:t>,</w:t>
      </w:r>
      <w:r w:rsidRPr="00C76F73">
        <w:rPr>
          <w:lang w:val="es-CO"/>
        </w:rPr>
        <w:t xml:space="preserve"> los 62 sectores de </w:t>
      </w:r>
      <w:r w:rsidRPr="00C51B3E">
        <w:rPr>
          <w:lang w:val="es-CO"/>
        </w:rPr>
        <w:t xml:space="preserve">la matriz se Insumo-Producto </w:t>
      </w:r>
      <w:r>
        <w:rPr>
          <w:lang w:val="es-CO"/>
        </w:rPr>
        <w:t>calculada por el</w:t>
      </w:r>
      <w:r w:rsidRPr="00C76F73">
        <w:rPr>
          <w:lang w:val="es-CO"/>
        </w:rPr>
        <w:t xml:space="preserve"> DANE </w:t>
      </w:r>
      <w:r>
        <w:rPr>
          <w:lang w:val="es-CO"/>
        </w:rPr>
        <w:t>se agregó en diez sectores, uno de los cuales es el sector de Telecomunicaciones y Correos. Los sectores considerados fueron los siguientes:</w:t>
      </w:r>
    </w:p>
    <w:p w:rsidR="00465411" w:rsidRDefault="00465411" w:rsidP="00465411">
      <w:pPr>
        <w:pStyle w:val="Prrafodelista"/>
        <w:numPr>
          <w:ilvl w:val="0"/>
          <w:numId w:val="46"/>
        </w:numPr>
        <w:rPr>
          <w:lang w:val="es-CO"/>
        </w:rPr>
      </w:pPr>
      <w:r>
        <w:rPr>
          <w:lang w:val="es-CO"/>
        </w:rPr>
        <w:t>Comercio, hoteles y restaurantes</w:t>
      </w:r>
    </w:p>
    <w:p w:rsidR="00465411" w:rsidRDefault="00465411" w:rsidP="00465411">
      <w:pPr>
        <w:pStyle w:val="Prrafodelista"/>
        <w:numPr>
          <w:ilvl w:val="0"/>
          <w:numId w:val="46"/>
        </w:numPr>
        <w:rPr>
          <w:lang w:val="es-CO"/>
        </w:rPr>
      </w:pPr>
      <w:r>
        <w:rPr>
          <w:lang w:val="es-CO"/>
        </w:rPr>
        <w:t>Minería y Petróleo</w:t>
      </w:r>
    </w:p>
    <w:p w:rsidR="00465411" w:rsidRDefault="00465411" w:rsidP="00465411">
      <w:pPr>
        <w:pStyle w:val="Prrafodelista"/>
        <w:numPr>
          <w:ilvl w:val="0"/>
          <w:numId w:val="46"/>
        </w:numPr>
        <w:rPr>
          <w:lang w:val="es-CO"/>
        </w:rPr>
      </w:pPr>
      <w:r>
        <w:rPr>
          <w:lang w:val="es-CO"/>
        </w:rPr>
        <w:t>Servicios privados y a las empresas</w:t>
      </w:r>
    </w:p>
    <w:p w:rsidR="00465411" w:rsidRDefault="00465411" w:rsidP="00465411">
      <w:pPr>
        <w:pStyle w:val="Prrafodelista"/>
        <w:numPr>
          <w:ilvl w:val="0"/>
          <w:numId w:val="46"/>
        </w:numPr>
        <w:rPr>
          <w:lang w:val="es-CO"/>
        </w:rPr>
      </w:pPr>
      <w:r>
        <w:rPr>
          <w:lang w:val="es-CO"/>
        </w:rPr>
        <w:t>Gobierno, Servicios Públicos y otros servicios sociales</w:t>
      </w:r>
    </w:p>
    <w:p w:rsidR="00465411" w:rsidRDefault="00465411" w:rsidP="00465411">
      <w:pPr>
        <w:pStyle w:val="Prrafodelista"/>
        <w:numPr>
          <w:ilvl w:val="0"/>
          <w:numId w:val="46"/>
        </w:numPr>
        <w:rPr>
          <w:lang w:val="es-CO"/>
        </w:rPr>
      </w:pPr>
      <w:r>
        <w:rPr>
          <w:lang w:val="es-CO"/>
        </w:rPr>
        <w:t>Actividades Agropecuarias</w:t>
      </w:r>
    </w:p>
    <w:p w:rsidR="00465411" w:rsidRDefault="00465411" w:rsidP="00465411">
      <w:pPr>
        <w:pStyle w:val="Prrafodelista"/>
        <w:numPr>
          <w:ilvl w:val="0"/>
          <w:numId w:val="46"/>
        </w:numPr>
        <w:rPr>
          <w:lang w:val="es-CO"/>
        </w:rPr>
      </w:pPr>
      <w:r>
        <w:rPr>
          <w:lang w:val="es-CO"/>
        </w:rPr>
        <w:t>Transporte</w:t>
      </w:r>
    </w:p>
    <w:p w:rsidR="00465411" w:rsidRDefault="00465411" w:rsidP="00465411">
      <w:pPr>
        <w:pStyle w:val="Prrafodelista"/>
        <w:numPr>
          <w:ilvl w:val="0"/>
          <w:numId w:val="46"/>
        </w:numPr>
        <w:rPr>
          <w:lang w:val="es-CO"/>
        </w:rPr>
      </w:pPr>
      <w:r>
        <w:rPr>
          <w:lang w:val="es-CO"/>
        </w:rPr>
        <w:t>Telecomunicaciones y correos</w:t>
      </w:r>
    </w:p>
    <w:p w:rsidR="00465411" w:rsidRDefault="00465411" w:rsidP="00465411">
      <w:pPr>
        <w:pStyle w:val="Prrafodelista"/>
        <w:numPr>
          <w:ilvl w:val="0"/>
          <w:numId w:val="46"/>
        </w:numPr>
        <w:rPr>
          <w:lang w:val="es-CO"/>
        </w:rPr>
      </w:pPr>
      <w:r>
        <w:rPr>
          <w:lang w:val="es-CO"/>
        </w:rPr>
        <w:t>Industria pesada</w:t>
      </w:r>
    </w:p>
    <w:p w:rsidR="00465411" w:rsidRDefault="00465411" w:rsidP="00465411">
      <w:pPr>
        <w:pStyle w:val="Prrafodelista"/>
        <w:numPr>
          <w:ilvl w:val="0"/>
          <w:numId w:val="46"/>
        </w:numPr>
        <w:rPr>
          <w:lang w:val="es-CO"/>
        </w:rPr>
      </w:pPr>
      <w:r>
        <w:rPr>
          <w:lang w:val="es-CO"/>
        </w:rPr>
        <w:lastRenderedPageBreak/>
        <w:t>Construcción y obras públicas</w:t>
      </w:r>
    </w:p>
    <w:p w:rsidR="00465411" w:rsidRDefault="00465411" w:rsidP="00465411">
      <w:pPr>
        <w:pStyle w:val="Prrafodelista"/>
        <w:numPr>
          <w:ilvl w:val="0"/>
          <w:numId w:val="46"/>
        </w:numPr>
        <w:rPr>
          <w:lang w:val="es-CO"/>
        </w:rPr>
      </w:pPr>
      <w:r>
        <w:rPr>
          <w:lang w:val="es-CO"/>
        </w:rPr>
        <w:t>Industria liviana</w:t>
      </w:r>
    </w:p>
    <w:p w:rsidR="00465411" w:rsidRPr="00C76F73" w:rsidRDefault="00465411" w:rsidP="00465411">
      <w:pPr>
        <w:rPr>
          <w:lang w:val="es-CO"/>
        </w:rPr>
      </w:pPr>
      <w:r>
        <w:rPr>
          <w:lang w:val="es-CO"/>
        </w:rPr>
        <w:t>A continuación se describen los resultados obtenidos del análisis sectorial.</w:t>
      </w:r>
    </w:p>
    <w:p w:rsidR="00465411" w:rsidRPr="001F32B1" w:rsidRDefault="00465411" w:rsidP="001F32B1">
      <w:pPr>
        <w:pStyle w:val="Ttulo3"/>
        <w:rPr>
          <w:sz w:val="26"/>
          <w:szCs w:val="26"/>
        </w:rPr>
      </w:pPr>
      <w:r w:rsidRPr="001F32B1">
        <w:rPr>
          <w:sz w:val="26"/>
          <w:szCs w:val="26"/>
        </w:rPr>
        <w:t>Resultados del análisis</w:t>
      </w:r>
    </w:p>
    <w:p w:rsidR="00465411" w:rsidRPr="008D7B15" w:rsidRDefault="00465411" w:rsidP="00465411">
      <w:pPr>
        <w:pStyle w:val="Ttulo3"/>
        <w:numPr>
          <w:ilvl w:val="0"/>
          <w:numId w:val="0"/>
        </w:numPr>
      </w:pPr>
      <w:r>
        <w:t>c1. Tendencias de crecimiento del PIB sectorial</w:t>
      </w:r>
    </w:p>
    <w:p w:rsidR="00465411" w:rsidRDefault="00465411" w:rsidP="00465411">
      <w:pPr>
        <w:rPr>
          <w:lang w:eastAsia="es-ES"/>
        </w:rPr>
      </w:pPr>
      <w:r>
        <w:rPr>
          <w:lang w:eastAsia="es-ES"/>
        </w:rPr>
        <w:t xml:space="preserve">A la fecha, el DANE ya ha publicado la información desagregada de las matrices de oferta y utilización que sirven de base para construir la matriz de insumo-producto (matriz I-P) para los años 2005-2011 a nivel de los 62 sectores de actividad económica incorporados en las matrices de insumo producto; y ha publicado la estimación del PIB trimestral por sectores hasta el IV trimestre del año 2013. Con esta información se puede calcular el impacto macroeconómico de la actividad del sector de TIC sobre el resto de la economía. </w:t>
      </w:r>
    </w:p>
    <w:p w:rsidR="00465411" w:rsidRDefault="00465411" w:rsidP="00465411">
      <w:pPr>
        <w:rPr>
          <w:b/>
        </w:rPr>
      </w:pPr>
      <w:r>
        <w:rPr>
          <w:lang w:eastAsia="es-ES"/>
        </w:rPr>
        <w:t>La figura</w:t>
      </w:r>
      <w:r w:rsidR="00437235">
        <w:rPr>
          <w:lang w:eastAsia="es-ES"/>
        </w:rPr>
        <w:t xml:space="preserve"> 2</w:t>
      </w:r>
      <w:r>
        <w:rPr>
          <w:lang w:eastAsia="es-ES"/>
        </w:rPr>
        <w:t xml:space="preserve">.1 muestra la evolución trimestral del PIB del Sector de Telecomunicaciones y Correos entre los años 2000 y 2013, el cual muestra un  crecimiento importante durante todo el período analizado. Dos períodos tienen un especial interés para esta investigación: (i) El periodo 2005-2009, que coincide con la fuerte expansión de la telefonía móvil, en el cual la tasa de crecimiento del PIB sectorial se acelera; y (ii) el periodo 2011 – 2013, que coincide con el inicio del Plan Vive Digital, en el cual, luego de un periodo de transición que se extiende desde mediados del 2009 hasta finales del 2010, se reasume un crecimiento moderado con fluctuaciones estacionales, inferior al observado en el período anterior. Estos valores agregados sugieren una primera conclusión: que la expansión de la telefonía móvil tuvo un efecto más significativo sobre la dinámica del sector que el Plan Vive Digital en sus primeros tres años de operación. </w:t>
      </w:r>
    </w:p>
    <w:p w:rsidR="00465411" w:rsidRPr="005A4439" w:rsidRDefault="00465411" w:rsidP="00465411">
      <w:pPr>
        <w:pStyle w:val="T-Figura"/>
      </w:pPr>
      <w:r>
        <w:lastRenderedPageBreak/>
        <w:t>Figura</w:t>
      </w:r>
      <w:r w:rsidR="00437235">
        <w:t xml:space="preserve"> 2.</w:t>
      </w:r>
      <w:r>
        <w:t xml:space="preserve">1 - </w:t>
      </w:r>
      <w:r w:rsidRPr="005A4439">
        <w:t>PIB del Sector de Telecomunicaciones y Correo</w:t>
      </w:r>
    </w:p>
    <w:p w:rsidR="00465411" w:rsidRDefault="00465411" w:rsidP="00465411">
      <w:pPr>
        <w:tabs>
          <w:tab w:val="left" w:pos="3645"/>
          <w:tab w:val="center" w:pos="4419"/>
        </w:tabs>
        <w:jc w:val="center"/>
      </w:pPr>
      <w:r w:rsidRPr="00D6762E">
        <w:rPr>
          <w:b/>
          <w:noProof/>
          <w:lang w:val="es-CO" w:eastAsia="es-CO"/>
        </w:rPr>
        <w:drawing>
          <wp:inline distT="0" distB="0" distL="0" distR="0">
            <wp:extent cx="4965405" cy="2828260"/>
            <wp:effectExtent l="0" t="0" r="6985" b="0"/>
            <wp:docPr id="45" name="Grá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465411" w:rsidRPr="005A4439" w:rsidRDefault="00465411" w:rsidP="00465411">
      <w:pPr>
        <w:pStyle w:val="PiedeCuadro"/>
        <w:rPr>
          <w:sz w:val="20"/>
        </w:rPr>
      </w:pPr>
      <w:r w:rsidRPr="005A4439">
        <w:rPr>
          <w:sz w:val="20"/>
        </w:rPr>
        <w:t>Fuente: DANE</w:t>
      </w:r>
    </w:p>
    <w:p w:rsidR="00465411" w:rsidRPr="00651C01" w:rsidRDefault="00437235" w:rsidP="00465411">
      <w:pPr>
        <w:pStyle w:val="T-Figura"/>
      </w:pPr>
      <w:r w:rsidRPr="00D72C10">
        <w:t>Figura</w:t>
      </w:r>
      <w:r w:rsidR="00465411" w:rsidRPr="00D72C10">
        <w:t xml:space="preserve"> </w:t>
      </w:r>
      <w:r>
        <w:t>2</w:t>
      </w:r>
      <w:r w:rsidR="00465411" w:rsidRPr="00651C01">
        <w:t>.2</w:t>
      </w:r>
      <w:r w:rsidR="00465411">
        <w:t xml:space="preserve"> - </w:t>
      </w:r>
      <w:r w:rsidR="00465411" w:rsidRPr="00651C01">
        <w:t>Participación del PIB del Sector de Telecomunicaciones y Correo sobre el PIB Total</w:t>
      </w:r>
    </w:p>
    <w:p w:rsidR="00465411" w:rsidRDefault="00465411" w:rsidP="00465411">
      <w:pPr>
        <w:jc w:val="center"/>
      </w:pPr>
      <w:r>
        <w:rPr>
          <w:noProof/>
          <w:lang w:val="es-CO" w:eastAsia="es-CO"/>
        </w:rPr>
        <w:drawing>
          <wp:inline distT="0" distB="0" distL="0" distR="0">
            <wp:extent cx="4688958" cy="2743200"/>
            <wp:effectExtent l="0" t="0" r="0" b="0"/>
            <wp:docPr id="46" name="Gráfico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465411" w:rsidRPr="005A4439" w:rsidRDefault="00465411" w:rsidP="00465411">
      <w:pPr>
        <w:pStyle w:val="PiedeCuadro"/>
        <w:rPr>
          <w:sz w:val="20"/>
        </w:rPr>
      </w:pPr>
      <w:r w:rsidRPr="005A4439">
        <w:rPr>
          <w:sz w:val="20"/>
        </w:rPr>
        <w:t>Fuente: DANE</w:t>
      </w:r>
    </w:p>
    <w:p w:rsidR="00465411" w:rsidRDefault="00465411" w:rsidP="00465411">
      <w:r>
        <w:t xml:space="preserve">Este contraste entre los dos periodos analizados es aún más notorio, en términos de la participación del Sector de las TIC en el PIB total de la economía, donde se observa claramente un crecimiento significativo de la participación del sector entre los años 2005 y 2009, con el boom de la telefonía móvil, y una relativa estabilidad de esta </w:t>
      </w:r>
      <w:r>
        <w:lastRenderedPageBreak/>
        <w:t>participación en los períodos anterior (2000-2005) y posterior (2010-2013), excepto por las fluctuaciones estaciones durante cada año calendario.</w:t>
      </w:r>
    </w:p>
    <w:p w:rsidR="00465411" w:rsidRDefault="00465411" w:rsidP="00465411">
      <w:pPr>
        <w:tabs>
          <w:tab w:val="left" w:pos="6431"/>
        </w:tabs>
      </w:pPr>
      <w:r>
        <w:t xml:space="preserve">La </w:t>
      </w:r>
      <w:r>
        <w:rPr>
          <w:lang w:eastAsia="es-ES"/>
        </w:rPr>
        <w:t xml:space="preserve">figura </w:t>
      </w:r>
      <w:r w:rsidR="006B24A0">
        <w:t>2.3</w:t>
      </w:r>
      <w:r>
        <w:t xml:space="preserve"> muestra las participaciones del sector de Telecomunicaciones y Correos en el consumo interno y en el comercio exterior (exportaciones e importaciones), que indican un aumento importante en la participación del sector en el Consumo privado, acompañado de una reducción en su participación en el comercio exterior del país, que estaba fundamentalmente concentrado en los servicios de telefonía fija que vienen cayendo. </w:t>
      </w:r>
    </w:p>
    <w:p w:rsidR="00465411" w:rsidRPr="00651C01" w:rsidRDefault="00465411" w:rsidP="00465411">
      <w:pPr>
        <w:jc w:val="cente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t>Figura</w:t>
      </w:r>
      <w:r w:rsidR="006B24A0">
        <w:rPr>
          <w:rFonts w:ascii="Century Gothic" w:eastAsiaTheme="majorEastAsia" w:hAnsi="Century Gothic" w:cstheme="majorBidi"/>
          <w:b/>
          <w:bCs/>
          <w:color w:val="C00000"/>
          <w:sz w:val="20"/>
          <w:szCs w:val="20"/>
          <w:lang w:val="es-CO"/>
        </w:rPr>
        <w:t xml:space="preserve"> 2</w:t>
      </w:r>
      <w:r w:rsidRPr="00651C01">
        <w:rPr>
          <w:rFonts w:ascii="Century Gothic" w:eastAsiaTheme="majorEastAsia" w:hAnsi="Century Gothic" w:cstheme="majorBidi"/>
          <w:b/>
          <w:bCs/>
          <w:color w:val="C00000"/>
          <w:sz w:val="20"/>
          <w:szCs w:val="20"/>
          <w:lang w:val="es-CO"/>
        </w:rPr>
        <w:t>.3</w:t>
      </w:r>
      <w:r>
        <w:rPr>
          <w:rFonts w:ascii="Century Gothic" w:eastAsiaTheme="majorEastAsia" w:hAnsi="Century Gothic" w:cstheme="majorBidi"/>
          <w:b/>
          <w:bCs/>
          <w:color w:val="C00000"/>
          <w:sz w:val="20"/>
          <w:szCs w:val="20"/>
          <w:lang w:val="es-CO"/>
        </w:rPr>
        <w:t xml:space="preserve"> - </w:t>
      </w:r>
      <w:r w:rsidRPr="00651C01">
        <w:rPr>
          <w:rFonts w:ascii="Century Gothic" w:eastAsiaTheme="majorEastAsia" w:hAnsi="Century Gothic" w:cstheme="majorBidi"/>
          <w:b/>
          <w:bCs/>
          <w:color w:val="C00000"/>
          <w:sz w:val="20"/>
          <w:szCs w:val="20"/>
          <w:lang w:val="es-CO"/>
        </w:rPr>
        <w:t>Participaciones del Sector de Telecomunicaciones y Correo</w:t>
      </w:r>
    </w:p>
    <w:p w:rsidR="00465411" w:rsidRDefault="00465411" w:rsidP="00437235">
      <w:pPr>
        <w:tabs>
          <w:tab w:val="left" w:pos="6431"/>
        </w:tabs>
        <w:jc w:val="center"/>
      </w:pPr>
      <w:r>
        <w:rPr>
          <w:noProof/>
          <w:lang w:val="es-CO" w:eastAsia="es-CO"/>
        </w:rPr>
        <w:drawing>
          <wp:inline distT="0" distB="0" distL="0" distR="0">
            <wp:extent cx="4795284" cy="3062177"/>
            <wp:effectExtent l="0" t="0" r="5715" b="5080"/>
            <wp:docPr id="47" name="Gráfico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465411" w:rsidRDefault="00465411" w:rsidP="00465411">
      <w:pPr>
        <w:pStyle w:val="PiedeCuadro"/>
        <w:rPr>
          <w:sz w:val="20"/>
        </w:rPr>
      </w:pPr>
      <w:r>
        <w:rPr>
          <w:sz w:val="20"/>
        </w:rPr>
        <w:t>Fuente: DANE</w:t>
      </w:r>
    </w:p>
    <w:p w:rsidR="00465411" w:rsidRDefault="00465411" w:rsidP="00465411">
      <w:pPr>
        <w:pStyle w:val="Ttulo3"/>
        <w:numPr>
          <w:ilvl w:val="0"/>
          <w:numId w:val="0"/>
        </w:numPr>
      </w:pPr>
      <w:r>
        <w:t>c2. Efectos multiplicadores sobre la producción de un incremento en la demanda por sectores</w:t>
      </w:r>
    </w:p>
    <w:p w:rsidR="00465411" w:rsidRDefault="00465411" w:rsidP="00465411">
      <w:r>
        <w:t>Como se señaló en la parte conceptual,</w:t>
      </w:r>
      <w:r w:rsidRPr="00C51B3E">
        <w:t xml:space="preserve"> </w:t>
      </w:r>
      <w:r>
        <w:t xml:space="preserve">el impacto del sector de Telecomunicaciones y Correos sobre el resto de la economía se midió por medio de los multiplicadores o coeficientes que expresan el impacto directo e indirecto de un incremento en una unidad de demanda en el sector sobre el total de  la economía, que se obtienen de sumar cada columna de la </w:t>
      </w:r>
      <w:r w:rsidRPr="00AA2838">
        <w:t xml:space="preserve">matriz </w:t>
      </w:r>
      <m:oMath>
        <m:sSup>
          <m:sSupPr>
            <m:ctrlPr>
              <w:rPr>
                <w:rFonts w:ascii="Cambria Math" w:hAnsi="Cambria Math"/>
                <w:i/>
                <w:lang w:val="en-US"/>
              </w:rPr>
            </m:ctrlPr>
          </m:sSupPr>
          <m:e>
            <m:d>
              <m:dPr>
                <m:ctrlPr>
                  <w:rPr>
                    <w:rFonts w:ascii="Cambria Math" w:hAnsi="Cambria Math"/>
                    <w:i/>
                    <w:lang w:val="en-US"/>
                  </w:rPr>
                </m:ctrlPr>
              </m:dPr>
              <m:e>
                <m:r>
                  <m:rPr>
                    <m:sty m:val="p"/>
                  </m:rPr>
                  <w:rPr>
                    <w:rFonts w:ascii="Cambria Math" w:hAnsi="Cambria Math"/>
                    <w:lang w:val="es-CO"/>
                  </w:rPr>
                  <m:t>I-A</m:t>
                </m:r>
              </m:e>
            </m:d>
          </m:e>
          <m:sup>
            <m:r>
              <w:rPr>
                <w:rFonts w:ascii="Cambria Math" w:hAnsi="Cambria Math"/>
                <w:lang w:val="es-CO"/>
              </w:rPr>
              <m:t>-1</m:t>
            </m:r>
          </m:sup>
        </m:sSup>
      </m:oMath>
      <w:r w:rsidRPr="002D57BF">
        <w:rPr>
          <w:lang w:val="es-CO"/>
        </w:rPr>
        <w:t xml:space="preserve"> </w:t>
      </w:r>
      <w:r>
        <w:rPr>
          <w:lang w:val="es-CO"/>
        </w:rPr>
        <w:t>.</w:t>
      </w:r>
      <w:r>
        <w:t xml:space="preserve"> Las figuras</w:t>
      </w:r>
      <w:r w:rsidR="006B24A0">
        <w:t xml:space="preserve"> 2</w:t>
      </w:r>
      <w:r>
        <w:t xml:space="preserve">.4 a, b y c muestran los efectos multiplicadores sectoriales para los años 2005, 2010 y 2011, obtenidos con el análisis de las matrices de Insumo-Productos para estos años. </w:t>
      </w:r>
    </w:p>
    <w:p w:rsidR="00465411" w:rsidRPr="00651C01" w:rsidRDefault="001F32B1" w:rsidP="00465411">
      <w:pPr>
        <w:jc w:val="cente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lastRenderedPageBreak/>
        <w:t>F</w:t>
      </w:r>
      <w:r w:rsidR="00465411">
        <w:rPr>
          <w:rFonts w:ascii="Century Gothic" w:eastAsiaTheme="majorEastAsia" w:hAnsi="Century Gothic" w:cstheme="majorBidi"/>
          <w:b/>
          <w:bCs/>
          <w:color w:val="C00000"/>
          <w:sz w:val="20"/>
          <w:szCs w:val="20"/>
          <w:lang w:val="es-CO"/>
        </w:rPr>
        <w:t>igura</w:t>
      </w:r>
      <w:r w:rsidR="006B24A0">
        <w:rPr>
          <w:rFonts w:ascii="Century Gothic" w:eastAsiaTheme="majorEastAsia" w:hAnsi="Century Gothic" w:cstheme="majorBidi"/>
          <w:b/>
          <w:bCs/>
          <w:color w:val="C00000"/>
          <w:sz w:val="20"/>
          <w:szCs w:val="20"/>
          <w:lang w:val="es-CO"/>
        </w:rPr>
        <w:t xml:space="preserve"> 2.</w:t>
      </w:r>
      <w:r w:rsidR="00465411" w:rsidRPr="00651C01">
        <w:rPr>
          <w:rFonts w:ascii="Century Gothic" w:eastAsiaTheme="majorEastAsia" w:hAnsi="Century Gothic" w:cstheme="majorBidi"/>
          <w:b/>
          <w:bCs/>
          <w:color w:val="C00000"/>
          <w:sz w:val="20"/>
          <w:szCs w:val="20"/>
          <w:lang w:val="es-CO"/>
        </w:rPr>
        <w:t>4</w:t>
      </w:r>
      <w:r w:rsidR="00465411">
        <w:rPr>
          <w:rFonts w:ascii="Century Gothic" w:eastAsiaTheme="majorEastAsia" w:hAnsi="Century Gothic" w:cstheme="majorBidi"/>
          <w:b/>
          <w:bCs/>
          <w:color w:val="C00000"/>
          <w:sz w:val="20"/>
          <w:szCs w:val="20"/>
          <w:lang w:val="es-CO"/>
        </w:rPr>
        <w:t xml:space="preserve">a - </w:t>
      </w:r>
      <w:r w:rsidR="00465411" w:rsidRPr="00651C01">
        <w:rPr>
          <w:rFonts w:ascii="Century Gothic" w:eastAsiaTheme="majorEastAsia" w:hAnsi="Century Gothic" w:cstheme="majorBidi"/>
          <w:b/>
          <w:bCs/>
          <w:color w:val="C00000"/>
          <w:sz w:val="20"/>
          <w:szCs w:val="20"/>
          <w:lang w:val="es-CO"/>
        </w:rPr>
        <w:t>Efecto Multiplicador de los Sectores en la Economía para el año 2005</w:t>
      </w:r>
    </w:p>
    <w:p w:rsidR="00465411" w:rsidRDefault="00465411" w:rsidP="00465411">
      <w:pPr>
        <w:rPr>
          <w:lang w:eastAsia="es-ES"/>
        </w:rPr>
      </w:pPr>
      <w:r>
        <w:rPr>
          <w:noProof/>
          <w:lang w:val="es-CO" w:eastAsia="es-CO"/>
        </w:rPr>
        <w:drawing>
          <wp:inline distT="0" distB="0" distL="0" distR="0">
            <wp:extent cx="5625721" cy="3398293"/>
            <wp:effectExtent l="19050" t="0" r="13079" b="0"/>
            <wp:docPr id="48" name="Gráfico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465411" w:rsidRPr="005A4439" w:rsidRDefault="00465411" w:rsidP="00465411">
      <w:pPr>
        <w:pStyle w:val="PiedeCuadro"/>
        <w:rPr>
          <w:sz w:val="20"/>
        </w:rPr>
      </w:pPr>
      <w:r w:rsidRPr="005A4439">
        <w:rPr>
          <w:sz w:val="20"/>
        </w:rPr>
        <w:t>Fuente: DANE</w:t>
      </w:r>
    </w:p>
    <w:p w:rsidR="00465411" w:rsidRDefault="00465411" w:rsidP="00465411">
      <w:r>
        <w:t xml:space="preserve">Para esta presentación los sectores se han ordenado de menor a mayor impacto sobre el resto de la economía. </w:t>
      </w:r>
      <w:r w:rsidRPr="00567110">
        <w:t>Como puede observarse</w:t>
      </w:r>
      <w:r>
        <w:t xml:space="preserve">, en los tres años considerados (2005, 2010 y 2011) el sector de comunicaciones y correos ocupa el cuarto lugar en términos del efecto multiplicador sobre el resto de la economía, después de los sectores de industria liviana, construcción y obras públicas e industria pesada, cuyos multiplicadores han fluctuado entre 1.8 y 2.0 en este período. </w:t>
      </w:r>
    </w:p>
    <w:p w:rsidR="00465411" w:rsidRDefault="00465411" w:rsidP="00465411">
      <w:pPr>
        <w:jc w:val="center"/>
        <w:rPr>
          <w:rFonts w:ascii="Century Gothic" w:eastAsiaTheme="majorEastAsia" w:hAnsi="Century Gothic" w:cstheme="majorBidi"/>
          <w:b/>
          <w:bCs/>
          <w:color w:val="C00000"/>
          <w:sz w:val="20"/>
          <w:szCs w:val="20"/>
          <w:lang w:val="es-CO"/>
        </w:rPr>
      </w:pPr>
    </w:p>
    <w:p w:rsidR="006B24A0" w:rsidRDefault="006B24A0" w:rsidP="006B24A0">
      <w:pPr>
        <w:widowControl w:val="0"/>
        <w:jc w:val="center"/>
        <w:rPr>
          <w:rFonts w:ascii="Century Gothic" w:eastAsiaTheme="majorEastAsia" w:hAnsi="Century Gothic" w:cstheme="majorBidi"/>
          <w:b/>
          <w:bCs/>
          <w:color w:val="C00000"/>
          <w:sz w:val="20"/>
          <w:szCs w:val="20"/>
          <w:lang w:val="es-CO"/>
        </w:rPr>
      </w:pPr>
    </w:p>
    <w:p w:rsidR="006B24A0" w:rsidRDefault="006B24A0" w:rsidP="006B24A0">
      <w:pPr>
        <w:widowControl w:val="0"/>
        <w:jc w:val="center"/>
        <w:rPr>
          <w:rFonts w:ascii="Century Gothic" w:eastAsiaTheme="majorEastAsia" w:hAnsi="Century Gothic" w:cstheme="majorBidi"/>
          <w:b/>
          <w:bCs/>
          <w:color w:val="C00000"/>
          <w:sz w:val="20"/>
          <w:szCs w:val="20"/>
          <w:lang w:val="es-CO"/>
        </w:rPr>
      </w:pPr>
    </w:p>
    <w:p w:rsidR="006B24A0" w:rsidRDefault="006B24A0" w:rsidP="006B24A0">
      <w:pPr>
        <w:widowControl w:val="0"/>
        <w:jc w:val="center"/>
        <w:rPr>
          <w:rFonts w:ascii="Century Gothic" w:eastAsiaTheme="majorEastAsia" w:hAnsi="Century Gothic" w:cstheme="majorBidi"/>
          <w:b/>
          <w:bCs/>
          <w:color w:val="C00000"/>
          <w:sz w:val="20"/>
          <w:szCs w:val="20"/>
          <w:lang w:val="es-CO"/>
        </w:rPr>
      </w:pPr>
    </w:p>
    <w:p w:rsidR="006B24A0" w:rsidRDefault="006B24A0" w:rsidP="006B24A0">
      <w:pPr>
        <w:widowControl w:val="0"/>
        <w:jc w:val="center"/>
        <w:rPr>
          <w:rFonts w:ascii="Century Gothic" w:eastAsiaTheme="majorEastAsia" w:hAnsi="Century Gothic" w:cstheme="majorBidi"/>
          <w:b/>
          <w:bCs/>
          <w:color w:val="C00000"/>
          <w:sz w:val="20"/>
          <w:szCs w:val="20"/>
          <w:lang w:val="es-CO"/>
        </w:rPr>
      </w:pPr>
    </w:p>
    <w:p w:rsidR="006B24A0" w:rsidRDefault="006B24A0" w:rsidP="006B24A0">
      <w:pPr>
        <w:widowControl w:val="0"/>
        <w:jc w:val="center"/>
        <w:rPr>
          <w:rFonts w:ascii="Century Gothic" w:eastAsiaTheme="majorEastAsia" w:hAnsi="Century Gothic" w:cstheme="majorBidi"/>
          <w:b/>
          <w:bCs/>
          <w:color w:val="C00000"/>
          <w:sz w:val="20"/>
          <w:szCs w:val="20"/>
          <w:lang w:val="es-CO"/>
        </w:rPr>
      </w:pPr>
    </w:p>
    <w:p w:rsidR="006B24A0" w:rsidRDefault="006B24A0" w:rsidP="006B24A0">
      <w:pPr>
        <w:widowControl w:val="0"/>
        <w:jc w:val="center"/>
        <w:rPr>
          <w:rFonts w:ascii="Century Gothic" w:eastAsiaTheme="majorEastAsia" w:hAnsi="Century Gothic" w:cstheme="majorBidi"/>
          <w:b/>
          <w:bCs/>
          <w:color w:val="C00000"/>
          <w:sz w:val="20"/>
          <w:szCs w:val="20"/>
          <w:lang w:val="es-CO"/>
        </w:rPr>
      </w:pPr>
    </w:p>
    <w:p w:rsidR="006B24A0" w:rsidRDefault="006B24A0" w:rsidP="006B24A0">
      <w:pPr>
        <w:widowControl w:val="0"/>
        <w:jc w:val="center"/>
        <w:rPr>
          <w:rFonts w:ascii="Century Gothic" w:eastAsiaTheme="majorEastAsia" w:hAnsi="Century Gothic" w:cstheme="majorBidi"/>
          <w:b/>
          <w:bCs/>
          <w:color w:val="C00000"/>
          <w:sz w:val="20"/>
          <w:szCs w:val="20"/>
          <w:lang w:val="es-CO"/>
        </w:rPr>
      </w:pPr>
    </w:p>
    <w:p w:rsidR="00465411" w:rsidRPr="00651C01" w:rsidRDefault="00465411" w:rsidP="006B24A0">
      <w:pPr>
        <w:widowControl w:val="0"/>
        <w:jc w:val="cente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lastRenderedPageBreak/>
        <w:t>Figura</w:t>
      </w:r>
      <w:r w:rsidR="006B24A0">
        <w:rPr>
          <w:rFonts w:ascii="Century Gothic" w:eastAsiaTheme="majorEastAsia" w:hAnsi="Century Gothic" w:cstheme="majorBidi"/>
          <w:b/>
          <w:bCs/>
          <w:color w:val="C00000"/>
          <w:sz w:val="20"/>
          <w:szCs w:val="20"/>
          <w:lang w:val="es-CO"/>
        </w:rPr>
        <w:t xml:space="preserve"> 2</w:t>
      </w:r>
      <w:r w:rsidRPr="00651C01">
        <w:rPr>
          <w:rFonts w:ascii="Century Gothic" w:eastAsiaTheme="majorEastAsia" w:hAnsi="Century Gothic" w:cstheme="majorBidi"/>
          <w:b/>
          <w:bCs/>
          <w:color w:val="C00000"/>
          <w:sz w:val="20"/>
          <w:szCs w:val="20"/>
          <w:lang w:val="es-CO"/>
        </w:rPr>
        <w:t>.4b</w:t>
      </w:r>
      <w:r>
        <w:rPr>
          <w:rFonts w:ascii="Century Gothic" w:eastAsiaTheme="majorEastAsia" w:hAnsi="Century Gothic" w:cstheme="majorBidi"/>
          <w:b/>
          <w:bCs/>
          <w:color w:val="C00000"/>
          <w:sz w:val="20"/>
          <w:szCs w:val="20"/>
          <w:lang w:val="es-CO"/>
        </w:rPr>
        <w:t xml:space="preserve"> - </w:t>
      </w:r>
      <w:r w:rsidRPr="00651C01">
        <w:rPr>
          <w:rFonts w:ascii="Century Gothic" w:eastAsiaTheme="majorEastAsia" w:hAnsi="Century Gothic" w:cstheme="majorBidi"/>
          <w:b/>
          <w:bCs/>
          <w:color w:val="C00000"/>
          <w:sz w:val="20"/>
          <w:szCs w:val="20"/>
          <w:lang w:val="es-CO"/>
        </w:rPr>
        <w:t>Efecto Multiplicador de los Sectores</w:t>
      </w:r>
      <w:r>
        <w:rPr>
          <w:rFonts w:ascii="Century Gothic" w:eastAsiaTheme="majorEastAsia" w:hAnsi="Century Gothic" w:cstheme="majorBidi"/>
          <w:b/>
          <w:bCs/>
          <w:color w:val="C00000"/>
          <w:sz w:val="20"/>
          <w:szCs w:val="20"/>
          <w:lang w:val="es-CO"/>
        </w:rPr>
        <w:t xml:space="preserve"> en la Economía para el año 2010</w:t>
      </w:r>
    </w:p>
    <w:p w:rsidR="00465411" w:rsidRDefault="00465411" w:rsidP="00465411">
      <w:pPr>
        <w:rPr>
          <w:lang w:eastAsia="es-ES"/>
        </w:rPr>
      </w:pPr>
      <w:r>
        <w:rPr>
          <w:noProof/>
          <w:lang w:val="es-CO" w:eastAsia="es-CO"/>
        </w:rPr>
        <w:drawing>
          <wp:inline distT="0" distB="0" distL="0" distR="0">
            <wp:extent cx="5606046" cy="3207223"/>
            <wp:effectExtent l="19050" t="0" r="13704" b="0"/>
            <wp:docPr id="49"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465411" w:rsidRPr="005A4439" w:rsidRDefault="00465411" w:rsidP="00465411">
      <w:pPr>
        <w:pStyle w:val="PiedeCuadro"/>
        <w:rPr>
          <w:sz w:val="20"/>
        </w:rPr>
      </w:pPr>
      <w:r w:rsidRPr="005A4439">
        <w:rPr>
          <w:sz w:val="20"/>
        </w:rPr>
        <w:t>Fuente: DANE</w:t>
      </w:r>
    </w:p>
    <w:p w:rsidR="00465411" w:rsidRPr="00651C01" w:rsidRDefault="00465411" w:rsidP="00465411">
      <w:pPr>
        <w:jc w:val="cente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t>Figura</w:t>
      </w:r>
      <w:r w:rsidR="006B24A0">
        <w:rPr>
          <w:rFonts w:ascii="Century Gothic" w:eastAsiaTheme="majorEastAsia" w:hAnsi="Century Gothic" w:cstheme="majorBidi"/>
          <w:b/>
          <w:bCs/>
          <w:color w:val="C00000"/>
          <w:sz w:val="20"/>
          <w:szCs w:val="20"/>
          <w:lang w:val="es-CO"/>
        </w:rPr>
        <w:t xml:space="preserve"> 2.4c</w:t>
      </w:r>
      <w:r>
        <w:rPr>
          <w:rFonts w:ascii="Century Gothic" w:eastAsiaTheme="majorEastAsia" w:hAnsi="Century Gothic" w:cstheme="majorBidi"/>
          <w:b/>
          <w:bCs/>
          <w:color w:val="C00000"/>
          <w:sz w:val="20"/>
          <w:szCs w:val="20"/>
          <w:lang w:val="es-CO"/>
        </w:rPr>
        <w:t xml:space="preserve"> - </w:t>
      </w:r>
      <w:r w:rsidRPr="00651C01">
        <w:rPr>
          <w:rFonts w:ascii="Century Gothic" w:eastAsiaTheme="majorEastAsia" w:hAnsi="Century Gothic" w:cstheme="majorBidi"/>
          <w:b/>
          <w:bCs/>
          <w:color w:val="C00000"/>
          <w:sz w:val="20"/>
          <w:szCs w:val="20"/>
          <w:lang w:val="es-CO"/>
        </w:rPr>
        <w:t>Efecto Multiplicador de los Sectores</w:t>
      </w:r>
      <w:r>
        <w:rPr>
          <w:rFonts w:ascii="Century Gothic" w:eastAsiaTheme="majorEastAsia" w:hAnsi="Century Gothic" w:cstheme="majorBidi"/>
          <w:b/>
          <w:bCs/>
          <w:color w:val="C00000"/>
          <w:sz w:val="20"/>
          <w:szCs w:val="20"/>
          <w:lang w:val="es-CO"/>
        </w:rPr>
        <w:t xml:space="preserve"> en la Economía para el año 2011</w:t>
      </w:r>
    </w:p>
    <w:p w:rsidR="00465411" w:rsidRDefault="00465411" w:rsidP="00465411">
      <w:pPr>
        <w:jc w:val="center"/>
        <w:rPr>
          <w:b/>
          <w:lang w:eastAsia="es-ES"/>
        </w:rPr>
      </w:pPr>
      <w:r>
        <w:rPr>
          <w:noProof/>
          <w:lang w:val="es-CO" w:eastAsia="es-CO"/>
        </w:rPr>
        <w:drawing>
          <wp:inline distT="0" distB="0" distL="0" distR="0">
            <wp:extent cx="5543834" cy="3098042"/>
            <wp:effectExtent l="19050" t="0" r="18766" b="7108"/>
            <wp:docPr id="50" name="Grá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465411" w:rsidRPr="005A4439" w:rsidRDefault="00465411" w:rsidP="00465411">
      <w:pPr>
        <w:pStyle w:val="PiedeCuadro"/>
        <w:rPr>
          <w:sz w:val="20"/>
        </w:rPr>
      </w:pPr>
      <w:r w:rsidRPr="005A4439">
        <w:rPr>
          <w:sz w:val="20"/>
        </w:rPr>
        <w:t>Fuente: DANE</w:t>
      </w:r>
    </w:p>
    <w:p w:rsidR="00465411" w:rsidRDefault="00465411" w:rsidP="00465411">
      <w:pPr>
        <w:jc w:val="center"/>
        <w:rPr>
          <w:b/>
          <w:lang w:eastAsia="es-ES"/>
        </w:rPr>
      </w:pPr>
    </w:p>
    <w:p w:rsidR="00465411" w:rsidRDefault="00465411" w:rsidP="00465411">
      <w:r>
        <w:lastRenderedPageBreak/>
        <w:t>El multiplicador del gasto en el sector de telecomunicaciones y correo ha fluctuado entre 1.617 en el año 2005 y 1.626 en el año 2011, con un valor en el medio de 1.622 en el año 2010, que muestra un crecimiento gradual y sostenido de su impacto sobre el resto de la economía. Esto se debe reflejar en impactos derivados sobre la generación de ingresos laborales y la generación de empleo en la economía, que se discuten a continuación.</w:t>
      </w:r>
    </w:p>
    <w:p w:rsidR="00465411" w:rsidRDefault="00465411" w:rsidP="00465411">
      <w:pPr>
        <w:pStyle w:val="Ttulo3"/>
        <w:numPr>
          <w:ilvl w:val="0"/>
          <w:numId w:val="0"/>
        </w:numPr>
      </w:pPr>
      <w:r>
        <w:t>c3. Evolución de los Ingresos de Trabajo por sectores según tipo de vinculación laboral</w:t>
      </w:r>
    </w:p>
    <w:p w:rsidR="00465411" w:rsidRPr="004F186E" w:rsidRDefault="00465411" w:rsidP="00465411">
      <w:pPr>
        <w:rPr>
          <w:b/>
          <w:lang w:eastAsia="es-ES"/>
        </w:rPr>
      </w:pPr>
      <w:r>
        <w:t>El Cuadro 2.</w:t>
      </w:r>
      <w:r w:rsidR="007F770A">
        <w:t>4</w:t>
      </w:r>
      <w:r>
        <w:t xml:space="preserve"> muestra para todos los 10 sectores considerados los ingresos laborales por sector según el tipo de vinculación laboral (ingresos del trabajo asalariado e ingresos mixtos) para los años 2005, 2010 y 2011. Los ingresos mixtos son considerados por el DANE como un ingreso laboral, generado por trabajadores independientes, que combinan su propio trabajo con capital fijo, expresados en términos de espacio físico, herramientas </w:t>
      </w:r>
      <w:r w:rsidRPr="004F186E">
        <w:t>y equipos</w:t>
      </w:r>
      <w:r>
        <w:t>, que aumentan la productividad y generan ingresos de capital complementarios. Los resultados tabulados indican que los ingresos de trabajo generados en el sector de Telecomunicaciones y Correos, muestran un alto coeficiente de formalidad en el empleo, comparado con otros sectores, medido por el indicador de remuneración de asalariados sobre el total de ingresos de trabajo, que pasó de 72.3% en el año 2005 a 78.2% en el año 2010 y a 77.9% en el año 2011, mientras el promedio de todos los sectores fluctuó entre 57.1 y 59.1% en este período. Estos coeficientes de formalidad en el empleo son altos comparados con otros sectores de la economía y sólo son superados por el sector de Gobierno, servicios públicos u otros servicios sociales, donde fluctuaron entre 92.7 y 93.8% en este período, y por el sector de industria pesada donde este índice fluctuó entre 74.8 y 80.5%.</w:t>
      </w:r>
      <w:r w:rsidRPr="004F186E">
        <w:t xml:space="preserve"> </w:t>
      </w:r>
    </w:p>
    <w:p w:rsidR="00465411" w:rsidRPr="005F095C" w:rsidRDefault="00465411" w:rsidP="00465411">
      <w:pPr>
        <w:rPr>
          <w:lang w:eastAsia="es-ES"/>
        </w:rPr>
      </w:pPr>
      <w:r w:rsidRPr="005F095C">
        <w:rPr>
          <w:lang w:eastAsia="es-ES"/>
        </w:rPr>
        <w:t>Por otro lado, los ingresos de trabajo del sector de telecomunicaciones y correos sólo representan entre el 1.5 y el 1.7% de los ingresos laborales de la economía como un todo.</w:t>
      </w:r>
    </w:p>
    <w:p w:rsidR="009E12F6" w:rsidRDefault="009E12F6" w:rsidP="009E12F6">
      <w:pPr>
        <w:widowControl w:val="0"/>
        <w:spacing w:before="0" w:line="240" w:lineRule="auto"/>
        <w:jc w:val="center"/>
        <w:rPr>
          <w:rFonts w:ascii="Century Gothic" w:eastAsiaTheme="majorEastAsia" w:hAnsi="Century Gothic" w:cstheme="majorBidi"/>
          <w:b/>
          <w:bCs/>
          <w:color w:val="C00000"/>
          <w:sz w:val="20"/>
          <w:szCs w:val="20"/>
          <w:lang w:val="es-CO"/>
        </w:rPr>
      </w:pPr>
    </w:p>
    <w:p w:rsidR="009E12F6" w:rsidRPr="009E12F6" w:rsidRDefault="009E12F6" w:rsidP="009E12F6">
      <w:pPr>
        <w:widowControl w:val="0"/>
        <w:spacing w:before="0" w:line="240" w:lineRule="auto"/>
        <w:jc w:val="center"/>
        <w:rPr>
          <w:rFonts w:ascii="Century Gothic" w:eastAsiaTheme="majorEastAsia" w:hAnsi="Century Gothic" w:cstheme="majorBidi"/>
          <w:b/>
          <w:bCs/>
          <w:color w:val="C00000"/>
          <w:sz w:val="20"/>
          <w:szCs w:val="20"/>
          <w:lang w:val="es-CO"/>
        </w:rPr>
        <w:sectPr w:rsidR="009E12F6" w:rsidRPr="009E12F6" w:rsidSect="00202E90">
          <w:pgSz w:w="12240" w:h="15840"/>
          <w:pgMar w:top="1417" w:right="1701" w:bottom="1417" w:left="1701" w:header="708" w:footer="708" w:gutter="0"/>
          <w:pgNumType w:start="4"/>
          <w:cols w:space="708"/>
          <w:docGrid w:linePitch="360"/>
        </w:sectPr>
      </w:pPr>
    </w:p>
    <w:tbl>
      <w:tblPr>
        <w:tblpPr w:leftFromText="141" w:rightFromText="141" w:horzAnchor="margin" w:tblpXSpec="right" w:tblpY="667"/>
        <w:tblW w:w="13751" w:type="dxa"/>
        <w:tblBorders>
          <w:bottom w:val="single" w:sz="4" w:space="0" w:color="BFBFBF" w:themeColor="background1" w:themeShade="BF"/>
          <w:insideH w:val="single" w:sz="4" w:space="0" w:color="BFBFBF" w:themeColor="background1" w:themeShade="BF"/>
        </w:tblBorders>
        <w:tblLayout w:type="fixed"/>
        <w:tblCellMar>
          <w:left w:w="70" w:type="dxa"/>
          <w:right w:w="70" w:type="dxa"/>
        </w:tblCellMar>
        <w:tblLook w:val="04A0"/>
      </w:tblPr>
      <w:tblGrid>
        <w:gridCol w:w="2552"/>
        <w:gridCol w:w="929"/>
        <w:gridCol w:w="914"/>
        <w:gridCol w:w="851"/>
        <w:gridCol w:w="850"/>
        <w:gridCol w:w="992"/>
        <w:gridCol w:w="993"/>
        <w:gridCol w:w="850"/>
        <w:gridCol w:w="1134"/>
        <w:gridCol w:w="1418"/>
        <w:gridCol w:w="1559"/>
        <w:gridCol w:w="709"/>
      </w:tblGrid>
      <w:tr w:rsidR="009E12F6" w:rsidRPr="009E12F6" w:rsidTr="00590FE5">
        <w:trPr>
          <w:trHeight w:val="170"/>
        </w:trPr>
        <w:tc>
          <w:tcPr>
            <w:tcW w:w="13751" w:type="dxa"/>
            <w:gridSpan w:val="12"/>
            <w:shd w:val="clear" w:color="auto" w:fill="FFFFFF" w:themeFill="background1"/>
            <w:noWrap/>
            <w:vAlign w:val="bottom"/>
            <w:hideMark/>
          </w:tcPr>
          <w:p w:rsidR="009E12F6" w:rsidRPr="009E12F6" w:rsidRDefault="009E12F6" w:rsidP="00590FE5">
            <w:pPr>
              <w:spacing w:before="0" w:line="240" w:lineRule="auto"/>
              <w:jc w:val="center"/>
              <w:rPr>
                <w:rFonts w:ascii="Arial Narrow" w:eastAsia="Times New Roman" w:hAnsi="Arial Narrow" w:cs="Times New Roman"/>
                <w:b/>
                <w:bCs/>
                <w:color w:val="000000"/>
                <w:sz w:val="18"/>
                <w:szCs w:val="18"/>
                <w:lang w:val="es-CO" w:eastAsia="es-CO"/>
              </w:rPr>
            </w:pPr>
            <w:r>
              <w:rPr>
                <w:rFonts w:ascii="Arial Narrow" w:eastAsia="Times New Roman" w:hAnsi="Arial Narrow" w:cs="Times New Roman"/>
                <w:b/>
                <w:bCs/>
                <w:color w:val="000000"/>
                <w:sz w:val="18"/>
                <w:szCs w:val="18"/>
                <w:lang w:val="es-CO" w:eastAsia="es-CO"/>
              </w:rPr>
              <w:lastRenderedPageBreak/>
              <w:t>2005</w:t>
            </w:r>
          </w:p>
        </w:tc>
      </w:tr>
      <w:tr w:rsidR="00CD1581" w:rsidRPr="009E12F6" w:rsidTr="00590FE5">
        <w:trPr>
          <w:trHeight w:val="788"/>
        </w:trPr>
        <w:tc>
          <w:tcPr>
            <w:tcW w:w="2552" w:type="dxa"/>
            <w:shd w:val="clear" w:color="auto" w:fill="D9D9D9" w:themeFill="background1" w:themeFillShade="D9"/>
            <w:noWrap/>
            <w:vAlign w:val="bottom"/>
            <w:hideMark/>
          </w:tcPr>
          <w:p w:rsidR="00CD1581" w:rsidRPr="009E12F6" w:rsidRDefault="00CD1581" w:rsidP="00590FE5">
            <w:pPr>
              <w:spacing w:before="0" w:line="240" w:lineRule="auto"/>
              <w:ind w:left="-1048"/>
              <w:jc w:val="lef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 </w:t>
            </w:r>
          </w:p>
        </w:tc>
        <w:tc>
          <w:tcPr>
            <w:tcW w:w="929"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AGROPECUARIO</w:t>
            </w:r>
          </w:p>
        </w:tc>
        <w:tc>
          <w:tcPr>
            <w:tcW w:w="914"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MINERIA Y PETROLEO</w:t>
            </w:r>
          </w:p>
        </w:tc>
        <w:tc>
          <w:tcPr>
            <w:tcW w:w="851"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INDUSTRIA LIVIANA</w:t>
            </w:r>
          </w:p>
        </w:tc>
        <w:tc>
          <w:tcPr>
            <w:tcW w:w="850"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INDUSTRIA PESADA</w:t>
            </w:r>
          </w:p>
        </w:tc>
        <w:tc>
          <w:tcPr>
            <w:tcW w:w="992"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CONSTRUCCION OBRAS PUBLICAS</w:t>
            </w:r>
          </w:p>
        </w:tc>
        <w:tc>
          <w:tcPr>
            <w:tcW w:w="993"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COMERCIO, HOTELES Y RESTAURANTES</w:t>
            </w:r>
          </w:p>
        </w:tc>
        <w:tc>
          <w:tcPr>
            <w:tcW w:w="850"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TRANSPORTE</w:t>
            </w:r>
          </w:p>
        </w:tc>
        <w:tc>
          <w:tcPr>
            <w:tcW w:w="1134"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TELECOMUNICACIONES Y CORREO</w:t>
            </w:r>
          </w:p>
        </w:tc>
        <w:tc>
          <w:tcPr>
            <w:tcW w:w="1418"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SERVICIOS PRIVADOS A LAS EMPRESAS Y PERSONAS</w:t>
            </w:r>
          </w:p>
        </w:tc>
        <w:tc>
          <w:tcPr>
            <w:tcW w:w="1559"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GOBIERNO, SS.PP,Y OTROS SERVICIOS SOCIALES</w:t>
            </w:r>
          </w:p>
        </w:tc>
        <w:tc>
          <w:tcPr>
            <w:tcW w:w="709"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TOTAL</w:t>
            </w:r>
          </w:p>
        </w:tc>
      </w:tr>
      <w:tr w:rsidR="00CD1581" w:rsidRPr="009E12F6" w:rsidTr="00590FE5">
        <w:trPr>
          <w:trHeight w:val="30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 xml:space="preserve"> Remuneración de los asalariados</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7,472</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2,431</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8,189</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7,869</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4,709</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16,183</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3,537</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2,155</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20,703</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35,989</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109,236</w:t>
            </w:r>
          </w:p>
        </w:tc>
      </w:tr>
      <w:tr w:rsidR="00CD1581" w:rsidRPr="009E12F6" w:rsidTr="00590FE5">
        <w:trPr>
          <w:trHeight w:val="30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 xml:space="preserve"> Ingreso mixto</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16,202</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1,226</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4,566</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2,649</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5,079</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17,894</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8,062</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825</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22,605</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2,835</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81,942</w:t>
            </w:r>
          </w:p>
        </w:tc>
      </w:tr>
      <w:tr w:rsidR="00CD1581" w:rsidRPr="009E12F6" w:rsidTr="00590FE5">
        <w:trPr>
          <w:trHeight w:val="30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TOTAL INGRESOS DEL TRABAJO</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23,674</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3,657</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12,754</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10,518</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9,788</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34,077</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11,599</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2,980</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43,308</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38,823</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191,178</w:t>
            </w:r>
          </w:p>
        </w:tc>
      </w:tr>
      <w:tr w:rsidR="00CD1581" w:rsidRPr="009E12F6" w:rsidTr="00590FE5">
        <w:trPr>
          <w:trHeight w:val="465"/>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Remuneración asalariados sobre el total de Ingresos</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31.56%</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66.48%</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64.20%</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74.81%</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48.11%</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47.49%</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30.49%</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72.32%</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47.80%</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92.70%</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57.14%</w:t>
            </w:r>
          </w:p>
        </w:tc>
      </w:tr>
      <w:tr w:rsidR="00CD1581" w:rsidRPr="009E12F6" w:rsidTr="00590FE5">
        <w:trPr>
          <w:trHeight w:val="315"/>
        </w:trPr>
        <w:tc>
          <w:tcPr>
            <w:tcW w:w="13751" w:type="dxa"/>
            <w:gridSpan w:val="12"/>
            <w:shd w:val="clear" w:color="auto" w:fill="auto"/>
            <w:noWrap/>
            <w:vAlign w:val="bottom"/>
            <w:hideMark/>
          </w:tcPr>
          <w:p w:rsidR="00CD1581" w:rsidRPr="009E12F6" w:rsidRDefault="00CD1581" w:rsidP="00590FE5">
            <w:pPr>
              <w:spacing w:before="0" w:line="240" w:lineRule="auto"/>
              <w:jc w:val="center"/>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2010</w:t>
            </w:r>
          </w:p>
        </w:tc>
      </w:tr>
      <w:tr w:rsidR="00CD1581" w:rsidRPr="009E12F6" w:rsidTr="00590FE5">
        <w:trPr>
          <w:trHeight w:val="815"/>
        </w:trPr>
        <w:tc>
          <w:tcPr>
            <w:tcW w:w="2552" w:type="dxa"/>
            <w:shd w:val="clear" w:color="auto" w:fill="D9D9D9" w:themeFill="background1" w:themeFillShade="D9"/>
            <w:noWrap/>
            <w:vAlign w:val="bottom"/>
            <w:hideMark/>
          </w:tcPr>
          <w:p w:rsidR="00CD1581" w:rsidRPr="009E12F6" w:rsidRDefault="00CD1581" w:rsidP="00590FE5">
            <w:pPr>
              <w:spacing w:before="0" w:line="240" w:lineRule="auto"/>
              <w:jc w:val="lef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 </w:t>
            </w:r>
          </w:p>
        </w:tc>
        <w:tc>
          <w:tcPr>
            <w:tcW w:w="929"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AGROPECUARIO</w:t>
            </w:r>
          </w:p>
        </w:tc>
        <w:tc>
          <w:tcPr>
            <w:tcW w:w="914"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MINERIA Y PETROLEO</w:t>
            </w:r>
          </w:p>
        </w:tc>
        <w:tc>
          <w:tcPr>
            <w:tcW w:w="851"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INDUSTRIA LIVIANA</w:t>
            </w:r>
          </w:p>
        </w:tc>
        <w:tc>
          <w:tcPr>
            <w:tcW w:w="850"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INDUSTRIA PESADA</w:t>
            </w:r>
          </w:p>
        </w:tc>
        <w:tc>
          <w:tcPr>
            <w:tcW w:w="992"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CONSTRUCCION OBRAS PUBLICAS</w:t>
            </w:r>
          </w:p>
        </w:tc>
        <w:tc>
          <w:tcPr>
            <w:tcW w:w="993"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COMERCIO, HOTELES Y RESTAURANTES</w:t>
            </w:r>
          </w:p>
        </w:tc>
        <w:tc>
          <w:tcPr>
            <w:tcW w:w="850"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TRANSPORTE</w:t>
            </w:r>
          </w:p>
        </w:tc>
        <w:tc>
          <w:tcPr>
            <w:tcW w:w="1134"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TELECOMUNICACIONES Y CORREO</w:t>
            </w:r>
          </w:p>
        </w:tc>
        <w:tc>
          <w:tcPr>
            <w:tcW w:w="1418"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SERVICIOS PRIVADOS A LAS EMPRESAS Y PERSONAS</w:t>
            </w:r>
          </w:p>
        </w:tc>
        <w:tc>
          <w:tcPr>
            <w:tcW w:w="1559"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GOBIERNO, SS.PP,Y OTROS SERVICIOS SOCIALES</w:t>
            </w:r>
          </w:p>
        </w:tc>
        <w:tc>
          <w:tcPr>
            <w:tcW w:w="709"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TOTAL</w:t>
            </w:r>
          </w:p>
        </w:tc>
      </w:tr>
      <w:tr w:rsidR="00CD1581" w:rsidRPr="009E12F6" w:rsidTr="00590FE5">
        <w:trPr>
          <w:trHeight w:val="30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 xml:space="preserve"> Remuneración de los asalariados</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7,053</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3,224</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9,245</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10,034</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5,966</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21,046</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5,224</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3,123</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28,722</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45,396</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139,033</w:t>
            </w:r>
          </w:p>
        </w:tc>
      </w:tr>
      <w:tr w:rsidR="00CD1581" w:rsidRPr="009E12F6" w:rsidTr="00590FE5">
        <w:trPr>
          <w:trHeight w:val="30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 xml:space="preserve"> Ingreso mixto</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17,585</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1,258</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4,468</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2,342</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6,006</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24,793</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9,268</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870</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25,623</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3,102</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95,315</w:t>
            </w:r>
          </w:p>
        </w:tc>
      </w:tr>
      <w:tr w:rsidR="00CD1581" w:rsidRPr="009E12F6" w:rsidTr="00590FE5">
        <w:trPr>
          <w:trHeight w:val="30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TOTAL INGRESOS DEL TRABAJO</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24,638</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4,482</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13,713</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12,375</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11,972</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45,839</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14,492</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3,993</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54,345</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48,499</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234,349</w:t>
            </w:r>
          </w:p>
        </w:tc>
      </w:tr>
      <w:tr w:rsidR="00CD1581" w:rsidRPr="009E12F6" w:rsidTr="00590FE5">
        <w:trPr>
          <w:trHeight w:val="381"/>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Remuneración asalariados sobre el total de Ingresos</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28.63%</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71.93%</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67.42%</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81.08%</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49.84%</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45.91%</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36.05%</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78.22%</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52.85%</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93.60%</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59.33%</w:t>
            </w:r>
          </w:p>
        </w:tc>
      </w:tr>
      <w:tr w:rsidR="00CD1581" w:rsidRPr="009E12F6" w:rsidTr="00590FE5">
        <w:trPr>
          <w:trHeight w:val="315"/>
        </w:trPr>
        <w:tc>
          <w:tcPr>
            <w:tcW w:w="13751" w:type="dxa"/>
            <w:gridSpan w:val="12"/>
            <w:shd w:val="clear" w:color="auto" w:fill="auto"/>
            <w:noWrap/>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2011</w:t>
            </w:r>
          </w:p>
        </w:tc>
      </w:tr>
      <w:tr w:rsidR="00CD1581" w:rsidRPr="009E12F6" w:rsidTr="00590FE5">
        <w:trPr>
          <w:trHeight w:val="855"/>
        </w:trPr>
        <w:tc>
          <w:tcPr>
            <w:tcW w:w="2552" w:type="dxa"/>
            <w:shd w:val="clear" w:color="auto" w:fill="D9D9D9" w:themeFill="background1" w:themeFillShade="D9"/>
            <w:noWrap/>
            <w:vAlign w:val="bottom"/>
            <w:hideMark/>
          </w:tcPr>
          <w:p w:rsidR="00CD1581" w:rsidRPr="009E12F6" w:rsidRDefault="00CD1581" w:rsidP="00590FE5">
            <w:pPr>
              <w:spacing w:before="0" w:line="240" w:lineRule="auto"/>
              <w:jc w:val="left"/>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 </w:t>
            </w:r>
          </w:p>
        </w:tc>
        <w:tc>
          <w:tcPr>
            <w:tcW w:w="929"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AGROPECUARIO</w:t>
            </w:r>
          </w:p>
        </w:tc>
        <w:tc>
          <w:tcPr>
            <w:tcW w:w="914"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MINERIA Y PETROLEO</w:t>
            </w:r>
          </w:p>
        </w:tc>
        <w:tc>
          <w:tcPr>
            <w:tcW w:w="851"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INDUSTRIA LIVIANA</w:t>
            </w:r>
          </w:p>
        </w:tc>
        <w:tc>
          <w:tcPr>
            <w:tcW w:w="850"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INDUSTRIA PESADA</w:t>
            </w:r>
          </w:p>
        </w:tc>
        <w:tc>
          <w:tcPr>
            <w:tcW w:w="992"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CONSTRUCCION OBRAS PUBLICAS</w:t>
            </w:r>
          </w:p>
        </w:tc>
        <w:tc>
          <w:tcPr>
            <w:tcW w:w="993"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COMERCIO, HOTELES Y RESTAURANTES</w:t>
            </w:r>
          </w:p>
        </w:tc>
        <w:tc>
          <w:tcPr>
            <w:tcW w:w="850"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TRANSPORTE</w:t>
            </w:r>
          </w:p>
        </w:tc>
        <w:tc>
          <w:tcPr>
            <w:tcW w:w="1134"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TELECOMUNICACIONES Y CORREO</w:t>
            </w:r>
          </w:p>
        </w:tc>
        <w:tc>
          <w:tcPr>
            <w:tcW w:w="1418"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SERVICIOS PRIVADOS A LAS EMPRESAS Y PERSONAS</w:t>
            </w:r>
          </w:p>
        </w:tc>
        <w:tc>
          <w:tcPr>
            <w:tcW w:w="1559"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GOBIERNO, SS.PP,Y OTROS SERVICIOS SOCIALES</w:t>
            </w:r>
          </w:p>
        </w:tc>
        <w:tc>
          <w:tcPr>
            <w:tcW w:w="709" w:type="dxa"/>
            <w:shd w:val="clear" w:color="000000" w:fill="D9D9D9"/>
            <w:vAlign w:val="center"/>
            <w:hideMark/>
          </w:tcPr>
          <w:p w:rsidR="00CD1581" w:rsidRPr="009E12F6" w:rsidRDefault="00CD1581" w:rsidP="00590FE5">
            <w:pPr>
              <w:spacing w:before="0" w:line="240" w:lineRule="auto"/>
              <w:jc w:val="center"/>
              <w:rPr>
                <w:rFonts w:ascii="Arial Narrow" w:eastAsia="Times New Roman" w:hAnsi="Arial Narrow" w:cs="Times New Roman"/>
                <w:b/>
                <w:color w:val="000000"/>
                <w:sz w:val="18"/>
                <w:szCs w:val="18"/>
                <w:lang w:val="es-CO" w:eastAsia="es-CO"/>
              </w:rPr>
            </w:pPr>
            <w:r w:rsidRPr="009E12F6">
              <w:rPr>
                <w:rFonts w:ascii="Arial Narrow" w:eastAsia="Times New Roman" w:hAnsi="Arial Narrow" w:cs="Times New Roman"/>
                <w:b/>
                <w:color w:val="000000"/>
                <w:sz w:val="18"/>
                <w:szCs w:val="18"/>
                <w:lang w:val="es-CO" w:eastAsia="es-CO"/>
              </w:rPr>
              <w:t>TOTAL</w:t>
            </w:r>
          </w:p>
        </w:tc>
      </w:tr>
      <w:tr w:rsidR="00CD1581" w:rsidRPr="009E12F6" w:rsidTr="00590FE5">
        <w:trPr>
          <w:trHeight w:val="30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 xml:space="preserve"> Remuneración de los asalariados</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6,873</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3,404</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9,771</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10,835</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6,291</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22,690</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5,772</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3,330</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31,424</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46,232</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146,623</w:t>
            </w:r>
          </w:p>
        </w:tc>
      </w:tr>
      <w:tr w:rsidR="00CD1581" w:rsidRPr="009E12F6" w:rsidTr="00590FE5">
        <w:trPr>
          <w:trHeight w:val="30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 xml:space="preserve"> Ingreso mixto</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18,342</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1,242</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4,623</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2,626</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7,352</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25,985</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9,992</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945</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27,365</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3,064</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101,535</w:t>
            </w:r>
          </w:p>
        </w:tc>
      </w:tr>
      <w:tr w:rsidR="00CD1581" w:rsidRPr="009E12F6" w:rsidTr="00590FE5">
        <w:trPr>
          <w:trHeight w:val="30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TOTAL INGRESOS DEL TRABAJO</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25,215</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4,645</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14,393</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13,461</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13,642</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48,675</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15,764</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4,275</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58,789</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49,297</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248,158</w:t>
            </w:r>
          </w:p>
        </w:tc>
      </w:tr>
      <w:tr w:rsidR="00CD1581" w:rsidRPr="009E12F6" w:rsidTr="00590FE5">
        <w:trPr>
          <w:trHeight w:val="420"/>
        </w:trPr>
        <w:tc>
          <w:tcPr>
            <w:tcW w:w="2552" w:type="dxa"/>
            <w:shd w:val="clear" w:color="000000" w:fill="D9D9D9"/>
            <w:vAlign w:val="bottom"/>
            <w:hideMark/>
          </w:tcPr>
          <w:p w:rsidR="00CD1581" w:rsidRPr="009E12F6" w:rsidRDefault="00CD1581" w:rsidP="00590FE5">
            <w:pPr>
              <w:spacing w:before="0" w:line="240" w:lineRule="auto"/>
              <w:jc w:val="lef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Remuneración asalariados sobre el total de Ingresos</w:t>
            </w:r>
          </w:p>
        </w:tc>
        <w:tc>
          <w:tcPr>
            <w:tcW w:w="92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27.26%</w:t>
            </w:r>
          </w:p>
        </w:tc>
        <w:tc>
          <w:tcPr>
            <w:tcW w:w="914"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73.27%</w:t>
            </w:r>
          </w:p>
        </w:tc>
        <w:tc>
          <w:tcPr>
            <w:tcW w:w="851"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67.88%</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80.49%</w:t>
            </w:r>
          </w:p>
        </w:tc>
        <w:tc>
          <w:tcPr>
            <w:tcW w:w="992"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46.11%</w:t>
            </w:r>
          </w:p>
        </w:tc>
        <w:tc>
          <w:tcPr>
            <w:tcW w:w="993"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46.62%</w:t>
            </w:r>
          </w:p>
        </w:tc>
        <w:tc>
          <w:tcPr>
            <w:tcW w:w="850"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36.62%</w:t>
            </w:r>
          </w:p>
        </w:tc>
        <w:tc>
          <w:tcPr>
            <w:tcW w:w="1134" w:type="dxa"/>
            <w:shd w:val="clear" w:color="000000" w:fill="C6E0B4"/>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77.90%</w:t>
            </w:r>
          </w:p>
        </w:tc>
        <w:tc>
          <w:tcPr>
            <w:tcW w:w="1418"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53.45%</w:t>
            </w:r>
          </w:p>
        </w:tc>
        <w:tc>
          <w:tcPr>
            <w:tcW w:w="155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color w:val="000000"/>
                <w:sz w:val="18"/>
                <w:szCs w:val="18"/>
                <w:lang w:val="es-CO" w:eastAsia="es-CO"/>
              </w:rPr>
            </w:pPr>
            <w:r w:rsidRPr="009E12F6">
              <w:rPr>
                <w:rFonts w:ascii="Arial Narrow" w:eastAsia="Times New Roman" w:hAnsi="Arial Narrow" w:cs="Times New Roman"/>
                <w:color w:val="000000"/>
                <w:sz w:val="18"/>
                <w:szCs w:val="18"/>
                <w:lang w:val="es-CO" w:eastAsia="es-CO"/>
              </w:rPr>
              <w:t>93.78%</w:t>
            </w:r>
          </w:p>
        </w:tc>
        <w:tc>
          <w:tcPr>
            <w:tcW w:w="709" w:type="dxa"/>
            <w:shd w:val="clear" w:color="auto" w:fill="auto"/>
            <w:noWrap/>
            <w:vAlign w:val="bottom"/>
            <w:hideMark/>
          </w:tcPr>
          <w:p w:rsidR="00CD1581" w:rsidRPr="009E12F6" w:rsidRDefault="00CD1581" w:rsidP="00590FE5">
            <w:pPr>
              <w:spacing w:before="0" w:line="240" w:lineRule="auto"/>
              <w:jc w:val="right"/>
              <w:rPr>
                <w:rFonts w:ascii="Arial Narrow" w:eastAsia="Times New Roman" w:hAnsi="Arial Narrow" w:cs="Times New Roman"/>
                <w:b/>
                <w:bCs/>
                <w:color w:val="000000"/>
                <w:sz w:val="18"/>
                <w:szCs w:val="18"/>
                <w:lang w:val="es-CO" w:eastAsia="es-CO"/>
              </w:rPr>
            </w:pPr>
            <w:r w:rsidRPr="009E12F6">
              <w:rPr>
                <w:rFonts w:ascii="Arial Narrow" w:eastAsia="Times New Roman" w:hAnsi="Arial Narrow" w:cs="Times New Roman"/>
                <w:b/>
                <w:bCs/>
                <w:color w:val="000000"/>
                <w:sz w:val="18"/>
                <w:szCs w:val="18"/>
                <w:lang w:val="es-CO" w:eastAsia="es-CO"/>
              </w:rPr>
              <w:t>59.08%</w:t>
            </w:r>
          </w:p>
        </w:tc>
      </w:tr>
    </w:tbl>
    <w:p w:rsidR="00590FE5" w:rsidRDefault="00590FE5" w:rsidP="00590FE5">
      <w:pPr>
        <w:widowControl w:val="0"/>
        <w:spacing w:before="0" w:line="240" w:lineRule="auto"/>
        <w:jc w:val="center"/>
        <w:rPr>
          <w:rFonts w:ascii="Century Gothic" w:eastAsiaTheme="majorEastAsia" w:hAnsi="Century Gothic" w:cstheme="majorBidi"/>
          <w:b/>
          <w:bCs/>
          <w:color w:val="C00000"/>
          <w:sz w:val="20"/>
          <w:szCs w:val="20"/>
          <w:lang w:val="es-CO"/>
        </w:rPr>
      </w:pPr>
      <w:r w:rsidRPr="009E12F6">
        <w:rPr>
          <w:rFonts w:ascii="Century Gothic" w:eastAsiaTheme="majorEastAsia" w:hAnsi="Century Gothic" w:cstheme="majorBidi"/>
          <w:b/>
          <w:bCs/>
          <w:color w:val="C00000"/>
          <w:sz w:val="20"/>
          <w:szCs w:val="20"/>
          <w:lang w:val="es-CO"/>
        </w:rPr>
        <w:t>Cuadro 2.</w:t>
      </w:r>
      <w:r w:rsidR="007F770A">
        <w:rPr>
          <w:rFonts w:ascii="Century Gothic" w:eastAsiaTheme="majorEastAsia" w:hAnsi="Century Gothic" w:cstheme="majorBidi"/>
          <w:b/>
          <w:bCs/>
          <w:color w:val="C00000"/>
          <w:sz w:val="20"/>
          <w:szCs w:val="20"/>
          <w:lang w:val="es-CO"/>
        </w:rPr>
        <w:t>4</w:t>
      </w:r>
      <w:r w:rsidRPr="009E12F6">
        <w:rPr>
          <w:rFonts w:ascii="Century Gothic" w:eastAsiaTheme="majorEastAsia" w:hAnsi="Century Gothic" w:cstheme="majorBidi"/>
          <w:b/>
          <w:bCs/>
          <w:color w:val="C00000"/>
          <w:sz w:val="20"/>
          <w:szCs w:val="20"/>
          <w:lang w:val="es-CO"/>
        </w:rPr>
        <w:t xml:space="preserve"> </w:t>
      </w:r>
      <w:r>
        <w:rPr>
          <w:rFonts w:ascii="Century Gothic" w:eastAsiaTheme="majorEastAsia" w:hAnsi="Century Gothic" w:cstheme="majorBidi"/>
          <w:b/>
          <w:bCs/>
          <w:color w:val="C00000"/>
          <w:sz w:val="20"/>
          <w:szCs w:val="20"/>
          <w:lang w:val="es-CO"/>
        </w:rPr>
        <w:t xml:space="preserve">- </w:t>
      </w:r>
      <w:r w:rsidRPr="009E12F6">
        <w:rPr>
          <w:rFonts w:ascii="Century Gothic" w:eastAsiaTheme="majorEastAsia" w:hAnsi="Century Gothic" w:cstheme="majorBidi"/>
          <w:b/>
          <w:bCs/>
          <w:color w:val="C00000"/>
          <w:sz w:val="20"/>
          <w:szCs w:val="20"/>
          <w:lang w:val="es-CO"/>
        </w:rPr>
        <w:t>Ingresos de trabajo por sector según tipo de vinculación laboral</w:t>
      </w:r>
      <w:r>
        <w:rPr>
          <w:rFonts w:ascii="Century Gothic" w:eastAsiaTheme="majorEastAsia" w:hAnsi="Century Gothic" w:cstheme="majorBidi"/>
          <w:b/>
          <w:bCs/>
          <w:color w:val="C00000"/>
          <w:sz w:val="20"/>
          <w:szCs w:val="20"/>
          <w:lang w:val="es-CO"/>
        </w:rPr>
        <w:t xml:space="preserve"> </w:t>
      </w:r>
    </w:p>
    <w:p w:rsidR="009E12F6" w:rsidRPr="009E12F6" w:rsidRDefault="009E12F6" w:rsidP="009E12F6">
      <w:pPr>
        <w:pStyle w:val="PiedeCuadro"/>
        <w:rPr>
          <w:sz w:val="20"/>
        </w:rPr>
      </w:pPr>
      <w:r w:rsidRPr="009E12F6">
        <w:rPr>
          <w:sz w:val="20"/>
        </w:rPr>
        <w:t>Fuente: Cuentas Nacionales DANE</w:t>
      </w:r>
    </w:p>
    <w:p w:rsidR="00CD1581" w:rsidRPr="009E12F6" w:rsidRDefault="009E12F6" w:rsidP="009E12F6">
      <w:pPr>
        <w:pStyle w:val="PiedeCuadro"/>
        <w:spacing w:before="0"/>
        <w:rPr>
          <w:sz w:val="20"/>
        </w:rPr>
      </w:pPr>
      <w:r w:rsidRPr="009E12F6">
        <w:rPr>
          <w:sz w:val="20"/>
        </w:rPr>
        <w:t>Cifras en miles de millones de pesos de  2005</w:t>
      </w:r>
    </w:p>
    <w:p w:rsidR="009E12F6" w:rsidRPr="009E12F6" w:rsidRDefault="009E12F6" w:rsidP="009E12F6">
      <w:pPr>
        <w:pStyle w:val="PiedeCuadro"/>
        <w:rPr>
          <w:sz w:val="20"/>
        </w:rPr>
        <w:sectPr w:rsidR="009E12F6" w:rsidRPr="009E12F6" w:rsidSect="00651C01">
          <w:pgSz w:w="15840" w:h="12240" w:orient="landscape"/>
          <w:pgMar w:top="1701" w:right="1417" w:bottom="851" w:left="1417" w:header="708" w:footer="708" w:gutter="0"/>
          <w:cols w:space="708"/>
          <w:docGrid w:linePitch="360"/>
        </w:sectPr>
      </w:pPr>
    </w:p>
    <w:p w:rsidR="00221EE8" w:rsidRDefault="00CD1581" w:rsidP="00221EE8">
      <w:pPr>
        <w:rPr>
          <w:rFonts w:eastAsia="Times New Roman" w:cs="Times New Roman"/>
          <w:lang w:val="es-CO" w:eastAsia="es-CO"/>
        </w:rPr>
      </w:pPr>
      <w:r>
        <w:rPr>
          <w:rFonts w:eastAsia="Times New Roman" w:cs="Times New Roman"/>
          <w:lang w:val="es-CO" w:eastAsia="es-CO"/>
        </w:rPr>
        <w:lastRenderedPageBreak/>
        <w:t xml:space="preserve">En el año 2005 el DANE hizo por primera vez el cálculo del empleo por sectores utilizando diferentes fuentes e imputaciones particulares. Para el sector de telecomunicaciones y correos el empleo anual se estimó sumando tres fuentes formales y un ajuste por empleo informal, con los resultados que se indican en el siguiente cuadro. El empleo total estimado para ese año fue de 219.700, de los cuales el 43.5% fue generado por empresas medianas y grandes que reportan información financiera, el 28.3% por empresas de servicios y micro-establecimientos que reportan el empleo generado, pero no reportan información financiera, y el 28.2% restante fue el valor imputado por el DANE como empleo informal de trabajadores por cuenta propia (62.000 empleos), cuya actividad principal es la reventa ambulante de minutos, así como el empleo generado por los micro establecimientos que ofrecen servicios de internet. </w:t>
      </w:r>
    </w:p>
    <w:p w:rsidR="00221EE8" w:rsidRDefault="00221EE8" w:rsidP="00221EE8">
      <w:pPr>
        <w:pStyle w:val="Ttulo3"/>
        <w:numPr>
          <w:ilvl w:val="0"/>
          <w:numId w:val="0"/>
        </w:numPr>
        <w:jc w:val="both"/>
      </w:pPr>
      <w:r>
        <w:rPr>
          <w:lang w:val="es-CO"/>
        </w:rPr>
        <w:t xml:space="preserve">c4. </w:t>
      </w:r>
      <w:r w:rsidRPr="00CD0A6E">
        <w:t xml:space="preserve">Efectos multiplicadores de un incremento en demanda </w:t>
      </w:r>
      <w:r>
        <w:t>sectorial</w:t>
      </w:r>
      <w:r w:rsidRPr="00CD0A6E">
        <w:t xml:space="preserve"> sobre los ingresos laborales en la economía </w:t>
      </w:r>
    </w:p>
    <w:p w:rsidR="00221EE8" w:rsidRDefault="00221EE8" w:rsidP="00221EE8">
      <w:pPr>
        <w:tabs>
          <w:tab w:val="left" w:pos="2130"/>
        </w:tabs>
        <w:rPr>
          <w:lang w:eastAsia="es-ES"/>
        </w:rPr>
      </w:pPr>
      <w:r>
        <w:rPr>
          <w:lang w:eastAsia="es-ES"/>
        </w:rPr>
        <w:t>Las gráficas 2.5 a y b muestran los impactos totales (directos e indirectos) en los años 2005 y 2011 de un incremento unitario en demanda, sector por sector, sobre el empleo en la economía, en términos de la remuneración a asalariados. Por otro lado, los cuadros 2.5 c y d muestran esos mismos impactos en los años 2005 y 2011,  pero sobre los ingresos mixtos de trabajadores independientes o por cuenta propia.</w:t>
      </w:r>
    </w:p>
    <w:p w:rsidR="00221EE8" w:rsidRDefault="00221EE8" w:rsidP="00221EE8">
      <w:pPr>
        <w:tabs>
          <w:tab w:val="left" w:pos="2130"/>
        </w:tabs>
        <w:rPr>
          <w:lang w:eastAsia="es-ES"/>
        </w:rPr>
      </w:pPr>
      <w:r>
        <w:rPr>
          <w:lang w:eastAsia="es-ES"/>
        </w:rPr>
        <w:t>Como puede observarse en la gráfica 2.5a, un incremento de $1 en la demanda de productos y servicios del sector de Telecomunicaciones y Correos tuvo en el año 2005 como impacto un incremento de $0.216</w:t>
      </w:r>
      <w:r w:rsidRPr="00167A9A">
        <w:rPr>
          <w:lang w:eastAsia="es-ES"/>
        </w:rPr>
        <w:t xml:space="preserve"> en  la remuneración del  empleo asalariado en el total de la economía. Este efecto total </w:t>
      </w:r>
      <w:r>
        <w:rPr>
          <w:lang w:eastAsia="es-ES"/>
        </w:rPr>
        <w:t>fue de $0.209 en el año 2011, muy similar al calculado para el año 2005, según se observa en la gráfica 2.3.5b a continuación.</w:t>
      </w:r>
    </w:p>
    <w:p w:rsidR="00221EE8" w:rsidRDefault="00221EE8" w:rsidP="00221EE8">
      <w:pPr>
        <w:tabs>
          <w:tab w:val="left" w:pos="2130"/>
        </w:tabs>
        <w:rPr>
          <w:lang w:eastAsia="es-ES"/>
        </w:rPr>
      </w:pPr>
      <w:r>
        <w:rPr>
          <w:lang w:eastAsia="es-ES"/>
        </w:rPr>
        <w:t xml:space="preserve">Estos resultados ubicaron en el año 2005 al sector de telecomunicaciones y correos en términos de su impacto sobre el empleo asalariado en un lugar intermedio frente a los demás sectores de la economía considerados. Efectivamente, en el año 2005 este efecto multiplicador ocupó el quinto puesto de menor a mayor impacto, superando a los sectores de minería y petróleo,  industria pesada, construcción y obras públicas y transporte, pero siendo superado por el resto de sectores que tienden a ser más intensivos en mano de obra, como el sector agropecuario, los servicios, el comercio y la industria liviana y, por lo tanto, deben aportar un impacto directo mayor. Los resultados para el año 2011 presentados a continuación, con una ligera disminución en el impacto global (al pasar de $0,215 a $0,209), colocan al sector de telecomunicaciones y correos más cerca de la cola inferior de la distribución, superando únicamente a los </w:t>
      </w:r>
      <w:r>
        <w:rPr>
          <w:lang w:eastAsia="es-ES"/>
        </w:rPr>
        <w:lastRenderedPageBreak/>
        <w:t>sectores de minería y petróleo y construcción y obras públicas, que posiblemente demandan menos insumos de otros sectores de la economía.</w:t>
      </w:r>
    </w:p>
    <w:p w:rsidR="00221EE8" w:rsidRDefault="00221EE8" w:rsidP="00221EE8">
      <w:pPr>
        <w:spacing w:before="0" w:line="240" w:lineRule="auto"/>
        <w:jc w:val="center"/>
        <w:rPr>
          <w:rFonts w:eastAsia="Times New Roman" w:cs="Times New Roman"/>
          <w:b/>
          <w:lang w:val="es-CO" w:eastAsia="es-CO"/>
        </w:rPr>
      </w:pPr>
    </w:p>
    <w:p w:rsidR="00221EE8" w:rsidRPr="00CA5BD4" w:rsidRDefault="00221EE8" w:rsidP="00221EE8">
      <w:pPr>
        <w:spacing w:before="0" w:after="120"/>
        <w:rPr>
          <w:rFonts w:eastAsia="Times New Roman" w:cs="Times New Roman"/>
          <w:b/>
          <w:lang w:val="es-CO" w:eastAsia="es-CO"/>
        </w:rPr>
      </w:pPr>
      <w:r>
        <w:rPr>
          <w:rFonts w:ascii="Century Gothic" w:eastAsiaTheme="majorEastAsia" w:hAnsi="Century Gothic" w:cstheme="majorBidi"/>
          <w:b/>
          <w:bCs/>
          <w:color w:val="C00000"/>
          <w:sz w:val="20"/>
          <w:szCs w:val="20"/>
          <w:lang w:val="es-CO"/>
        </w:rPr>
        <w:t>F</w:t>
      </w:r>
      <w:r w:rsidRPr="00D72C10">
        <w:rPr>
          <w:rFonts w:ascii="Century Gothic" w:eastAsiaTheme="majorEastAsia" w:hAnsi="Century Gothic" w:cstheme="majorBidi"/>
          <w:b/>
          <w:bCs/>
          <w:color w:val="C00000"/>
          <w:sz w:val="20"/>
          <w:szCs w:val="20"/>
          <w:lang w:val="es-CO"/>
        </w:rPr>
        <w:t xml:space="preserve">igura </w:t>
      </w:r>
      <w:r>
        <w:rPr>
          <w:rFonts w:ascii="Century Gothic" w:eastAsiaTheme="majorEastAsia" w:hAnsi="Century Gothic" w:cstheme="majorBidi"/>
          <w:b/>
          <w:bCs/>
          <w:color w:val="C00000"/>
          <w:sz w:val="20"/>
          <w:szCs w:val="20"/>
          <w:lang w:val="es-CO"/>
        </w:rPr>
        <w:t>2</w:t>
      </w:r>
      <w:r w:rsidRPr="00590FE5">
        <w:rPr>
          <w:rFonts w:ascii="Century Gothic" w:eastAsiaTheme="majorEastAsia" w:hAnsi="Century Gothic" w:cstheme="majorBidi"/>
          <w:b/>
          <w:bCs/>
          <w:color w:val="C00000"/>
          <w:sz w:val="20"/>
          <w:szCs w:val="20"/>
          <w:lang w:val="es-CO"/>
        </w:rPr>
        <w:t>.5</w:t>
      </w:r>
      <w:r>
        <w:rPr>
          <w:rFonts w:ascii="Century Gothic" w:eastAsiaTheme="majorEastAsia" w:hAnsi="Century Gothic" w:cstheme="majorBidi"/>
          <w:b/>
          <w:bCs/>
          <w:color w:val="C00000"/>
          <w:sz w:val="20"/>
          <w:szCs w:val="20"/>
          <w:lang w:val="es-CO"/>
        </w:rPr>
        <w:t xml:space="preserve">a - </w:t>
      </w:r>
      <w:r w:rsidRPr="00590FE5">
        <w:rPr>
          <w:rFonts w:ascii="Century Gothic" w:eastAsiaTheme="majorEastAsia" w:hAnsi="Century Gothic" w:cstheme="majorBidi"/>
          <w:b/>
          <w:bCs/>
          <w:color w:val="C00000"/>
          <w:sz w:val="20"/>
          <w:szCs w:val="20"/>
          <w:lang w:val="es-CO"/>
        </w:rPr>
        <w:t>Impacto de la demanda sobre la Remuneración a Asalariados para el año 2005</w:t>
      </w:r>
    </w:p>
    <w:p w:rsidR="00221EE8" w:rsidRDefault="00221EE8" w:rsidP="00221EE8">
      <w:pPr>
        <w:spacing w:after="240"/>
        <w:jc w:val="center"/>
        <w:rPr>
          <w:rFonts w:eastAsia="Times New Roman" w:cs="Times New Roman"/>
          <w:lang w:val="es-CO" w:eastAsia="es-CO"/>
        </w:rPr>
      </w:pPr>
      <w:r w:rsidRPr="003634F0">
        <w:rPr>
          <w:rFonts w:ascii="Calibri" w:hAnsi="Calibri"/>
          <w:noProof/>
          <w:lang w:val="es-CO" w:eastAsia="es-CO"/>
        </w:rPr>
        <w:drawing>
          <wp:inline distT="0" distB="0" distL="0" distR="0">
            <wp:extent cx="4922875" cy="2668772"/>
            <wp:effectExtent l="0" t="0" r="0" b="0"/>
            <wp:docPr id="51" name="Grá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221EE8" w:rsidRPr="00590FE5" w:rsidRDefault="00221EE8" w:rsidP="00221EE8">
      <w:pPr>
        <w:spacing w:before="0" w:line="240" w:lineRule="auto"/>
        <w:jc w:val="center"/>
        <w:rPr>
          <w:rFonts w:ascii="Century Gothic" w:hAnsi="Century Gothic" w:cs="Arial"/>
          <w:color w:val="404040" w:themeColor="text1" w:themeTint="BF"/>
          <w:sz w:val="20"/>
          <w:szCs w:val="18"/>
        </w:rPr>
      </w:pPr>
      <w:r w:rsidRPr="00590FE5">
        <w:rPr>
          <w:rFonts w:ascii="Century Gothic" w:hAnsi="Century Gothic" w:cs="Arial"/>
          <w:color w:val="404040" w:themeColor="text1" w:themeTint="BF"/>
          <w:sz w:val="20"/>
          <w:szCs w:val="18"/>
        </w:rPr>
        <w:t>Fuente: Cálculos de Econometría con base en las matrices Insumo –Producto del DANE.</w:t>
      </w:r>
    </w:p>
    <w:p w:rsidR="00221EE8" w:rsidRPr="00590FE5" w:rsidRDefault="00221EE8" w:rsidP="00221EE8">
      <w:pPr>
        <w:spacing w:before="0" w:line="240" w:lineRule="auto"/>
        <w:jc w:val="center"/>
        <w:rPr>
          <w:rFonts w:ascii="Century Gothic" w:hAnsi="Century Gothic" w:cs="Arial"/>
          <w:color w:val="404040" w:themeColor="text1" w:themeTint="BF"/>
          <w:sz w:val="20"/>
          <w:szCs w:val="18"/>
        </w:rPr>
      </w:pPr>
    </w:p>
    <w:p w:rsidR="00221EE8" w:rsidRPr="00590FE5" w:rsidRDefault="00221EE8" w:rsidP="00221EE8">
      <w:pPr>
        <w:jc w:val="cente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t>F</w:t>
      </w:r>
      <w:r w:rsidRPr="00D72C10">
        <w:rPr>
          <w:rFonts w:ascii="Century Gothic" w:eastAsiaTheme="majorEastAsia" w:hAnsi="Century Gothic" w:cstheme="majorBidi"/>
          <w:b/>
          <w:bCs/>
          <w:color w:val="C00000"/>
          <w:sz w:val="20"/>
          <w:szCs w:val="20"/>
          <w:lang w:val="es-CO"/>
        </w:rPr>
        <w:t xml:space="preserve">igura </w:t>
      </w:r>
      <w:r>
        <w:rPr>
          <w:rFonts w:ascii="Century Gothic" w:eastAsiaTheme="majorEastAsia" w:hAnsi="Century Gothic" w:cstheme="majorBidi"/>
          <w:b/>
          <w:bCs/>
          <w:color w:val="C00000"/>
          <w:sz w:val="20"/>
          <w:szCs w:val="20"/>
          <w:lang w:val="es-CO"/>
        </w:rPr>
        <w:t>2</w:t>
      </w:r>
      <w:r w:rsidRPr="00590FE5">
        <w:rPr>
          <w:rFonts w:ascii="Century Gothic" w:eastAsiaTheme="majorEastAsia" w:hAnsi="Century Gothic" w:cstheme="majorBidi"/>
          <w:b/>
          <w:bCs/>
          <w:color w:val="C00000"/>
          <w:sz w:val="20"/>
          <w:szCs w:val="20"/>
          <w:lang w:val="es-CO"/>
        </w:rPr>
        <w:t>.5b</w:t>
      </w:r>
      <w:r>
        <w:rPr>
          <w:rFonts w:ascii="Century Gothic" w:eastAsiaTheme="majorEastAsia" w:hAnsi="Century Gothic" w:cstheme="majorBidi"/>
          <w:b/>
          <w:bCs/>
          <w:color w:val="C00000"/>
          <w:sz w:val="20"/>
          <w:szCs w:val="20"/>
          <w:lang w:val="es-CO"/>
        </w:rPr>
        <w:t xml:space="preserve"> - </w:t>
      </w:r>
      <w:r w:rsidRPr="00590FE5">
        <w:rPr>
          <w:rFonts w:ascii="Century Gothic" w:eastAsiaTheme="majorEastAsia" w:hAnsi="Century Gothic" w:cstheme="majorBidi"/>
          <w:b/>
          <w:bCs/>
          <w:color w:val="C00000"/>
          <w:sz w:val="20"/>
          <w:szCs w:val="20"/>
          <w:lang w:val="es-CO"/>
        </w:rPr>
        <w:t>Impacto de la demanda sobre la Remuneración a Asalariados para el año 2011</w:t>
      </w:r>
    </w:p>
    <w:p w:rsidR="00221EE8" w:rsidRPr="00590FE5" w:rsidRDefault="00221EE8" w:rsidP="00221EE8">
      <w:pPr>
        <w:spacing w:after="240"/>
        <w:jc w:val="center"/>
        <w:rPr>
          <w:rFonts w:ascii="Century Gothic" w:eastAsiaTheme="majorEastAsia" w:hAnsi="Century Gothic" w:cstheme="majorBidi"/>
          <w:b/>
          <w:bCs/>
          <w:color w:val="C00000"/>
          <w:sz w:val="20"/>
          <w:szCs w:val="20"/>
          <w:lang w:val="es-CO"/>
        </w:rPr>
      </w:pPr>
      <w:r w:rsidRPr="00590FE5">
        <w:rPr>
          <w:rFonts w:ascii="Century Gothic" w:eastAsiaTheme="majorEastAsia" w:hAnsi="Century Gothic" w:cstheme="majorBidi"/>
          <w:b/>
          <w:bCs/>
          <w:noProof/>
          <w:color w:val="C00000"/>
          <w:sz w:val="20"/>
          <w:szCs w:val="20"/>
          <w:lang w:val="es-CO" w:eastAsia="es-CO"/>
        </w:rPr>
        <w:drawing>
          <wp:inline distT="0" distB="0" distL="0" distR="0">
            <wp:extent cx="4742121" cy="2923953"/>
            <wp:effectExtent l="0" t="0" r="1905" b="0"/>
            <wp:docPr id="52" name="Gráfico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221EE8" w:rsidRPr="007D1F7F" w:rsidRDefault="00221EE8" w:rsidP="00221EE8">
      <w:pPr>
        <w:spacing w:before="0" w:line="240" w:lineRule="auto"/>
        <w:jc w:val="center"/>
        <w:rPr>
          <w:rFonts w:ascii="Century Gothic" w:hAnsi="Century Gothic" w:cs="Arial"/>
          <w:color w:val="404040" w:themeColor="text1" w:themeTint="BF"/>
          <w:sz w:val="20"/>
          <w:szCs w:val="18"/>
        </w:rPr>
      </w:pPr>
      <w:r w:rsidRPr="007D1F7F">
        <w:rPr>
          <w:rFonts w:ascii="Century Gothic" w:hAnsi="Century Gothic" w:cs="Arial"/>
          <w:color w:val="404040" w:themeColor="text1" w:themeTint="BF"/>
          <w:sz w:val="20"/>
          <w:szCs w:val="18"/>
        </w:rPr>
        <w:t>Fuente: Cálculos de Econometría con base en las matrices Insumo –Producto del DANE.</w:t>
      </w:r>
    </w:p>
    <w:p w:rsidR="00221EE8" w:rsidRDefault="00221EE8" w:rsidP="00221EE8">
      <w:pPr>
        <w:tabs>
          <w:tab w:val="left" w:pos="2130"/>
        </w:tabs>
        <w:rPr>
          <w:lang w:eastAsia="es-ES"/>
        </w:rPr>
      </w:pPr>
      <w:r>
        <w:rPr>
          <w:lang w:val="es-CO" w:eastAsia="es-ES"/>
        </w:rPr>
        <w:lastRenderedPageBreak/>
        <w:t>Por otro lado, las</w:t>
      </w:r>
      <w:r>
        <w:rPr>
          <w:lang w:eastAsia="es-ES"/>
        </w:rPr>
        <w:t xml:space="preserve"> figuras 2.5 c y d muestran los impactos totales (directos e indirectos) en el año 2005 de un incremento unitario en demanda, sector por sector, sobre el empleo en la economía, en términos de los ingresos mixtos de trabajadores independientes o por cuenta propia.</w:t>
      </w:r>
    </w:p>
    <w:p w:rsidR="00221EE8" w:rsidRDefault="00221EE8" w:rsidP="00221EE8">
      <w:pPr>
        <w:tabs>
          <w:tab w:val="left" w:pos="2130"/>
        </w:tabs>
        <w:rPr>
          <w:lang w:eastAsia="es-ES"/>
        </w:rPr>
      </w:pPr>
      <w:r>
        <w:rPr>
          <w:lang w:eastAsia="es-ES"/>
        </w:rPr>
        <w:t>Como puede observarse en la figura 2.5c, un incremento de $1 en la demanda de productos y servicios del sector de Telecomunicaciones y Correos, tuvo en el año 2005 como impacto un incremento de $0.136 en  el ingreso mixto de trabajadores independientes o por cuenta propia en el total de la economía, efecto inferior al observado para el segmento de trabajadores asalariados. Este efecto total hubiera sido de $0.112 en el año 2011, $0,024  por debajo del calculado para el año 2005.</w:t>
      </w:r>
    </w:p>
    <w:p w:rsidR="00221EE8" w:rsidRDefault="00221EE8" w:rsidP="00221EE8">
      <w:pPr>
        <w:tabs>
          <w:tab w:val="left" w:pos="2130"/>
        </w:tabs>
        <w:rPr>
          <w:lang w:eastAsia="es-ES"/>
        </w:rPr>
      </w:pPr>
      <w:r>
        <w:rPr>
          <w:lang w:eastAsia="es-ES"/>
        </w:rPr>
        <w:t xml:space="preserve">Estos resultados ubican al sector de telecomunicaciones y correos, en términos de su impacto sobre el ingreso mixto de trabajadores independientes o por cuenta propia, en la cola de la distribución frente a los demás sectores de la economía considerados. Efectivamente, tanto en el año 2005 como en el año 2011, este efecto multiplicador ocupa el tercer puesto de menor a mayor impacto, superando sólo a los sectores de minería y petróleo y construcción y obras públicas, y siendo superado por el resto de sectores que tienden a ser más intensivos en mano de obra y/o tener una mayor proporción de informalidad en el empleo, como el sector agropecuario, los servicios, el comercio y la industria. Los resultados para el año 2011 presentados a continuación, con una ligera disminución en el impacto global (al pasar de $0,136 a $0,112). </w:t>
      </w:r>
    </w:p>
    <w:p w:rsidR="00221EE8" w:rsidRPr="00DF6D67" w:rsidRDefault="00221EE8" w:rsidP="00221EE8">
      <w:pPr>
        <w:spacing w:after="240"/>
        <w:rPr>
          <w:rFonts w:eastAsia="Times New Roman" w:cs="Times New Roman"/>
          <w:lang w:eastAsia="es-CO"/>
        </w:rPr>
      </w:pPr>
    </w:p>
    <w:p w:rsidR="00221EE8" w:rsidRDefault="00221EE8" w:rsidP="00221EE8">
      <w:pPr>
        <w:spacing w:after="240"/>
        <w:jc w:val="center"/>
        <w:rPr>
          <w:rFonts w:eastAsia="Times New Roman" w:cs="Times New Roman"/>
          <w:lang w:val="es-CO" w:eastAsia="es-CO"/>
        </w:rPr>
      </w:pPr>
    </w:p>
    <w:p w:rsidR="00221EE8" w:rsidRDefault="00221EE8" w:rsidP="00221EE8">
      <w:pPr>
        <w:spacing w:after="240"/>
        <w:jc w:val="center"/>
        <w:rPr>
          <w:rFonts w:eastAsia="Times New Roman" w:cs="Times New Roman"/>
          <w:lang w:val="es-CO" w:eastAsia="es-CO"/>
        </w:rPr>
      </w:pPr>
    </w:p>
    <w:p w:rsidR="00221EE8" w:rsidRDefault="00221EE8" w:rsidP="00221EE8">
      <w:pPr>
        <w:spacing w:after="240"/>
        <w:jc w:val="center"/>
        <w:rPr>
          <w:rFonts w:eastAsia="Times New Roman" w:cs="Times New Roman"/>
          <w:lang w:val="es-CO" w:eastAsia="es-CO"/>
        </w:rPr>
      </w:pPr>
    </w:p>
    <w:p w:rsidR="00221EE8" w:rsidRDefault="00221EE8" w:rsidP="00221EE8">
      <w:pPr>
        <w:spacing w:before="0" w:line="240" w:lineRule="auto"/>
        <w:jc w:val="center"/>
        <w:rPr>
          <w:rFonts w:eastAsia="Times New Roman" w:cs="Times New Roman"/>
          <w:b/>
          <w:lang w:val="es-CO" w:eastAsia="es-CO"/>
        </w:rPr>
      </w:pPr>
    </w:p>
    <w:p w:rsidR="00221EE8" w:rsidRDefault="00221EE8" w:rsidP="00221EE8">
      <w:pPr>
        <w:spacing w:before="0" w:line="240" w:lineRule="auto"/>
        <w:jc w:val="center"/>
        <w:rPr>
          <w:rFonts w:eastAsia="Times New Roman" w:cs="Times New Roman"/>
          <w:b/>
          <w:lang w:val="es-CO" w:eastAsia="es-CO"/>
        </w:rPr>
      </w:pPr>
    </w:p>
    <w:p w:rsidR="00221EE8" w:rsidRDefault="00221EE8" w:rsidP="00221EE8">
      <w:pPr>
        <w:spacing w:before="0" w:line="240" w:lineRule="auto"/>
        <w:jc w:val="center"/>
        <w:rPr>
          <w:rFonts w:eastAsia="Times New Roman" w:cs="Times New Roman"/>
          <w:b/>
          <w:lang w:val="es-CO" w:eastAsia="es-CO"/>
        </w:rPr>
      </w:pPr>
    </w:p>
    <w:p w:rsidR="001F32B1" w:rsidRDefault="001F32B1" w:rsidP="00221EE8">
      <w:pPr>
        <w:spacing w:before="0" w:line="240" w:lineRule="auto"/>
        <w:jc w:val="center"/>
        <w:rPr>
          <w:rFonts w:eastAsia="Times New Roman" w:cs="Times New Roman"/>
          <w:b/>
          <w:lang w:val="es-CO" w:eastAsia="es-CO"/>
        </w:rPr>
      </w:pPr>
    </w:p>
    <w:p w:rsidR="001F32B1" w:rsidRDefault="001F32B1" w:rsidP="00221EE8">
      <w:pPr>
        <w:spacing w:before="0" w:line="240" w:lineRule="auto"/>
        <w:jc w:val="center"/>
        <w:rPr>
          <w:rFonts w:eastAsia="Times New Roman" w:cs="Times New Roman"/>
          <w:b/>
          <w:lang w:val="es-CO" w:eastAsia="es-CO"/>
        </w:rPr>
      </w:pPr>
    </w:p>
    <w:p w:rsidR="00221EE8" w:rsidRDefault="00221EE8" w:rsidP="00221EE8">
      <w:pPr>
        <w:spacing w:before="0" w:line="240" w:lineRule="auto"/>
        <w:jc w:val="center"/>
        <w:rPr>
          <w:rFonts w:eastAsia="Times New Roman" w:cs="Times New Roman"/>
          <w:b/>
          <w:lang w:val="es-CO" w:eastAsia="es-CO"/>
        </w:rPr>
      </w:pPr>
    </w:p>
    <w:p w:rsidR="00221EE8" w:rsidRDefault="00221EE8" w:rsidP="00221EE8">
      <w:pPr>
        <w:spacing w:before="0" w:line="240" w:lineRule="auto"/>
        <w:jc w:val="center"/>
        <w:rPr>
          <w:rFonts w:eastAsia="Times New Roman" w:cs="Times New Roman"/>
          <w:b/>
          <w:lang w:val="es-CO" w:eastAsia="es-CO"/>
        </w:rPr>
      </w:pPr>
    </w:p>
    <w:p w:rsidR="00221EE8" w:rsidRDefault="00221EE8" w:rsidP="00221EE8">
      <w:pPr>
        <w:spacing w:before="0" w:line="240" w:lineRule="auto"/>
        <w:jc w:val="center"/>
        <w:rPr>
          <w:rFonts w:eastAsia="Times New Roman" w:cs="Times New Roman"/>
          <w:b/>
          <w:lang w:val="es-CO" w:eastAsia="es-CO"/>
        </w:rPr>
      </w:pPr>
    </w:p>
    <w:p w:rsidR="00221EE8" w:rsidRDefault="00221EE8" w:rsidP="00221EE8">
      <w:pPr>
        <w:spacing w:before="0" w:line="240" w:lineRule="auto"/>
        <w:jc w:val="center"/>
        <w:rPr>
          <w:rFonts w:eastAsia="Times New Roman" w:cs="Times New Roman"/>
          <w:b/>
          <w:lang w:val="es-CO" w:eastAsia="es-CO"/>
        </w:rPr>
      </w:pPr>
    </w:p>
    <w:p w:rsidR="00221EE8" w:rsidRDefault="00221EE8" w:rsidP="00221EE8">
      <w:pPr>
        <w:spacing w:before="0" w:line="240" w:lineRule="auto"/>
        <w:jc w:val="center"/>
        <w:rPr>
          <w:rFonts w:eastAsia="Times New Roman" w:cs="Times New Roman"/>
          <w:b/>
          <w:lang w:val="es-CO" w:eastAsia="es-CO"/>
        </w:rPr>
      </w:pPr>
    </w:p>
    <w:p w:rsidR="00221EE8" w:rsidRDefault="00221EE8" w:rsidP="00221EE8">
      <w:pPr>
        <w:spacing w:before="0" w:line="240" w:lineRule="auto"/>
        <w:jc w:val="center"/>
        <w:rPr>
          <w:rFonts w:eastAsia="Times New Roman" w:cs="Times New Roman"/>
          <w:b/>
          <w:lang w:val="es-CO" w:eastAsia="es-CO"/>
        </w:rPr>
      </w:pPr>
    </w:p>
    <w:p w:rsidR="00221EE8" w:rsidRPr="007D1F7F" w:rsidRDefault="00221EE8" w:rsidP="00221EE8">
      <w:pPr>
        <w:spacing w:before="0" w:line="240" w:lineRule="auto"/>
        <w:jc w:val="cente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lastRenderedPageBreak/>
        <w:t>F</w:t>
      </w:r>
      <w:r w:rsidRPr="00D72C10">
        <w:rPr>
          <w:rFonts w:ascii="Century Gothic" w:eastAsiaTheme="majorEastAsia" w:hAnsi="Century Gothic" w:cstheme="majorBidi"/>
          <w:b/>
          <w:bCs/>
          <w:color w:val="C00000"/>
          <w:sz w:val="20"/>
          <w:szCs w:val="20"/>
          <w:lang w:val="es-CO"/>
        </w:rPr>
        <w:t xml:space="preserve">igura </w:t>
      </w:r>
      <w:r>
        <w:rPr>
          <w:rFonts w:ascii="Century Gothic" w:eastAsiaTheme="majorEastAsia" w:hAnsi="Century Gothic" w:cstheme="majorBidi"/>
          <w:b/>
          <w:bCs/>
          <w:color w:val="C00000"/>
          <w:sz w:val="20"/>
          <w:szCs w:val="20"/>
          <w:lang w:val="es-CO"/>
        </w:rPr>
        <w:t>2.</w:t>
      </w:r>
      <w:r w:rsidRPr="007D1F7F">
        <w:rPr>
          <w:rFonts w:ascii="Century Gothic" w:eastAsiaTheme="majorEastAsia" w:hAnsi="Century Gothic" w:cstheme="majorBidi"/>
          <w:b/>
          <w:bCs/>
          <w:color w:val="C00000"/>
          <w:sz w:val="20"/>
          <w:szCs w:val="20"/>
          <w:lang w:val="es-CO"/>
        </w:rPr>
        <w:t>5c</w:t>
      </w:r>
      <w:r>
        <w:rPr>
          <w:rFonts w:ascii="Century Gothic" w:eastAsiaTheme="majorEastAsia" w:hAnsi="Century Gothic" w:cstheme="majorBidi"/>
          <w:b/>
          <w:bCs/>
          <w:color w:val="C00000"/>
          <w:sz w:val="20"/>
          <w:szCs w:val="20"/>
          <w:lang w:val="es-CO"/>
        </w:rPr>
        <w:t xml:space="preserve"> - </w:t>
      </w:r>
      <w:r w:rsidRPr="007D1F7F">
        <w:rPr>
          <w:rFonts w:ascii="Century Gothic" w:eastAsiaTheme="majorEastAsia" w:hAnsi="Century Gothic" w:cstheme="majorBidi"/>
          <w:b/>
          <w:bCs/>
          <w:color w:val="C00000"/>
          <w:sz w:val="20"/>
          <w:szCs w:val="20"/>
          <w:lang w:val="es-CO"/>
        </w:rPr>
        <w:t>Impacto de la demanda sobre el Ingreso Mixto para el año 2005</w:t>
      </w:r>
    </w:p>
    <w:p w:rsidR="00221EE8" w:rsidRDefault="00221EE8" w:rsidP="00221EE8">
      <w:pPr>
        <w:spacing w:after="240"/>
        <w:jc w:val="center"/>
        <w:rPr>
          <w:rFonts w:eastAsia="Times New Roman" w:cs="Times New Roman"/>
          <w:lang w:val="es-CO" w:eastAsia="es-CO"/>
        </w:rPr>
      </w:pPr>
      <w:r w:rsidRPr="003634F0">
        <w:rPr>
          <w:rFonts w:ascii="Calibri" w:hAnsi="Calibri"/>
          <w:noProof/>
          <w:lang w:val="es-CO" w:eastAsia="es-CO"/>
        </w:rPr>
        <w:drawing>
          <wp:inline distT="0" distB="0" distL="0" distR="0">
            <wp:extent cx="4651972" cy="2920621"/>
            <wp:effectExtent l="19050" t="0" r="15278" b="0"/>
            <wp:docPr id="53" name="Grá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221EE8" w:rsidRDefault="00221EE8" w:rsidP="00221EE8">
      <w:pPr>
        <w:spacing w:before="0" w:line="240" w:lineRule="auto"/>
        <w:jc w:val="center"/>
        <w:rPr>
          <w:rFonts w:ascii="Century Gothic" w:hAnsi="Century Gothic" w:cs="Arial"/>
          <w:color w:val="404040" w:themeColor="text1" w:themeTint="BF"/>
          <w:sz w:val="20"/>
          <w:szCs w:val="18"/>
        </w:rPr>
      </w:pPr>
      <w:r w:rsidRPr="007D1F7F">
        <w:rPr>
          <w:rFonts w:ascii="Century Gothic" w:hAnsi="Century Gothic" w:cs="Arial"/>
          <w:color w:val="404040" w:themeColor="text1" w:themeTint="BF"/>
          <w:sz w:val="20"/>
          <w:szCs w:val="18"/>
        </w:rPr>
        <w:tab/>
      </w:r>
      <w:r w:rsidRPr="007D1F7F">
        <w:rPr>
          <w:rFonts w:ascii="Century Gothic" w:hAnsi="Century Gothic" w:cs="Arial"/>
          <w:color w:val="404040" w:themeColor="text1" w:themeTint="BF"/>
          <w:sz w:val="20"/>
          <w:szCs w:val="18"/>
        </w:rPr>
        <w:tab/>
        <w:t>Fuente: Cálculos de Econometría con base en las matrices Insumo –Producto del DANE.</w:t>
      </w:r>
    </w:p>
    <w:p w:rsidR="00221EE8" w:rsidRPr="007D1F7F" w:rsidRDefault="00221EE8" w:rsidP="00221EE8">
      <w:pP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t>F</w:t>
      </w:r>
      <w:r w:rsidRPr="00D72C10">
        <w:rPr>
          <w:rFonts w:ascii="Century Gothic" w:eastAsiaTheme="majorEastAsia" w:hAnsi="Century Gothic" w:cstheme="majorBidi"/>
          <w:b/>
          <w:bCs/>
          <w:color w:val="C00000"/>
          <w:sz w:val="20"/>
          <w:szCs w:val="20"/>
          <w:lang w:val="es-CO"/>
        </w:rPr>
        <w:t xml:space="preserve">igura </w:t>
      </w:r>
      <w:r>
        <w:rPr>
          <w:rFonts w:ascii="Century Gothic" w:eastAsiaTheme="majorEastAsia" w:hAnsi="Century Gothic" w:cstheme="majorBidi"/>
          <w:b/>
          <w:bCs/>
          <w:color w:val="C00000"/>
          <w:sz w:val="20"/>
          <w:szCs w:val="20"/>
          <w:lang w:val="es-CO"/>
        </w:rPr>
        <w:t>2.5</w:t>
      </w:r>
      <w:r w:rsidRPr="007D1F7F">
        <w:rPr>
          <w:rFonts w:ascii="Century Gothic" w:eastAsiaTheme="majorEastAsia" w:hAnsi="Century Gothic" w:cstheme="majorBidi"/>
          <w:b/>
          <w:bCs/>
          <w:color w:val="C00000"/>
          <w:sz w:val="20"/>
          <w:szCs w:val="20"/>
          <w:lang w:val="es-CO"/>
        </w:rPr>
        <w:t>d</w:t>
      </w:r>
      <w:r>
        <w:rPr>
          <w:rFonts w:ascii="Century Gothic" w:eastAsiaTheme="majorEastAsia" w:hAnsi="Century Gothic" w:cstheme="majorBidi"/>
          <w:b/>
          <w:bCs/>
          <w:color w:val="C00000"/>
          <w:sz w:val="20"/>
          <w:szCs w:val="20"/>
          <w:lang w:val="es-CO"/>
        </w:rPr>
        <w:t xml:space="preserve"> - </w:t>
      </w:r>
      <w:r w:rsidRPr="007D1F7F">
        <w:rPr>
          <w:rFonts w:ascii="Century Gothic" w:eastAsiaTheme="majorEastAsia" w:hAnsi="Century Gothic" w:cstheme="majorBidi"/>
          <w:b/>
          <w:bCs/>
          <w:color w:val="C00000"/>
          <w:sz w:val="20"/>
          <w:szCs w:val="20"/>
          <w:lang w:val="es-CO"/>
        </w:rPr>
        <w:t>Impacto de la demanda sobre el Ingreso Mixto para el año 2011</w:t>
      </w:r>
    </w:p>
    <w:p w:rsidR="00221EE8" w:rsidRDefault="00221EE8" w:rsidP="00221EE8">
      <w:pPr>
        <w:spacing w:after="240"/>
        <w:jc w:val="center"/>
        <w:rPr>
          <w:rFonts w:eastAsia="Times New Roman" w:cs="Times New Roman"/>
          <w:lang w:val="es-CO" w:eastAsia="es-CO"/>
        </w:rPr>
      </w:pPr>
      <w:r w:rsidRPr="003634F0">
        <w:rPr>
          <w:rFonts w:ascii="Calibri" w:hAnsi="Calibri"/>
          <w:noProof/>
          <w:lang w:val="es-CO" w:eastAsia="es-CO"/>
        </w:rPr>
        <w:drawing>
          <wp:inline distT="0" distB="0" distL="0" distR="0">
            <wp:extent cx="4574844" cy="3138986"/>
            <wp:effectExtent l="19050" t="0" r="16206" b="4264"/>
            <wp:docPr id="54" name="Gráfico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221EE8" w:rsidRPr="007D1F7F" w:rsidRDefault="00221EE8" w:rsidP="00221EE8">
      <w:pPr>
        <w:spacing w:before="0" w:line="240" w:lineRule="auto"/>
        <w:jc w:val="center"/>
        <w:rPr>
          <w:rFonts w:ascii="Century Gothic" w:hAnsi="Century Gothic" w:cs="Arial"/>
          <w:color w:val="404040" w:themeColor="text1" w:themeTint="BF"/>
          <w:sz w:val="20"/>
          <w:szCs w:val="18"/>
        </w:rPr>
      </w:pPr>
      <w:r w:rsidRPr="007D1F7F">
        <w:rPr>
          <w:rFonts w:ascii="Century Gothic" w:hAnsi="Century Gothic" w:cs="Arial"/>
          <w:color w:val="404040" w:themeColor="text1" w:themeTint="BF"/>
          <w:sz w:val="20"/>
          <w:szCs w:val="18"/>
        </w:rPr>
        <w:t>Fuente: Cálculos de Econometría con base en las matrices Insumo –Producto del DANE.</w:t>
      </w:r>
    </w:p>
    <w:p w:rsidR="00221EE8" w:rsidRDefault="00221EE8" w:rsidP="00221EE8">
      <w:pPr>
        <w:jc w:val="center"/>
        <w:rPr>
          <w:rFonts w:ascii="Century Gothic" w:hAnsi="Century Gothic" w:cs="Arial"/>
          <w:color w:val="404040" w:themeColor="text1" w:themeTint="BF"/>
          <w:sz w:val="20"/>
          <w:szCs w:val="18"/>
        </w:rPr>
      </w:pPr>
    </w:p>
    <w:p w:rsidR="00221EE8" w:rsidRPr="00221EE8" w:rsidRDefault="00221EE8" w:rsidP="00221EE8">
      <w:pPr>
        <w:pStyle w:val="Ttulo3"/>
        <w:rPr>
          <w:sz w:val="26"/>
          <w:szCs w:val="26"/>
        </w:rPr>
      </w:pPr>
      <w:r w:rsidRPr="00221EE8">
        <w:rPr>
          <w:sz w:val="26"/>
          <w:szCs w:val="26"/>
        </w:rPr>
        <w:lastRenderedPageBreak/>
        <w:t>Empleo en el Sector de Telecomunicaciones (2008–2013)</w:t>
      </w:r>
    </w:p>
    <w:p w:rsidR="00221EE8" w:rsidRDefault="00221EE8" w:rsidP="000D0860">
      <w:pPr>
        <w:rPr>
          <w:lang w:eastAsia="es-ES"/>
        </w:rPr>
      </w:pPr>
      <w:r>
        <w:rPr>
          <w:lang w:eastAsia="es-ES"/>
        </w:rPr>
        <w:t>El análisis anterior con base en las matrices de Insumo-Producto tiene dos limitantes para el análisis de los impactos sobre el empleo en el sector. Por un lado, integra el sector de telecomunicaciones con el sector de correos en una sola rama; y, por el otro, sólo permite calcular los impactos sobre los ingresos laborales, como una componente de los costos de producción del sector, y no los impactos sobre el empleo sectorial, comparando la situación antes con la situación después de la implantación del Plan Vive Digital.</w:t>
      </w:r>
    </w:p>
    <w:p w:rsidR="00221EE8" w:rsidRDefault="00221EE8" w:rsidP="000D0860">
      <w:pPr>
        <w:rPr>
          <w:lang w:eastAsia="es-ES"/>
        </w:rPr>
      </w:pPr>
      <w:r>
        <w:rPr>
          <w:lang w:eastAsia="es-ES"/>
        </w:rPr>
        <w:t>Para subsanar esta limitante se ha solicitado al DANE información sobre el empleo en el sector de telecomunicaciones, antes y después del año 2010, cuando se inicia dicho Plan, con los resultados que se presentan en el Cuadro 2.</w:t>
      </w:r>
      <w:r w:rsidR="000D0860">
        <w:rPr>
          <w:lang w:eastAsia="es-ES"/>
        </w:rPr>
        <w:t xml:space="preserve">5 </w:t>
      </w:r>
      <w:r>
        <w:rPr>
          <w:lang w:eastAsia="es-ES"/>
        </w:rPr>
        <w:t>a continuación.</w:t>
      </w:r>
    </w:p>
    <w:p w:rsidR="00221EE8" w:rsidRDefault="00221EE8" w:rsidP="000D0860">
      <w:pPr>
        <w:rPr>
          <w:lang w:eastAsia="es-ES"/>
        </w:rPr>
      </w:pPr>
      <w:r>
        <w:rPr>
          <w:lang w:eastAsia="es-ES"/>
        </w:rPr>
        <w:t>Un primer resultado importante es que el empleo en el Sector de Telecomunicaciones  (Rama 642 DANE) como proporción del empleo total en la economía viene cayendo en forma sistemática desde el 2008: El empleo del sector crece más lentamente que el empleo global de la economía. Este resultado puede tener varias interpretaciones, pero una de ellas es que ha habido un importante aumento en la productividad del sector, que es consistente con este resultado. Esta participación en el empleo global pasó gradualmente de 1.79% en el 2008 a 1.387% en el 2013.</w:t>
      </w:r>
    </w:p>
    <w:p w:rsidR="00221EE8" w:rsidRDefault="00221EE8" w:rsidP="000D0860">
      <w:pPr>
        <w:rPr>
          <w:lang w:eastAsia="es-ES"/>
        </w:rPr>
      </w:pPr>
      <w:r>
        <w:rPr>
          <w:lang w:eastAsia="es-ES"/>
        </w:rPr>
        <w:t>Un segundo resultado importante es que la proporción de asalariados en el empleo sectorial viene aumentando sistemáticamente desde el 2008, con la consecuente reducción en la proporción de independientes. Esto puede tener varias interpretaciones; una de las cuales es que a partir del año 2008, una de las fuentes más importantes del empleo independiente o por cuenta propia, que era la venta callejera de minutos de celular, se ha reducido drásticamente con la cobertura casi universal de la tenencia de celulares en la población en general.  Esto es consistente con el hecho de que el ingreso laboral promedio de los independientes que continúan trabajando en el sector muestre una tendencia creciente en este período con la salida de vendedores de minutos informales con ingresos inferiores a los observados para este grupo.</w:t>
      </w:r>
    </w:p>
    <w:p w:rsidR="00221EE8" w:rsidRDefault="00221EE8" w:rsidP="000D0860">
      <w:pPr>
        <w:rPr>
          <w:lang w:eastAsia="es-ES"/>
        </w:rPr>
      </w:pPr>
      <w:r>
        <w:rPr>
          <w:lang w:eastAsia="es-ES"/>
        </w:rPr>
        <w:t>Finalmente, la relación (Ingresos Laborales Asalariados/</w:t>
      </w:r>
      <w:r w:rsidR="00A1059A">
        <w:rPr>
          <w:lang w:eastAsia="es-ES"/>
        </w:rPr>
        <w:t>I</w:t>
      </w:r>
      <w:r>
        <w:rPr>
          <w:lang w:eastAsia="es-ES"/>
        </w:rPr>
        <w:t>ngresos Laborales Independientes) muestra una tendencia creciente, que indica un efecto creciente de la productividad en el sector. Como puede observarse, esta relación pasó de 1.31 en 2008 a 2.38 en el año 2013.</w:t>
      </w:r>
    </w:p>
    <w:p w:rsidR="00A1059A" w:rsidRDefault="00A1059A" w:rsidP="00A1059A">
      <w:pPr>
        <w:rPr>
          <w:rFonts w:ascii="Century Gothic" w:eastAsiaTheme="majorEastAsia" w:hAnsi="Century Gothic" w:cstheme="majorBidi"/>
          <w:b/>
          <w:bCs/>
          <w:color w:val="C00000"/>
          <w:sz w:val="20"/>
          <w:szCs w:val="20"/>
          <w:lang w:val="es-CO"/>
        </w:rPr>
      </w:pPr>
    </w:p>
    <w:p w:rsidR="00A1059A" w:rsidRDefault="00A1059A" w:rsidP="00A1059A">
      <w:pPr>
        <w:rPr>
          <w:rFonts w:ascii="Century Gothic" w:eastAsiaTheme="majorEastAsia" w:hAnsi="Century Gothic" w:cstheme="majorBidi"/>
          <w:b/>
          <w:bCs/>
          <w:color w:val="C00000"/>
          <w:sz w:val="20"/>
          <w:szCs w:val="20"/>
          <w:lang w:val="es-CO"/>
        </w:rPr>
      </w:pPr>
    </w:p>
    <w:p w:rsidR="00A1059A" w:rsidRPr="007D1F7F" w:rsidRDefault="00A1059A" w:rsidP="0081195D">
      <w:pPr>
        <w:spacing w:after="240"/>
        <w:jc w:val="cente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lastRenderedPageBreak/>
        <w:t>Cuadro</w:t>
      </w:r>
      <w:r w:rsidRPr="00D72C10">
        <w:rPr>
          <w:rFonts w:ascii="Century Gothic" w:eastAsiaTheme="majorEastAsia" w:hAnsi="Century Gothic" w:cstheme="majorBidi"/>
          <w:b/>
          <w:bCs/>
          <w:color w:val="C00000"/>
          <w:sz w:val="20"/>
          <w:szCs w:val="20"/>
          <w:lang w:val="es-CO"/>
        </w:rPr>
        <w:t xml:space="preserve"> </w:t>
      </w:r>
      <w:r>
        <w:rPr>
          <w:rFonts w:ascii="Century Gothic" w:eastAsiaTheme="majorEastAsia" w:hAnsi="Century Gothic" w:cstheme="majorBidi"/>
          <w:b/>
          <w:bCs/>
          <w:color w:val="C00000"/>
          <w:sz w:val="20"/>
          <w:szCs w:val="20"/>
          <w:lang w:val="es-CO"/>
        </w:rPr>
        <w:t>2.5</w:t>
      </w:r>
      <w:r w:rsidR="00BD5CAC">
        <w:rPr>
          <w:rFonts w:ascii="Century Gothic" w:eastAsiaTheme="majorEastAsia" w:hAnsi="Century Gothic" w:cstheme="majorBidi"/>
          <w:b/>
          <w:bCs/>
          <w:color w:val="C00000"/>
          <w:sz w:val="20"/>
          <w:szCs w:val="20"/>
          <w:lang w:val="es-CO"/>
        </w:rPr>
        <w:t>a</w:t>
      </w:r>
      <w:r>
        <w:rPr>
          <w:rFonts w:ascii="Century Gothic" w:eastAsiaTheme="majorEastAsia" w:hAnsi="Century Gothic" w:cstheme="majorBidi"/>
          <w:b/>
          <w:bCs/>
          <w:color w:val="C00000"/>
          <w:sz w:val="20"/>
          <w:szCs w:val="20"/>
          <w:lang w:val="es-CO"/>
        </w:rPr>
        <w:t xml:space="preserve"> – Indicadores de empleo en el sector de las telecomunicaciones (rama 642)</w:t>
      </w:r>
    </w:p>
    <w:tbl>
      <w:tblPr>
        <w:tblW w:w="5000" w:type="pct"/>
        <w:tblLayout w:type="fixed"/>
        <w:tblCellMar>
          <w:left w:w="70" w:type="dxa"/>
          <w:right w:w="70" w:type="dxa"/>
        </w:tblCellMar>
        <w:tblLook w:val="04A0"/>
      </w:tblPr>
      <w:tblGrid>
        <w:gridCol w:w="3757"/>
        <w:gridCol w:w="1043"/>
        <w:gridCol w:w="1043"/>
        <w:gridCol w:w="1045"/>
        <w:gridCol w:w="1043"/>
        <w:gridCol w:w="1047"/>
      </w:tblGrid>
      <w:tr w:rsidR="00BD5CAC" w:rsidRPr="00A1059A" w:rsidTr="00BD5CAC">
        <w:trPr>
          <w:trHeight w:val="615"/>
        </w:trPr>
        <w:tc>
          <w:tcPr>
            <w:tcW w:w="2092" w:type="pct"/>
            <w:shd w:val="clear" w:color="auto" w:fill="BFBFBF" w:themeFill="background1" w:themeFillShade="BF"/>
            <w:noWrap/>
            <w:vAlign w:val="center"/>
            <w:hideMark/>
          </w:tcPr>
          <w:p w:rsidR="00221EE8" w:rsidRPr="00A1059A" w:rsidRDefault="00221EE8" w:rsidP="00BD5CAC">
            <w:pPr>
              <w:spacing w:before="0" w:line="240" w:lineRule="auto"/>
              <w:jc w:val="center"/>
              <w:rPr>
                <w:rFonts w:ascii="Arial Narrow" w:eastAsia="Times New Roman" w:hAnsi="Arial Narrow" w:cs="Times New Roman"/>
                <w:b/>
                <w:bCs/>
                <w:color w:val="000000"/>
                <w:sz w:val="20"/>
                <w:szCs w:val="20"/>
                <w:lang w:val="es-CO" w:eastAsia="es-CO"/>
              </w:rPr>
            </w:pPr>
          </w:p>
        </w:tc>
        <w:tc>
          <w:tcPr>
            <w:tcW w:w="581" w:type="pct"/>
            <w:shd w:val="clear" w:color="auto" w:fill="BFBFBF" w:themeFill="background1" w:themeFillShade="BF"/>
            <w:noWrap/>
            <w:vAlign w:val="center"/>
            <w:hideMark/>
          </w:tcPr>
          <w:p w:rsidR="00221EE8" w:rsidRPr="00A1059A" w:rsidRDefault="00221EE8" w:rsidP="00BD5CAC">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2008</w:t>
            </w:r>
          </w:p>
        </w:tc>
        <w:tc>
          <w:tcPr>
            <w:tcW w:w="581" w:type="pct"/>
            <w:shd w:val="clear" w:color="auto" w:fill="BFBFBF" w:themeFill="background1" w:themeFillShade="BF"/>
            <w:noWrap/>
            <w:vAlign w:val="center"/>
            <w:hideMark/>
          </w:tcPr>
          <w:p w:rsidR="00221EE8" w:rsidRPr="00A1059A" w:rsidRDefault="00221EE8" w:rsidP="00BD5CAC">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2010</w:t>
            </w:r>
          </w:p>
        </w:tc>
        <w:tc>
          <w:tcPr>
            <w:tcW w:w="582" w:type="pct"/>
            <w:shd w:val="clear" w:color="auto" w:fill="BFBFBF" w:themeFill="background1" w:themeFillShade="BF"/>
            <w:noWrap/>
            <w:vAlign w:val="center"/>
            <w:hideMark/>
          </w:tcPr>
          <w:p w:rsidR="00221EE8" w:rsidRPr="00A1059A" w:rsidRDefault="00221EE8" w:rsidP="00BD5CAC">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2011</w:t>
            </w:r>
          </w:p>
        </w:tc>
        <w:tc>
          <w:tcPr>
            <w:tcW w:w="581" w:type="pct"/>
            <w:shd w:val="clear" w:color="auto" w:fill="BFBFBF" w:themeFill="background1" w:themeFillShade="BF"/>
            <w:noWrap/>
            <w:vAlign w:val="center"/>
            <w:hideMark/>
          </w:tcPr>
          <w:p w:rsidR="00221EE8" w:rsidRPr="00A1059A" w:rsidRDefault="00221EE8" w:rsidP="00BD5CAC">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2012</w:t>
            </w:r>
          </w:p>
        </w:tc>
        <w:tc>
          <w:tcPr>
            <w:tcW w:w="583" w:type="pct"/>
            <w:shd w:val="clear" w:color="auto" w:fill="BFBFBF" w:themeFill="background1" w:themeFillShade="BF"/>
            <w:noWrap/>
            <w:vAlign w:val="center"/>
            <w:hideMark/>
          </w:tcPr>
          <w:p w:rsidR="00221EE8" w:rsidRPr="00A1059A" w:rsidRDefault="00221EE8" w:rsidP="00BD5CAC">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2013</w:t>
            </w:r>
          </w:p>
        </w:tc>
      </w:tr>
      <w:tr w:rsidR="0081195D" w:rsidRPr="00A1059A" w:rsidTr="0081195D">
        <w:trPr>
          <w:trHeight w:val="510"/>
        </w:trPr>
        <w:tc>
          <w:tcPr>
            <w:tcW w:w="2092" w:type="pct"/>
            <w:shd w:val="clear" w:color="auto" w:fill="auto"/>
            <w:noWrap/>
            <w:vAlign w:val="center"/>
            <w:hideMark/>
          </w:tcPr>
          <w:p w:rsidR="00221EE8" w:rsidRPr="00BD5CAC" w:rsidRDefault="00BD5CAC" w:rsidP="00BD5CAC">
            <w:pPr>
              <w:spacing w:before="0" w:line="240" w:lineRule="auto"/>
              <w:jc w:val="left"/>
              <w:rPr>
                <w:rFonts w:ascii="Arial Narrow" w:eastAsia="Times New Roman" w:hAnsi="Arial Narrow" w:cs="Times New Roman"/>
                <w:b/>
                <w:color w:val="000000"/>
                <w:sz w:val="20"/>
                <w:szCs w:val="20"/>
                <w:lang w:val="es-CO" w:eastAsia="es-CO"/>
              </w:rPr>
            </w:pPr>
            <w:r w:rsidRPr="00BD5CAC">
              <w:rPr>
                <w:rFonts w:ascii="Arial Narrow" w:eastAsia="Times New Roman" w:hAnsi="Arial Narrow" w:cs="Times New Roman"/>
                <w:b/>
                <w:color w:val="000000"/>
                <w:sz w:val="20"/>
                <w:szCs w:val="20"/>
                <w:lang w:val="es-CO" w:eastAsia="es-CO"/>
              </w:rPr>
              <w:t>Empleo t</w:t>
            </w:r>
            <w:r w:rsidR="00221EE8" w:rsidRPr="00BD5CAC">
              <w:rPr>
                <w:rFonts w:ascii="Arial Narrow" w:eastAsia="Times New Roman" w:hAnsi="Arial Narrow" w:cs="Times New Roman"/>
                <w:b/>
                <w:color w:val="000000"/>
                <w:sz w:val="20"/>
                <w:szCs w:val="20"/>
                <w:lang w:val="es-CO" w:eastAsia="es-CO"/>
              </w:rPr>
              <w:t>otal a nivel nacional</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17,487,465</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19,084,135</w:t>
            </w:r>
          </w:p>
        </w:tc>
        <w:tc>
          <w:tcPr>
            <w:tcW w:w="582"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19,653,509</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20,696,000</w:t>
            </w:r>
          </w:p>
        </w:tc>
        <w:tc>
          <w:tcPr>
            <w:tcW w:w="583"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21,048,000</w:t>
            </w:r>
          </w:p>
        </w:tc>
      </w:tr>
      <w:tr w:rsidR="0081195D" w:rsidRPr="00A1059A" w:rsidTr="0081195D">
        <w:trPr>
          <w:trHeight w:val="510"/>
        </w:trPr>
        <w:tc>
          <w:tcPr>
            <w:tcW w:w="2092" w:type="pct"/>
            <w:shd w:val="clear" w:color="auto" w:fill="auto"/>
            <w:noWrap/>
            <w:vAlign w:val="center"/>
            <w:hideMark/>
          </w:tcPr>
          <w:p w:rsidR="00221EE8" w:rsidRPr="00BD5CAC" w:rsidRDefault="00221EE8" w:rsidP="00BD5CAC">
            <w:pPr>
              <w:spacing w:before="0" w:line="240" w:lineRule="auto"/>
              <w:jc w:val="left"/>
              <w:rPr>
                <w:rFonts w:ascii="Arial Narrow" w:eastAsia="Times New Roman" w:hAnsi="Arial Narrow" w:cs="Times New Roman"/>
                <w:b/>
                <w:color w:val="000000"/>
                <w:sz w:val="20"/>
                <w:szCs w:val="20"/>
                <w:lang w:val="es-CO" w:eastAsia="es-CO"/>
              </w:rPr>
            </w:pPr>
            <w:r w:rsidRPr="00BD5CAC">
              <w:rPr>
                <w:rFonts w:ascii="Arial Narrow" w:eastAsia="Times New Roman" w:hAnsi="Arial Narrow" w:cs="Times New Roman"/>
                <w:b/>
                <w:color w:val="000000"/>
                <w:sz w:val="20"/>
                <w:szCs w:val="20"/>
                <w:lang w:val="es-CO" w:eastAsia="es-CO"/>
              </w:rPr>
              <w:t>Porcentaje del empleo total en la Rama de Telecomunicaciones, Rama 642 (%)</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1.790</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1.776</w:t>
            </w:r>
          </w:p>
        </w:tc>
        <w:tc>
          <w:tcPr>
            <w:tcW w:w="582"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1.699</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1.522</w:t>
            </w:r>
          </w:p>
        </w:tc>
        <w:tc>
          <w:tcPr>
            <w:tcW w:w="583"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1.387</w:t>
            </w:r>
          </w:p>
        </w:tc>
      </w:tr>
      <w:tr w:rsidR="0081195D" w:rsidRPr="00A1059A" w:rsidTr="0081195D">
        <w:trPr>
          <w:trHeight w:val="510"/>
        </w:trPr>
        <w:tc>
          <w:tcPr>
            <w:tcW w:w="2092" w:type="pct"/>
            <w:shd w:val="clear" w:color="auto" w:fill="auto"/>
            <w:noWrap/>
            <w:vAlign w:val="center"/>
            <w:hideMark/>
          </w:tcPr>
          <w:p w:rsidR="00221EE8" w:rsidRPr="00BD5CAC" w:rsidRDefault="00221EE8" w:rsidP="00BD5CAC">
            <w:pPr>
              <w:spacing w:before="0" w:line="240" w:lineRule="auto"/>
              <w:jc w:val="left"/>
              <w:rPr>
                <w:rFonts w:ascii="Arial Narrow" w:eastAsia="Times New Roman" w:hAnsi="Arial Narrow" w:cs="Times New Roman"/>
                <w:b/>
                <w:color w:val="000000"/>
                <w:sz w:val="20"/>
                <w:szCs w:val="20"/>
                <w:lang w:val="es-CO" w:eastAsia="es-CO"/>
              </w:rPr>
            </w:pPr>
            <w:r w:rsidRPr="00BD5CAC">
              <w:rPr>
                <w:rFonts w:ascii="Arial Narrow" w:eastAsia="Times New Roman" w:hAnsi="Arial Narrow" w:cs="Times New Roman"/>
                <w:b/>
                <w:color w:val="000000"/>
                <w:sz w:val="20"/>
                <w:szCs w:val="20"/>
                <w:lang w:val="es-CO" w:eastAsia="es-CO"/>
              </w:rPr>
              <w:t>Porcentaje de Asalariados Rama 642 (%)</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35.36</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45.91</w:t>
            </w:r>
          </w:p>
        </w:tc>
        <w:tc>
          <w:tcPr>
            <w:tcW w:w="582"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51.22</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50.86</w:t>
            </w:r>
          </w:p>
        </w:tc>
        <w:tc>
          <w:tcPr>
            <w:tcW w:w="583"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53.9</w:t>
            </w:r>
          </w:p>
        </w:tc>
      </w:tr>
      <w:tr w:rsidR="0081195D" w:rsidRPr="00A1059A" w:rsidTr="0081195D">
        <w:trPr>
          <w:trHeight w:val="510"/>
        </w:trPr>
        <w:tc>
          <w:tcPr>
            <w:tcW w:w="2092" w:type="pct"/>
            <w:shd w:val="clear" w:color="auto" w:fill="auto"/>
            <w:noWrap/>
            <w:vAlign w:val="center"/>
            <w:hideMark/>
          </w:tcPr>
          <w:p w:rsidR="00221EE8" w:rsidRPr="00BD5CAC" w:rsidRDefault="00221EE8" w:rsidP="00BD5CAC">
            <w:pPr>
              <w:spacing w:before="0" w:line="240" w:lineRule="auto"/>
              <w:jc w:val="left"/>
              <w:rPr>
                <w:rFonts w:ascii="Arial Narrow" w:eastAsia="Times New Roman" w:hAnsi="Arial Narrow" w:cs="Times New Roman"/>
                <w:b/>
                <w:color w:val="000000"/>
                <w:sz w:val="20"/>
                <w:szCs w:val="20"/>
                <w:lang w:val="es-CO" w:eastAsia="es-CO"/>
              </w:rPr>
            </w:pPr>
            <w:r w:rsidRPr="00BD5CAC">
              <w:rPr>
                <w:rFonts w:ascii="Arial Narrow" w:eastAsia="Times New Roman" w:hAnsi="Arial Narrow" w:cs="Times New Roman"/>
                <w:b/>
                <w:color w:val="000000"/>
                <w:sz w:val="20"/>
                <w:szCs w:val="20"/>
                <w:lang w:val="es-CO" w:eastAsia="es-CO"/>
              </w:rPr>
              <w:t>Porcentaje de Independientes (%)</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64.64</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54.09</w:t>
            </w:r>
          </w:p>
        </w:tc>
        <w:tc>
          <w:tcPr>
            <w:tcW w:w="582"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48.78</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49.14</w:t>
            </w:r>
          </w:p>
        </w:tc>
        <w:tc>
          <w:tcPr>
            <w:tcW w:w="583"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46.1</w:t>
            </w:r>
          </w:p>
        </w:tc>
      </w:tr>
      <w:tr w:rsidR="0081195D" w:rsidRPr="00A1059A" w:rsidTr="0081195D">
        <w:trPr>
          <w:trHeight w:val="510"/>
        </w:trPr>
        <w:tc>
          <w:tcPr>
            <w:tcW w:w="2092" w:type="pct"/>
            <w:shd w:val="clear" w:color="auto" w:fill="auto"/>
            <w:noWrap/>
            <w:vAlign w:val="center"/>
            <w:hideMark/>
          </w:tcPr>
          <w:p w:rsidR="00221EE8" w:rsidRPr="00BD5CAC" w:rsidRDefault="00221EE8" w:rsidP="00BD5CAC">
            <w:pPr>
              <w:spacing w:before="0" w:line="240" w:lineRule="auto"/>
              <w:jc w:val="left"/>
              <w:rPr>
                <w:rFonts w:ascii="Arial Narrow" w:eastAsia="Times New Roman" w:hAnsi="Arial Narrow" w:cs="Times New Roman"/>
                <w:b/>
                <w:color w:val="000000"/>
                <w:sz w:val="20"/>
                <w:szCs w:val="20"/>
                <w:lang w:val="es-CO" w:eastAsia="es-CO"/>
              </w:rPr>
            </w:pPr>
            <w:r w:rsidRPr="00BD5CAC">
              <w:rPr>
                <w:rFonts w:ascii="Arial Narrow" w:eastAsia="Times New Roman" w:hAnsi="Arial Narrow" w:cs="Times New Roman"/>
                <w:b/>
                <w:color w:val="000000"/>
                <w:sz w:val="20"/>
                <w:szCs w:val="20"/>
                <w:lang w:val="es-CO" w:eastAsia="es-CO"/>
              </w:rPr>
              <w:t>Salario Promedio Asalariados ($/mes)</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1,042,068</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1,007,261</w:t>
            </w:r>
          </w:p>
        </w:tc>
        <w:tc>
          <w:tcPr>
            <w:tcW w:w="582"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1,079,366</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949,729</w:t>
            </w:r>
          </w:p>
        </w:tc>
        <w:tc>
          <w:tcPr>
            <w:tcW w:w="583"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1,118,956</w:t>
            </w:r>
          </w:p>
        </w:tc>
      </w:tr>
      <w:tr w:rsidR="0081195D" w:rsidRPr="00A1059A" w:rsidTr="0081195D">
        <w:trPr>
          <w:trHeight w:val="510"/>
        </w:trPr>
        <w:tc>
          <w:tcPr>
            <w:tcW w:w="2092" w:type="pct"/>
            <w:shd w:val="clear" w:color="auto" w:fill="auto"/>
            <w:noWrap/>
            <w:vAlign w:val="center"/>
            <w:hideMark/>
          </w:tcPr>
          <w:p w:rsidR="00221EE8" w:rsidRPr="00BD5CAC" w:rsidRDefault="00221EE8" w:rsidP="00BD5CAC">
            <w:pPr>
              <w:spacing w:before="0" w:line="240" w:lineRule="auto"/>
              <w:jc w:val="left"/>
              <w:rPr>
                <w:rFonts w:ascii="Arial Narrow" w:eastAsia="Times New Roman" w:hAnsi="Arial Narrow" w:cs="Times New Roman"/>
                <w:b/>
                <w:color w:val="000000"/>
                <w:sz w:val="20"/>
                <w:szCs w:val="20"/>
                <w:lang w:val="es-CO" w:eastAsia="es-CO"/>
              </w:rPr>
            </w:pPr>
            <w:r w:rsidRPr="00BD5CAC">
              <w:rPr>
                <w:rFonts w:ascii="Arial Narrow" w:eastAsia="Times New Roman" w:hAnsi="Arial Narrow" w:cs="Times New Roman"/>
                <w:b/>
                <w:color w:val="000000"/>
                <w:sz w:val="20"/>
                <w:szCs w:val="20"/>
                <w:lang w:val="es-CO" w:eastAsia="es-CO"/>
              </w:rPr>
              <w:t>Salario Promedio Independientes ($/mes)</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432,734</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532,392</w:t>
            </w:r>
          </w:p>
        </w:tc>
        <w:tc>
          <w:tcPr>
            <w:tcW w:w="582"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488,196</w:t>
            </w:r>
          </w:p>
        </w:tc>
        <w:tc>
          <w:tcPr>
            <w:tcW w:w="581"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506,683</w:t>
            </w:r>
          </w:p>
        </w:tc>
        <w:tc>
          <w:tcPr>
            <w:tcW w:w="583" w:type="pct"/>
            <w:shd w:val="clear" w:color="auto" w:fill="auto"/>
            <w:noWrap/>
            <w:vAlign w:val="center"/>
            <w:hideMark/>
          </w:tcPr>
          <w:p w:rsidR="00221EE8" w:rsidRPr="00A1059A" w:rsidRDefault="00221EE8" w:rsidP="00BD5CAC">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549,771</w:t>
            </w:r>
          </w:p>
        </w:tc>
      </w:tr>
    </w:tbl>
    <w:p w:rsidR="0081195D" w:rsidRPr="0081195D" w:rsidRDefault="0081195D" w:rsidP="0081195D">
      <w:pPr>
        <w:spacing w:after="240"/>
        <w:jc w:val="cente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t>Cuadro</w:t>
      </w:r>
      <w:r w:rsidRPr="00D72C10">
        <w:rPr>
          <w:rFonts w:ascii="Century Gothic" w:eastAsiaTheme="majorEastAsia" w:hAnsi="Century Gothic" w:cstheme="majorBidi"/>
          <w:b/>
          <w:bCs/>
          <w:color w:val="C00000"/>
          <w:sz w:val="20"/>
          <w:szCs w:val="20"/>
          <w:lang w:val="es-CO"/>
        </w:rPr>
        <w:t xml:space="preserve"> </w:t>
      </w:r>
      <w:r>
        <w:rPr>
          <w:rFonts w:ascii="Century Gothic" w:eastAsiaTheme="majorEastAsia" w:hAnsi="Century Gothic" w:cstheme="majorBidi"/>
          <w:b/>
          <w:bCs/>
          <w:color w:val="C00000"/>
          <w:sz w:val="20"/>
          <w:szCs w:val="20"/>
          <w:lang w:val="es-CO"/>
        </w:rPr>
        <w:t>2.5b – Empleo e ingresos laborales</w:t>
      </w:r>
      <w:r w:rsidRPr="0081195D">
        <w:rPr>
          <w:rFonts w:ascii="Century Gothic" w:eastAsiaTheme="majorEastAsia" w:hAnsi="Century Gothic" w:cstheme="majorBidi"/>
          <w:b/>
          <w:bCs/>
          <w:color w:val="C00000"/>
          <w:sz w:val="20"/>
          <w:szCs w:val="20"/>
          <w:lang w:val="es-CO"/>
        </w:rPr>
        <w:t xml:space="preserve"> en el sector de telecomunicaciones (rama 642)</w:t>
      </w:r>
    </w:p>
    <w:tbl>
      <w:tblPr>
        <w:tblW w:w="5000" w:type="pct"/>
        <w:tblLayout w:type="fixed"/>
        <w:tblCellMar>
          <w:left w:w="70" w:type="dxa"/>
          <w:right w:w="70" w:type="dxa"/>
        </w:tblCellMar>
        <w:tblLook w:val="04A0"/>
      </w:tblPr>
      <w:tblGrid>
        <w:gridCol w:w="3757"/>
        <w:gridCol w:w="1043"/>
        <w:gridCol w:w="1043"/>
        <w:gridCol w:w="1045"/>
        <w:gridCol w:w="1043"/>
        <w:gridCol w:w="1047"/>
      </w:tblGrid>
      <w:tr w:rsidR="0081195D" w:rsidRPr="00A1059A" w:rsidTr="007C69F6">
        <w:trPr>
          <w:trHeight w:val="615"/>
        </w:trPr>
        <w:tc>
          <w:tcPr>
            <w:tcW w:w="2092" w:type="pct"/>
            <w:shd w:val="clear" w:color="auto" w:fill="BFBFBF" w:themeFill="background1" w:themeFillShade="BF"/>
            <w:noWrap/>
            <w:vAlign w:val="center"/>
            <w:hideMark/>
          </w:tcPr>
          <w:p w:rsidR="0081195D" w:rsidRPr="00A1059A" w:rsidRDefault="0081195D" w:rsidP="007C69F6">
            <w:pPr>
              <w:spacing w:before="0" w:line="240" w:lineRule="auto"/>
              <w:jc w:val="center"/>
              <w:rPr>
                <w:rFonts w:ascii="Arial Narrow" w:eastAsia="Times New Roman" w:hAnsi="Arial Narrow" w:cs="Times New Roman"/>
                <w:b/>
                <w:bCs/>
                <w:color w:val="000000"/>
                <w:sz w:val="20"/>
                <w:szCs w:val="20"/>
                <w:lang w:val="es-CO" w:eastAsia="es-CO"/>
              </w:rPr>
            </w:pPr>
          </w:p>
        </w:tc>
        <w:tc>
          <w:tcPr>
            <w:tcW w:w="581" w:type="pct"/>
            <w:shd w:val="clear" w:color="auto" w:fill="BFBFBF" w:themeFill="background1" w:themeFillShade="BF"/>
            <w:noWrap/>
            <w:vAlign w:val="center"/>
            <w:hideMark/>
          </w:tcPr>
          <w:p w:rsidR="0081195D" w:rsidRPr="00A1059A" w:rsidRDefault="0081195D" w:rsidP="007C69F6">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2008</w:t>
            </w:r>
          </w:p>
        </w:tc>
        <w:tc>
          <w:tcPr>
            <w:tcW w:w="581" w:type="pct"/>
            <w:shd w:val="clear" w:color="auto" w:fill="BFBFBF" w:themeFill="background1" w:themeFillShade="BF"/>
            <w:noWrap/>
            <w:vAlign w:val="center"/>
            <w:hideMark/>
          </w:tcPr>
          <w:p w:rsidR="0081195D" w:rsidRPr="00A1059A" w:rsidRDefault="0081195D" w:rsidP="007C69F6">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2010</w:t>
            </w:r>
          </w:p>
        </w:tc>
        <w:tc>
          <w:tcPr>
            <w:tcW w:w="582" w:type="pct"/>
            <w:shd w:val="clear" w:color="auto" w:fill="BFBFBF" w:themeFill="background1" w:themeFillShade="BF"/>
            <w:noWrap/>
            <w:vAlign w:val="center"/>
            <w:hideMark/>
          </w:tcPr>
          <w:p w:rsidR="0081195D" w:rsidRPr="00A1059A" w:rsidRDefault="0081195D" w:rsidP="007C69F6">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2011</w:t>
            </w:r>
          </w:p>
        </w:tc>
        <w:tc>
          <w:tcPr>
            <w:tcW w:w="581" w:type="pct"/>
            <w:shd w:val="clear" w:color="auto" w:fill="BFBFBF" w:themeFill="background1" w:themeFillShade="BF"/>
            <w:noWrap/>
            <w:vAlign w:val="center"/>
            <w:hideMark/>
          </w:tcPr>
          <w:p w:rsidR="0081195D" w:rsidRPr="00A1059A" w:rsidRDefault="0081195D" w:rsidP="007C69F6">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2012</w:t>
            </w:r>
          </w:p>
        </w:tc>
        <w:tc>
          <w:tcPr>
            <w:tcW w:w="583" w:type="pct"/>
            <w:shd w:val="clear" w:color="auto" w:fill="BFBFBF" w:themeFill="background1" w:themeFillShade="BF"/>
            <w:noWrap/>
            <w:vAlign w:val="center"/>
            <w:hideMark/>
          </w:tcPr>
          <w:p w:rsidR="0081195D" w:rsidRPr="00A1059A" w:rsidRDefault="0081195D" w:rsidP="007C69F6">
            <w:pPr>
              <w:spacing w:before="0" w:line="240" w:lineRule="auto"/>
              <w:jc w:val="center"/>
              <w:rPr>
                <w:rFonts w:ascii="Arial Narrow" w:eastAsia="Times New Roman" w:hAnsi="Arial Narrow" w:cs="Times New Roman"/>
                <w:b/>
                <w:bCs/>
                <w:color w:val="000000"/>
                <w:sz w:val="20"/>
                <w:szCs w:val="20"/>
                <w:lang w:val="es-CO" w:eastAsia="es-CO"/>
              </w:rPr>
            </w:pPr>
            <w:r w:rsidRPr="00A1059A">
              <w:rPr>
                <w:rFonts w:ascii="Arial Narrow" w:eastAsia="Times New Roman" w:hAnsi="Arial Narrow" w:cs="Times New Roman"/>
                <w:b/>
                <w:bCs/>
                <w:color w:val="000000"/>
                <w:sz w:val="20"/>
                <w:szCs w:val="20"/>
                <w:lang w:val="es-CO" w:eastAsia="es-CO"/>
              </w:rPr>
              <w:t>2013</w:t>
            </w:r>
          </w:p>
        </w:tc>
      </w:tr>
      <w:tr w:rsidR="00221EE8" w:rsidRPr="00A1059A" w:rsidTr="0081195D">
        <w:trPr>
          <w:trHeight w:val="510"/>
        </w:trPr>
        <w:tc>
          <w:tcPr>
            <w:tcW w:w="2092" w:type="pct"/>
            <w:shd w:val="clear" w:color="auto" w:fill="auto"/>
            <w:noWrap/>
            <w:vAlign w:val="center"/>
            <w:hideMark/>
          </w:tcPr>
          <w:p w:rsidR="00221EE8" w:rsidRPr="0081195D" w:rsidRDefault="00221EE8" w:rsidP="0081195D">
            <w:pPr>
              <w:spacing w:before="0" w:line="240" w:lineRule="auto"/>
              <w:jc w:val="left"/>
              <w:rPr>
                <w:rFonts w:ascii="Arial Narrow" w:eastAsia="Times New Roman" w:hAnsi="Arial Narrow" w:cs="Times New Roman"/>
                <w:b/>
                <w:color w:val="000000"/>
                <w:sz w:val="20"/>
                <w:szCs w:val="20"/>
                <w:lang w:val="es-CO" w:eastAsia="es-CO"/>
              </w:rPr>
            </w:pPr>
            <w:r w:rsidRPr="0081195D">
              <w:rPr>
                <w:rFonts w:ascii="Arial Narrow" w:eastAsia="Times New Roman" w:hAnsi="Arial Narrow" w:cs="Times New Roman"/>
                <w:b/>
                <w:color w:val="000000"/>
                <w:sz w:val="20"/>
                <w:szCs w:val="20"/>
                <w:lang w:val="es-CO" w:eastAsia="es-CO"/>
              </w:rPr>
              <w:t>Empleo total Telecomunicaciones (Rama 642 )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313,000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339,000 </w:t>
            </w:r>
          </w:p>
        </w:tc>
        <w:tc>
          <w:tcPr>
            <w:tcW w:w="582"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334,000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315,000 </w:t>
            </w:r>
          </w:p>
        </w:tc>
        <w:tc>
          <w:tcPr>
            <w:tcW w:w="583"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292,000</w:t>
            </w:r>
          </w:p>
        </w:tc>
      </w:tr>
      <w:tr w:rsidR="00221EE8" w:rsidRPr="00A1059A" w:rsidTr="0081195D">
        <w:trPr>
          <w:trHeight w:val="510"/>
        </w:trPr>
        <w:tc>
          <w:tcPr>
            <w:tcW w:w="2092" w:type="pct"/>
            <w:shd w:val="clear" w:color="auto" w:fill="auto"/>
            <w:noWrap/>
            <w:vAlign w:val="center"/>
            <w:hideMark/>
          </w:tcPr>
          <w:p w:rsidR="00221EE8" w:rsidRPr="0081195D" w:rsidRDefault="00221EE8" w:rsidP="0081195D">
            <w:pPr>
              <w:spacing w:before="0" w:line="240" w:lineRule="auto"/>
              <w:jc w:val="left"/>
              <w:rPr>
                <w:rFonts w:ascii="Arial Narrow" w:eastAsia="Times New Roman" w:hAnsi="Arial Narrow" w:cs="Times New Roman"/>
                <w:b/>
                <w:color w:val="000000"/>
                <w:sz w:val="20"/>
                <w:szCs w:val="20"/>
                <w:lang w:val="es-CO" w:eastAsia="es-CO"/>
              </w:rPr>
            </w:pPr>
            <w:r w:rsidRPr="0081195D">
              <w:rPr>
                <w:rFonts w:ascii="Arial Narrow" w:eastAsia="Times New Roman" w:hAnsi="Arial Narrow" w:cs="Times New Roman"/>
                <w:b/>
                <w:color w:val="000000"/>
                <w:sz w:val="20"/>
                <w:szCs w:val="20"/>
                <w:lang w:val="es-CO" w:eastAsia="es-CO"/>
              </w:rPr>
              <w:t>Empleo Asalariados</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110,677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155,635 </w:t>
            </w:r>
          </w:p>
        </w:tc>
        <w:tc>
          <w:tcPr>
            <w:tcW w:w="582"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171,075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160,209 </w:t>
            </w:r>
          </w:p>
        </w:tc>
        <w:tc>
          <w:tcPr>
            <w:tcW w:w="583"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157,388</w:t>
            </w:r>
          </w:p>
        </w:tc>
      </w:tr>
      <w:tr w:rsidR="00221EE8" w:rsidRPr="00A1059A" w:rsidTr="0081195D">
        <w:trPr>
          <w:trHeight w:val="510"/>
        </w:trPr>
        <w:tc>
          <w:tcPr>
            <w:tcW w:w="2092" w:type="pct"/>
            <w:shd w:val="clear" w:color="auto" w:fill="auto"/>
            <w:noWrap/>
            <w:vAlign w:val="center"/>
            <w:hideMark/>
          </w:tcPr>
          <w:p w:rsidR="00221EE8" w:rsidRPr="0081195D" w:rsidRDefault="00221EE8" w:rsidP="0081195D">
            <w:pPr>
              <w:spacing w:before="0" w:line="240" w:lineRule="auto"/>
              <w:jc w:val="left"/>
              <w:rPr>
                <w:rFonts w:ascii="Arial Narrow" w:eastAsia="Times New Roman" w:hAnsi="Arial Narrow" w:cs="Times New Roman"/>
                <w:b/>
                <w:color w:val="000000"/>
                <w:sz w:val="20"/>
                <w:szCs w:val="20"/>
                <w:lang w:val="es-CO" w:eastAsia="es-CO"/>
              </w:rPr>
            </w:pPr>
            <w:r w:rsidRPr="0081195D">
              <w:rPr>
                <w:rFonts w:ascii="Arial Narrow" w:eastAsia="Times New Roman" w:hAnsi="Arial Narrow" w:cs="Times New Roman"/>
                <w:b/>
                <w:color w:val="000000"/>
                <w:sz w:val="20"/>
                <w:szCs w:val="20"/>
                <w:lang w:val="es-CO" w:eastAsia="es-CO"/>
              </w:rPr>
              <w:t>Empleo Independientes</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202,323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183,365 </w:t>
            </w:r>
          </w:p>
        </w:tc>
        <w:tc>
          <w:tcPr>
            <w:tcW w:w="582"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162,925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154,791 </w:t>
            </w:r>
          </w:p>
        </w:tc>
        <w:tc>
          <w:tcPr>
            <w:tcW w:w="583"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134,612</w:t>
            </w:r>
          </w:p>
        </w:tc>
      </w:tr>
      <w:tr w:rsidR="00221EE8" w:rsidRPr="00A1059A" w:rsidTr="0081195D">
        <w:trPr>
          <w:trHeight w:val="510"/>
        </w:trPr>
        <w:tc>
          <w:tcPr>
            <w:tcW w:w="2092" w:type="pct"/>
            <w:shd w:val="clear" w:color="auto" w:fill="auto"/>
            <w:noWrap/>
            <w:vAlign w:val="center"/>
            <w:hideMark/>
          </w:tcPr>
          <w:p w:rsidR="00221EE8" w:rsidRPr="0081195D" w:rsidRDefault="00221EE8" w:rsidP="0081195D">
            <w:pPr>
              <w:spacing w:before="0" w:line="240" w:lineRule="auto"/>
              <w:jc w:val="left"/>
              <w:rPr>
                <w:rFonts w:ascii="Arial Narrow" w:eastAsia="Times New Roman" w:hAnsi="Arial Narrow" w:cs="Times New Roman"/>
                <w:b/>
                <w:color w:val="000000"/>
                <w:sz w:val="20"/>
                <w:szCs w:val="20"/>
                <w:lang w:val="es-CO" w:eastAsia="es-CO"/>
              </w:rPr>
            </w:pPr>
            <w:r w:rsidRPr="0081195D">
              <w:rPr>
                <w:rFonts w:ascii="Arial Narrow" w:eastAsia="Times New Roman" w:hAnsi="Arial Narrow" w:cs="Times New Roman"/>
                <w:b/>
                <w:color w:val="000000"/>
                <w:sz w:val="20"/>
                <w:szCs w:val="20"/>
                <w:lang w:val="es-CO" w:eastAsia="es-CO"/>
              </w:rPr>
              <w:t>Ingreso laboral Asalariados (Millones$/Mes)</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115,333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156,765 </w:t>
            </w:r>
          </w:p>
        </w:tc>
        <w:tc>
          <w:tcPr>
            <w:tcW w:w="582"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184,652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152,155 </w:t>
            </w:r>
          </w:p>
        </w:tc>
        <w:tc>
          <w:tcPr>
            <w:tcW w:w="583"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176,110</w:t>
            </w:r>
          </w:p>
        </w:tc>
      </w:tr>
      <w:tr w:rsidR="00221EE8" w:rsidRPr="00A1059A" w:rsidTr="0081195D">
        <w:trPr>
          <w:trHeight w:val="510"/>
        </w:trPr>
        <w:tc>
          <w:tcPr>
            <w:tcW w:w="2092" w:type="pct"/>
            <w:shd w:val="clear" w:color="auto" w:fill="auto"/>
            <w:noWrap/>
            <w:vAlign w:val="center"/>
            <w:hideMark/>
          </w:tcPr>
          <w:p w:rsidR="00221EE8" w:rsidRPr="0081195D" w:rsidRDefault="00221EE8" w:rsidP="0081195D">
            <w:pPr>
              <w:spacing w:before="0" w:line="240" w:lineRule="auto"/>
              <w:jc w:val="left"/>
              <w:rPr>
                <w:rFonts w:ascii="Arial Narrow" w:eastAsia="Times New Roman" w:hAnsi="Arial Narrow" w:cs="Times New Roman"/>
                <w:b/>
                <w:color w:val="000000"/>
                <w:sz w:val="20"/>
                <w:szCs w:val="20"/>
                <w:lang w:val="es-CO" w:eastAsia="es-CO"/>
              </w:rPr>
            </w:pPr>
            <w:r w:rsidRPr="0081195D">
              <w:rPr>
                <w:rFonts w:ascii="Arial Narrow" w:eastAsia="Times New Roman" w:hAnsi="Arial Narrow" w:cs="Times New Roman"/>
                <w:b/>
                <w:color w:val="000000"/>
                <w:sz w:val="20"/>
                <w:szCs w:val="20"/>
                <w:lang w:val="es-CO" w:eastAsia="es-CO"/>
              </w:rPr>
              <w:t>Ingreso laboral Independientes (Millones$/Mes)</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87,552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97,622 </w:t>
            </w:r>
          </w:p>
        </w:tc>
        <w:tc>
          <w:tcPr>
            <w:tcW w:w="582"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79,539 </w:t>
            </w:r>
          </w:p>
        </w:tc>
        <w:tc>
          <w:tcPr>
            <w:tcW w:w="581"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 xml:space="preserve">           78,430 </w:t>
            </w:r>
          </w:p>
        </w:tc>
        <w:tc>
          <w:tcPr>
            <w:tcW w:w="583" w:type="pct"/>
            <w:shd w:val="clear" w:color="auto" w:fill="auto"/>
            <w:noWrap/>
            <w:vAlign w:val="center"/>
            <w:hideMark/>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74,006</w:t>
            </w:r>
          </w:p>
        </w:tc>
      </w:tr>
      <w:tr w:rsidR="00221EE8" w:rsidRPr="00A1059A" w:rsidTr="0081195D">
        <w:trPr>
          <w:trHeight w:val="510"/>
        </w:trPr>
        <w:tc>
          <w:tcPr>
            <w:tcW w:w="2092" w:type="pct"/>
            <w:shd w:val="clear" w:color="auto" w:fill="auto"/>
            <w:noWrap/>
            <w:vAlign w:val="center"/>
          </w:tcPr>
          <w:p w:rsidR="00221EE8" w:rsidRPr="0081195D" w:rsidRDefault="00221EE8" w:rsidP="0081195D">
            <w:pPr>
              <w:spacing w:before="0" w:line="240" w:lineRule="auto"/>
              <w:jc w:val="left"/>
              <w:rPr>
                <w:rFonts w:ascii="Arial Narrow" w:eastAsia="Times New Roman" w:hAnsi="Arial Narrow" w:cs="Times New Roman"/>
                <w:b/>
                <w:color w:val="000000"/>
                <w:sz w:val="20"/>
                <w:szCs w:val="20"/>
                <w:lang w:val="es-CO" w:eastAsia="es-CO"/>
              </w:rPr>
            </w:pPr>
            <w:r w:rsidRPr="0081195D">
              <w:rPr>
                <w:rFonts w:ascii="Arial Narrow" w:eastAsia="Times New Roman" w:hAnsi="Arial Narrow" w:cs="Times New Roman"/>
                <w:b/>
                <w:color w:val="000000"/>
                <w:sz w:val="20"/>
                <w:szCs w:val="20"/>
                <w:lang w:val="es-CO" w:eastAsia="es-CO"/>
              </w:rPr>
              <w:t>Ingreso asalariados/Ingreso independientes</w:t>
            </w:r>
          </w:p>
        </w:tc>
        <w:tc>
          <w:tcPr>
            <w:tcW w:w="581" w:type="pct"/>
            <w:shd w:val="clear" w:color="auto" w:fill="auto"/>
            <w:noWrap/>
            <w:vAlign w:val="center"/>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1.31</w:t>
            </w:r>
          </w:p>
        </w:tc>
        <w:tc>
          <w:tcPr>
            <w:tcW w:w="581" w:type="pct"/>
            <w:shd w:val="clear" w:color="auto" w:fill="auto"/>
            <w:noWrap/>
            <w:vAlign w:val="center"/>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1.61</w:t>
            </w:r>
          </w:p>
        </w:tc>
        <w:tc>
          <w:tcPr>
            <w:tcW w:w="582" w:type="pct"/>
            <w:shd w:val="clear" w:color="auto" w:fill="auto"/>
            <w:noWrap/>
            <w:vAlign w:val="center"/>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2.32</w:t>
            </w:r>
          </w:p>
        </w:tc>
        <w:tc>
          <w:tcPr>
            <w:tcW w:w="581" w:type="pct"/>
            <w:shd w:val="clear" w:color="auto" w:fill="auto"/>
            <w:noWrap/>
            <w:vAlign w:val="center"/>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1.94</w:t>
            </w:r>
          </w:p>
        </w:tc>
        <w:tc>
          <w:tcPr>
            <w:tcW w:w="583" w:type="pct"/>
            <w:shd w:val="clear" w:color="auto" w:fill="auto"/>
            <w:noWrap/>
            <w:vAlign w:val="center"/>
          </w:tcPr>
          <w:p w:rsidR="00221EE8" w:rsidRPr="00A1059A" w:rsidRDefault="00221EE8" w:rsidP="007C69F6">
            <w:pPr>
              <w:spacing w:before="0" w:line="240" w:lineRule="auto"/>
              <w:jc w:val="right"/>
              <w:rPr>
                <w:rFonts w:ascii="Arial Narrow" w:eastAsia="Times New Roman" w:hAnsi="Arial Narrow" w:cs="Times New Roman"/>
                <w:color w:val="000000"/>
                <w:sz w:val="20"/>
                <w:szCs w:val="20"/>
                <w:lang w:val="es-CO" w:eastAsia="es-CO"/>
              </w:rPr>
            </w:pPr>
            <w:r w:rsidRPr="00A1059A">
              <w:rPr>
                <w:rFonts w:ascii="Arial Narrow" w:eastAsia="Times New Roman" w:hAnsi="Arial Narrow" w:cs="Times New Roman"/>
                <w:color w:val="000000"/>
                <w:sz w:val="20"/>
                <w:szCs w:val="20"/>
                <w:lang w:val="es-CO" w:eastAsia="es-CO"/>
              </w:rPr>
              <w:t>2.38</w:t>
            </w:r>
          </w:p>
        </w:tc>
      </w:tr>
    </w:tbl>
    <w:p w:rsidR="00221EE8" w:rsidRPr="00CA5BD4" w:rsidRDefault="0081195D" w:rsidP="0081195D">
      <w:pPr>
        <w:pStyle w:val="PiedeCuadro"/>
        <w:rPr>
          <w:lang w:eastAsia="es-ES"/>
        </w:rPr>
      </w:pPr>
      <w:r w:rsidRPr="0081195D">
        <w:rPr>
          <w:lang w:eastAsia="es-ES"/>
        </w:rPr>
        <w:t>Fuente: Tabulados especiales solicitados al DANE sobre el empleo de la GEIH para el período 2008-2013</w:t>
      </w:r>
    </w:p>
    <w:p w:rsidR="00221EE8" w:rsidRDefault="00221EE8" w:rsidP="00221EE8">
      <w:pPr>
        <w:pStyle w:val="Ttulo2"/>
        <w:numPr>
          <w:ilvl w:val="0"/>
          <w:numId w:val="0"/>
        </w:numPr>
        <w:ind w:left="578" w:hanging="578"/>
      </w:pPr>
      <w:bookmarkStart w:id="102" w:name="_Toc405992297"/>
      <w:r>
        <w:t>2.4</w:t>
      </w:r>
      <w:r>
        <w:tab/>
        <w:t>Efectos no cuantificables en el corto plazo</w:t>
      </w:r>
      <w:bookmarkEnd w:id="102"/>
    </w:p>
    <w:p w:rsidR="00221EE8" w:rsidRPr="00617202" w:rsidRDefault="00221EE8" w:rsidP="00221EE8">
      <w:pPr>
        <w:spacing w:after="240"/>
        <w:rPr>
          <w:rFonts w:eastAsia="Times New Roman" w:cs="Times New Roman"/>
          <w:lang w:val="es-CO" w:eastAsia="es-CO"/>
        </w:rPr>
      </w:pPr>
      <w:r w:rsidRPr="00617202">
        <w:rPr>
          <w:rFonts w:eastAsia="Times New Roman" w:cs="Times New Roman"/>
          <w:lang w:val="es-CO" w:eastAsia="es-CO"/>
        </w:rPr>
        <w:t>En un escenario de desarrollo de un grupo humano que se transforma hacia una sociedad de la información, soportada en el desarrollo de un adecuado ecosistema digital, existen efectos que trascienden impactos cuantificables en el corto plazo y que solo pueden ser proyectados cualitativamente hacia el largo plazo, pero que seguramente tendrán i</w:t>
      </w:r>
      <w:r>
        <w:rPr>
          <w:rFonts w:eastAsia="Times New Roman" w:cs="Times New Roman"/>
          <w:lang w:val="es-CO" w:eastAsia="es-CO"/>
        </w:rPr>
        <w:t>mpactos socioeconómicos mucho más profundos, transformaciones culturales</w:t>
      </w:r>
      <w:r w:rsidRPr="00617202">
        <w:rPr>
          <w:rFonts w:eastAsia="Times New Roman" w:cs="Times New Roman"/>
          <w:lang w:val="es-CO" w:eastAsia="es-CO"/>
        </w:rPr>
        <w:t xml:space="preserve"> y sobre todo de productividad, a me</w:t>
      </w:r>
      <w:r>
        <w:rPr>
          <w:rFonts w:eastAsia="Times New Roman" w:cs="Times New Roman"/>
          <w:lang w:val="es-CO" w:eastAsia="es-CO"/>
        </w:rPr>
        <w:t>dida que las generaciones más jóvenes,</w:t>
      </w:r>
      <w:r w:rsidRPr="00617202">
        <w:rPr>
          <w:rFonts w:eastAsia="Times New Roman" w:cs="Times New Roman"/>
          <w:lang w:val="es-CO" w:eastAsia="es-CO"/>
        </w:rPr>
        <w:t xml:space="preserve"> que se forman</w:t>
      </w:r>
      <w:r>
        <w:rPr>
          <w:rFonts w:eastAsia="Times New Roman" w:cs="Times New Roman"/>
          <w:lang w:val="es-CO" w:eastAsia="es-CO"/>
        </w:rPr>
        <w:t xml:space="preserve"> hoy</w:t>
      </w:r>
      <w:r w:rsidRPr="00617202">
        <w:rPr>
          <w:rFonts w:eastAsia="Times New Roman" w:cs="Times New Roman"/>
          <w:lang w:val="es-CO" w:eastAsia="es-CO"/>
        </w:rPr>
        <w:t xml:space="preserve"> en este entorno</w:t>
      </w:r>
      <w:r>
        <w:rPr>
          <w:rFonts w:eastAsia="Times New Roman" w:cs="Times New Roman"/>
          <w:lang w:val="es-CO" w:eastAsia="es-CO"/>
        </w:rPr>
        <w:t>,</w:t>
      </w:r>
      <w:r w:rsidRPr="00617202">
        <w:rPr>
          <w:rFonts w:eastAsia="Times New Roman" w:cs="Times New Roman"/>
          <w:lang w:val="es-CO" w:eastAsia="es-CO"/>
        </w:rPr>
        <w:t xml:space="preserve"> lleguen a su etapa económica productiva.</w:t>
      </w:r>
    </w:p>
    <w:p w:rsidR="00221EE8" w:rsidRPr="00617202" w:rsidRDefault="00221EE8" w:rsidP="00221EE8">
      <w:pPr>
        <w:spacing w:after="240"/>
        <w:rPr>
          <w:rFonts w:eastAsia="Times New Roman" w:cs="Times New Roman"/>
          <w:lang w:val="es-CO" w:eastAsia="es-CO"/>
        </w:rPr>
      </w:pPr>
      <w:proofErr w:type="spellStart"/>
      <w:r w:rsidRPr="00617202">
        <w:rPr>
          <w:rFonts w:eastAsia="Times New Roman" w:cs="Times New Roman"/>
          <w:lang w:val="es-CO" w:eastAsia="es-CO"/>
        </w:rPr>
        <w:lastRenderedPageBreak/>
        <w:t>Tetaz</w:t>
      </w:r>
      <w:proofErr w:type="spellEnd"/>
      <w:r w:rsidRPr="00617202">
        <w:rPr>
          <w:rFonts w:eastAsia="Times New Roman" w:cs="Times New Roman"/>
          <w:lang w:val="es-CO" w:eastAsia="es-CO"/>
        </w:rPr>
        <w:t xml:space="preserve"> (2014) propone por ejemplo que frente a procesos educativos pueden existir grandes transformaciones en las cuales los estudiantes puedan tener continua retroalimentación, acceder a herramientas que les permiten individualizar sus currículos según sus intereses y potenciar sus fortalezas desde temprana edad, de modo que se pase de un rol pasivo del estudiante que simplemente absorbe contenidos sin mayor contexto y es evaluado cuando ya los correctivos pueden ser tardíos, a un estudiante proactivo, cuyo maestro es guía y que es constantemente evaluado y soportado en sus áreas débiles logrando altas tasas de éxito y mínimas deserciones.</w:t>
      </w:r>
    </w:p>
    <w:p w:rsidR="00221EE8" w:rsidRPr="00617202" w:rsidRDefault="00221EE8" w:rsidP="00221EE8">
      <w:pPr>
        <w:spacing w:after="240"/>
        <w:rPr>
          <w:rFonts w:eastAsia="Times New Roman" w:cs="Times New Roman"/>
          <w:lang w:val="es-CO" w:eastAsia="es-CO"/>
        </w:rPr>
      </w:pPr>
      <w:r w:rsidRPr="00617202">
        <w:rPr>
          <w:rFonts w:eastAsia="Times New Roman" w:cs="Times New Roman"/>
          <w:lang w:val="es-CO" w:eastAsia="es-CO"/>
        </w:rPr>
        <w:t>El autor propone el desarrollo de sistemas educativos como el de Finland</w:t>
      </w:r>
      <w:r>
        <w:rPr>
          <w:rFonts w:eastAsia="Times New Roman" w:cs="Times New Roman"/>
          <w:lang w:val="es-CO" w:eastAsia="es-CO"/>
        </w:rPr>
        <w:t>ia, que se</w:t>
      </w:r>
      <w:r w:rsidRPr="00617202">
        <w:rPr>
          <w:rFonts w:eastAsia="Times New Roman" w:cs="Times New Roman"/>
          <w:lang w:val="es-CO" w:eastAsia="es-CO"/>
        </w:rPr>
        <w:t xml:space="preserve"> destaca en las pruebas PISA, el cual funciona bajo esta filosofía, cuyos mecanismos básicos podrían implementarse con mayor facilidad soportados en un ecosistema digital, usando herramientas como las que propone el profesor Salman </w:t>
      </w:r>
      <w:proofErr w:type="spellStart"/>
      <w:r w:rsidRPr="00617202">
        <w:rPr>
          <w:rFonts w:eastAsia="Times New Roman" w:cs="Times New Roman"/>
          <w:lang w:val="es-CO" w:eastAsia="es-CO"/>
        </w:rPr>
        <w:t>Khan</w:t>
      </w:r>
      <w:proofErr w:type="spellEnd"/>
      <w:r w:rsidRPr="00617202">
        <w:rPr>
          <w:rFonts w:eastAsia="Times New Roman" w:cs="Times New Roman"/>
          <w:lang w:val="es-CO" w:eastAsia="es-CO"/>
        </w:rPr>
        <w:t xml:space="preserve"> de aprendizaje en línea autorregulado y dirigido por los maestros.</w:t>
      </w:r>
    </w:p>
    <w:p w:rsidR="00221EE8" w:rsidRPr="00617202" w:rsidRDefault="00221EE8" w:rsidP="00221EE8">
      <w:pPr>
        <w:spacing w:after="240"/>
        <w:rPr>
          <w:rFonts w:eastAsia="Times New Roman" w:cs="Times New Roman"/>
          <w:lang w:val="es-CO" w:eastAsia="es-CO"/>
        </w:rPr>
      </w:pPr>
      <w:r w:rsidRPr="00617202">
        <w:rPr>
          <w:rFonts w:eastAsia="Times New Roman" w:cs="Times New Roman"/>
          <w:lang w:val="es-CO" w:eastAsia="es-CO"/>
        </w:rPr>
        <w:t>Por su parte, en otra área de especial interés, como es el aumento de productividad del tejido empresarial, donde efectos de corto plazo cuantificables pueden presentar multiplicadores sociales no tan altos en el corto plazo respecto de la inversión realizada, permiten en todo caso prever que la existencia e inicio del uso del ecosistema digital estaría preparando a este tejido empresarial para poder aumentar su eficiencia en la medida en que se implementen aplicaciones específicas que reduzcan costos de transacción entre los diversos agentes de mercado (y de estos con el gobierno mediante aplicaciones de gobierno en línea), y</w:t>
      </w:r>
      <w:r>
        <w:rPr>
          <w:rFonts w:eastAsia="Times New Roman" w:cs="Times New Roman"/>
          <w:lang w:val="es-CO" w:eastAsia="es-CO"/>
        </w:rPr>
        <w:t xml:space="preserve"> que</w:t>
      </w:r>
      <w:r w:rsidRPr="00617202">
        <w:rPr>
          <w:rFonts w:eastAsia="Times New Roman" w:cs="Times New Roman"/>
          <w:lang w:val="es-CO" w:eastAsia="es-CO"/>
        </w:rPr>
        <w:t xml:space="preserve"> generen mayor actividad económica de dichos agentes al ampliar sus mercados a través de la Internet.</w:t>
      </w:r>
    </w:p>
    <w:p w:rsidR="00221EE8" w:rsidRPr="00617202" w:rsidRDefault="00221EE8" w:rsidP="00221EE8">
      <w:pPr>
        <w:spacing w:after="240"/>
        <w:rPr>
          <w:rFonts w:eastAsia="Times New Roman" w:cs="Times New Roman"/>
          <w:lang w:val="es-CO" w:eastAsia="es-CO"/>
        </w:rPr>
      </w:pPr>
      <w:r w:rsidRPr="00617202">
        <w:rPr>
          <w:rFonts w:eastAsia="Times New Roman" w:cs="Times New Roman"/>
          <w:lang w:val="es-CO" w:eastAsia="es-CO"/>
        </w:rPr>
        <w:t xml:space="preserve">Este tipo de efectos, por supuesto, no pueden evidenciarse en el ejercicio realizado en el cual la información estadística disponible se refiere al reciente pasado, </w:t>
      </w:r>
      <w:r>
        <w:rPr>
          <w:rFonts w:eastAsia="Times New Roman" w:cs="Times New Roman"/>
          <w:lang w:val="es-CO" w:eastAsia="es-CO"/>
        </w:rPr>
        <w:t>pues son efectos que sólo se podrán presentar en el</w:t>
      </w:r>
      <w:r w:rsidRPr="00617202">
        <w:rPr>
          <w:rFonts w:eastAsia="Times New Roman" w:cs="Times New Roman"/>
          <w:lang w:val="es-CO" w:eastAsia="es-CO"/>
        </w:rPr>
        <w:t xml:space="preserve"> futuro si los componentes compleme</w:t>
      </w:r>
      <w:r>
        <w:rPr>
          <w:rFonts w:eastAsia="Times New Roman" w:cs="Times New Roman"/>
          <w:lang w:val="es-CO" w:eastAsia="es-CO"/>
        </w:rPr>
        <w:t>ntarios se desarrollan a tiempo. S</w:t>
      </w:r>
      <w:r w:rsidRPr="00617202">
        <w:rPr>
          <w:rFonts w:eastAsia="Times New Roman" w:cs="Times New Roman"/>
          <w:lang w:val="es-CO" w:eastAsia="es-CO"/>
        </w:rPr>
        <w:t>on efectos que no serían alcanzables sin el desarrollo previo logrado del ecosistema digital.</w:t>
      </w:r>
    </w:p>
    <w:p w:rsidR="00221EE8" w:rsidRPr="00617202" w:rsidRDefault="00221EE8" w:rsidP="00221EE8">
      <w:pPr>
        <w:spacing w:after="240"/>
        <w:rPr>
          <w:rFonts w:eastAsia="Times New Roman" w:cs="Times New Roman"/>
          <w:lang w:val="es-CO" w:eastAsia="es-CO"/>
        </w:rPr>
      </w:pPr>
      <w:r w:rsidRPr="00617202">
        <w:rPr>
          <w:rFonts w:eastAsia="Times New Roman" w:cs="Times New Roman"/>
          <w:lang w:val="es-CO" w:eastAsia="es-CO"/>
        </w:rPr>
        <w:t>Aquí es importante entonces destacar los resultados obtenidos en el análisis de literatura académica realizado en el informe II de este trabajo, en el que se indicó lo siguiente:</w:t>
      </w:r>
    </w:p>
    <w:p w:rsidR="00221EE8" w:rsidRDefault="00221EE8" w:rsidP="00221EE8">
      <w:pPr>
        <w:spacing w:after="240"/>
        <w:rPr>
          <w:rFonts w:eastAsia="Times New Roman" w:cs="Times New Roman"/>
          <w:i/>
          <w:lang w:val="es-CO" w:eastAsia="es-CO"/>
        </w:rPr>
      </w:pPr>
      <w:r w:rsidRPr="00617202">
        <w:rPr>
          <w:rFonts w:eastAsia="Times New Roman" w:cs="Times New Roman"/>
          <w:i/>
          <w:lang w:val="es-CO" w:eastAsia="es-CO"/>
        </w:rPr>
        <w:t>“</w:t>
      </w:r>
      <w:proofErr w:type="spellStart"/>
      <w:r w:rsidRPr="00617202">
        <w:rPr>
          <w:rFonts w:eastAsia="Times New Roman" w:cs="Times New Roman"/>
          <w:i/>
          <w:lang w:val="es-CO" w:eastAsia="es-CO"/>
        </w:rPr>
        <w:t>Zuhdi</w:t>
      </w:r>
      <w:proofErr w:type="spellEnd"/>
      <w:r w:rsidRPr="00617202">
        <w:rPr>
          <w:rFonts w:eastAsia="Times New Roman" w:cs="Times New Roman"/>
          <w:i/>
          <w:lang w:val="es-CO" w:eastAsia="es-CO"/>
        </w:rPr>
        <w:t xml:space="preserve">, </w:t>
      </w:r>
      <w:proofErr w:type="spellStart"/>
      <w:r w:rsidRPr="00617202">
        <w:rPr>
          <w:rFonts w:eastAsia="Times New Roman" w:cs="Times New Roman"/>
          <w:i/>
          <w:lang w:val="es-CO" w:eastAsia="es-CO"/>
        </w:rPr>
        <w:t>Mori</w:t>
      </w:r>
      <w:proofErr w:type="spellEnd"/>
      <w:r w:rsidRPr="00617202">
        <w:rPr>
          <w:rFonts w:eastAsia="Times New Roman" w:cs="Times New Roman"/>
          <w:i/>
          <w:lang w:val="es-CO" w:eastAsia="es-CO"/>
        </w:rPr>
        <w:t xml:space="preserve"> &amp; </w:t>
      </w:r>
      <w:proofErr w:type="spellStart"/>
      <w:r w:rsidRPr="00617202">
        <w:rPr>
          <w:rFonts w:eastAsia="Times New Roman" w:cs="Times New Roman"/>
          <w:i/>
          <w:lang w:val="es-CO" w:eastAsia="es-CO"/>
        </w:rPr>
        <w:t>Kamegai</w:t>
      </w:r>
      <w:proofErr w:type="spellEnd"/>
      <w:r w:rsidRPr="00617202">
        <w:rPr>
          <w:rFonts w:eastAsia="Times New Roman" w:cs="Times New Roman"/>
          <w:i/>
          <w:lang w:val="es-CO" w:eastAsia="es-CO"/>
        </w:rPr>
        <w:t xml:space="preserve"> (2012) encuentran importantes diferencias en los efectos entre países al analizar los impactos de la adopción de las TIC entre Japón e Indonesia, encontrando importantes impactos en crecimiento en Japón pero bajos impactos en el caso de Indonesia. Así mismo, Lee, </w:t>
      </w:r>
      <w:proofErr w:type="spellStart"/>
      <w:r w:rsidRPr="00617202">
        <w:rPr>
          <w:rFonts w:eastAsia="Times New Roman" w:cs="Times New Roman"/>
          <w:i/>
          <w:lang w:val="es-CO" w:eastAsia="es-CO"/>
        </w:rPr>
        <w:t>Gholami</w:t>
      </w:r>
      <w:proofErr w:type="spellEnd"/>
      <w:r w:rsidRPr="00617202">
        <w:rPr>
          <w:rFonts w:eastAsia="Times New Roman" w:cs="Times New Roman"/>
          <w:i/>
          <w:lang w:val="es-CO" w:eastAsia="es-CO"/>
        </w:rPr>
        <w:t xml:space="preserve"> &amp; </w:t>
      </w:r>
      <w:proofErr w:type="spellStart"/>
      <w:r w:rsidRPr="00617202">
        <w:rPr>
          <w:rFonts w:eastAsia="Times New Roman" w:cs="Times New Roman"/>
          <w:i/>
          <w:lang w:val="es-CO" w:eastAsia="es-CO"/>
        </w:rPr>
        <w:t>Tong</w:t>
      </w:r>
      <w:proofErr w:type="spellEnd"/>
      <w:r w:rsidRPr="00617202">
        <w:rPr>
          <w:rFonts w:eastAsia="Times New Roman" w:cs="Times New Roman"/>
          <w:i/>
          <w:lang w:val="es-CO" w:eastAsia="es-CO"/>
        </w:rPr>
        <w:t xml:space="preserve"> (2005), al analizar una muestral de 20 países, encuentra que las inversión en TIC si explican parcialmente el crecimiento económico en países desarrollados y economías recientemente </w:t>
      </w:r>
      <w:r w:rsidRPr="00617202">
        <w:rPr>
          <w:rFonts w:eastAsia="Times New Roman" w:cs="Times New Roman"/>
          <w:i/>
          <w:lang w:val="es-CO" w:eastAsia="es-CO"/>
        </w:rPr>
        <w:lastRenderedPageBreak/>
        <w:t>industrializadas</w:t>
      </w:r>
      <w:r w:rsidRPr="00617202">
        <w:rPr>
          <w:rFonts w:eastAsia="Times New Roman" w:cs="Times New Roman"/>
          <w:i/>
          <w:lang w:val="es-CO" w:eastAsia="es-CO"/>
        </w:rPr>
        <w:footnoteReference w:id="21"/>
      </w:r>
      <w:r w:rsidRPr="00617202">
        <w:rPr>
          <w:rFonts w:eastAsia="Times New Roman" w:cs="Times New Roman"/>
          <w:i/>
          <w:lang w:val="es-CO" w:eastAsia="es-CO"/>
        </w:rPr>
        <w:t>, pero no encuentran dicha relación en países en desarrollo</w:t>
      </w:r>
      <w:r w:rsidRPr="00617202">
        <w:rPr>
          <w:rFonts w:eastAsia="Times New Roman" w:cs="Times New Roman"/>
          <w:i/>
          <w:lang w:val="es-CO" w:eastAsia="es-CO"/>
        </w:rPr>
        <w:footnoteReference w:id="22"/>
      </w:r>
      <w:r w:rsidRPr="00617202">
        <w:rPr>
          <w:rFonts w:eastAsia="Times New Roman" w:cs="Times New Roman"/>
          <w:i/>
          <w:lang w:val="es-CO" w:eastAsia="es-CO"/>
        </w:rPr>
        <w:t xml:space="preserve">, lo cual sugeriría la necesidad de políticas complementarias a la simple adopción de las TIC en estos casos para generar los efectos deseados. Los aspectos que los autores detectan como necesarios y complementarios para lograr el desarrollo económico a través de las TIC son: Existencia de infraestructura de informática, recursos humanos especializados en TIC, Inversiones en investigación y desarrollo, bajos precios en terminales de cómputo, liberalización y competencia en mercados de telecomunicaciones y modelos de negocios adaptativos en las empresas; elementos estos que hacen parte de los factores a considerar en un ecosistema completo. </w:t>
      </w:r>
    </w:p>
    <w:p w:rsidR="00221EE8" w:rsidRPr="00617202" w:rsidRDefault="00221EE8" w:rsidP="00221EE8">
      <w:pPr>
        <w:spacing w:after="240"/>
        <w:rPr>
          <w:rFonts w:eastAsia="Times New Roman" w:cs="Times New Roman"/>
          <w:i/>
          <w:lang w:val="es-CO" w:eastAsia="es-CO"/>
        </w:rPr>
      </w:pPr>
      <w:r w:rsidRPr="00617202">
        <w:rPr>
          <w:rFonts w:eastAsia="Times New Roman" w:cs="Times New Roman"/>
          <w:i/>
          <w:lang w:val="es-CO" w:eastAsia="es-CO"/>
        </w:rPr>
        <w:t xml:space="preserve">En efecto, autores como </w:t>
      </w:r>
      <w:proofErr w:type="spellStart"/>
      <w:r w:rsidRPr="00617202">
        <w:rPr>
          <w:rFonts w:eastAsia="Times New Roman" w:cs="Times New Roman"/>
          <w:i/>
          <w:lang w:val="es-CO" w:eastAsia="es-CO"/>
        </w:rPr>
        <w:t>Maryska</w:t>
      </w:r>
      <w:proofErr w:type="spellEnd"/>
      <w:r w:rsidRPr="00617202">
        <w:rPr>
          <w:rFonts w:eastAsia="Times New Roman" w:cs="Times New Roman"/>
          <w:i/>
          <w:lang w:val="es-CO" w:eastAsia="es-CO"/>
        </w:rPr>
        <w:t xml:space="preserve">, </w:t>
      </w:r>
      <w:proofErr w:type="spellStart"/>
      <w:r w:rsidRPr="00617202">
        <w:rPr>
          <w:rFonts w:eastAsia="Times New Roman" w:cs="Times New Roman"/>
          <w:i/>
          <w:lang w:val="es-CO" w:eastAsia="es-CO"/>
        </w:rPr>
        <w:t>Doucek</w:t>
      </w:r>
      <w:proofErr w:type="spellEnd"/>
      <w:r w:rsidRPr="00617202">
        <w:rPr>
          <w:rFonts w:eastAsia="Times New Roman" w:cs="Times New Roman"/>
          <w:i/>
          <w:lang w:val="es-CO" w:eastAsia="es-CO"/>
        </w:rPr>
        <w:t xml:space="preserve"> &amp; </w:t>
      </w:r>
      <w:proofErr w:type="spellStart"/>
      <w:r w:rsidRPr="00617202">
        <w:rPr>
          <w:rFonts w:eastAsia="Times New Roman" w:cs="Times New Roman"/>
          <w:i/>
          <w:lang w:val="es-CO" w:eastAsia="es-CO"/>
        </w:rPr>
        <w:t>Kunstova</w:t>
      </w:r>
      <w:proofErr w:type="spellEnd"/>
      <w:r w:rsidRPr="00617202">
        <w:rPr>
          <w:rFonts w:eastAsia="Times New Roman" w:cs="Times New Roman"/>
          <w:i/>
          <w:lang w:val="es-CO" w:eastAsia="es-CO"/>
        </w:rPr>
        <w:t xml:space="preserve"> (2012), advierten la necesidad, incluso en países desarrollados de la Unión Europea, de mantener una tasa adecuada de educación de profesionales expertos en TIC que debe generarse a tasas superiores a las de la natalidad a efectos de sostener los cambios en la economía hacia economías digitales y por esta vía mantener el crecimiento del PIB que genera la adopción y desarrollo de las TIC. El efecto complementario de personal educado en TIC para lograr crecimientos impulsados por adopción de las TIC es también propuesto por </w:t>
      </w:r>
      <w:proofErr w:type="spellStart"/>
      <w:r w:rsidRPr="00617202">
        <w:rPr>
          <w:rFonts w:eastAsia="Times New Roman" w:cs="Times New Roman"/>
          <w:i/>
          <w:lang w:val="es-CO" w:eastAsia="es-CO"/>
        </w:rPr>
        <w:t>Samoilenko</w:t>
      </w:r>
      <w:proofErr w:type="spellEnd"/>
      <w:r w:rsidRPr="00617202">
        <w:rPr>
          <w:rFonts w:eastAsia="Times New Roman" w:cs="Times New Roman"/>
          <w:i/>
          <w:lang w:val="es-CO" w:eastAsia="es-CO"/>
        </w:rPr>
        <w:t xml:space="preserve"> &amp; </w:t>
      </w:r>
      <w:proofErr w:type="spellStart"/>
      <w:r w:rsidRPr="00617202">
        <w:rPr>
          <w:rFonts w:eastAsia="Times New Roman" w:cs="Times New Roman"/>
          <w:i/>
          <w:lang w:val="es-CO" w:eastAsia="es-CO"/>
        </w:rPr>
        <w:t>Osei-Bryson</w:t>
      </w:r>
      <w:proofErr w:type="spellEnd"/>
      <w:r w:rsidRPr="00617202">
        <w:rPr>
          <w:rFonts w:eastAsia="Times New Roman" w:cs="Times New Roman"/>
          <w:i/>
          <w:lang w:val="es-CO" w:eastAsia="es-CO"/>
        </w:rPr>
        <w:t xml:space="preserve"> (2008).</w:t>
      </w:r>
    </w:p>
    <w:p w:rsidR="00221EE8" w:rsidRPr="00617202" w:rsidRDefault="00221EE8" w:rsidP="00221EE8">
      <w:pPr>
        <w:spacing w:after="240"/>
        <w:rPr>
          <w:rFonts w:eastAsia="Times New Roman" w:cs="Times New Roman"/>
          <w:i/>
          <w:lang w:val="es-CO" w:eastAsia="es-CO"/>
        </w:rPr>
      </w:pPr>
      <w:r w:rsidRPr="00617202">
        <w:rPr>
          <w:rFonts w:eastAsia="Times New Roman" w:cs="Times New Roman"/>
          <w:i/>
          <w:lang w:val="es-CO" w:eastAsia="es-CO"/>
        </w:rPr>
        <w:t xml:space="preserve">En cuanto al tema de desarrollo institucional y adopción de las TIC, </w:t>
      </w:r>
      <w:proofErr w:type="spellStart"/>
      <w:r w:rsidRPr="00617202">
        <w:rPr>
          <w:rFonts w:eastAsia="Times New Roman" w:cs="Times New Roman"/>
          <w:i/>
          <w:lang w:val="es-CO" w:eastAsia="es-CO"/>
        </w:rPr>
        <w:t>Yao</w:t>
      </w:r>
      <w:proofErr w:type="spellEnd"/>
      <w:r w:rsidRPr="00617202">
        <w:rPr>
          <w:rFonts w:eastAsia="Times New Roman" w:cs="Times New Roman"/>
          <w:i/>
          <w:lang w:val="es-CO" w:eastAsia="es-CO"/>
        </w:rPr>
        <w:t xml:space="preserve">, </w:t>
      </w:r>
      <w:proofErr w:type="spellStart"/>
      <w:r w:rsidRPr="00617202">
        <w:rPr>
          <w:rFonts w:eastAsia="Times New Roman" w:cs="Times New Roman"/>
          <w:i/>
          <w:lang w:val="es-CO" w:eastAsia="es-CO"/>
        </w:rPr>
        <w:t>Watanabe</w:t>
      </w:r>
      <w:proofErr w:type="spellEnd"/>
      <w:r w:rsidRPr="00617202">
        <w:rPr>
          <w:rFonts w:eastAsia="Times New Roman" w:cs="Times New Roman"/>
          <w:i/>
          <w:lang w:val="es-CO" w:eastAsia="es-CO"/>
        </w:rPr>
        <w:t xml:space="preserve"> &amp; Li (2009) encuentran que para los países</w:t>
      </w:r>
      <w:r>
        <w:rPr>
          <w:rFonts w:eastAsia="Times New Roman" w:cs="Times New Roman"/>
          <w:i/>
          <w:lang w:val="es-CO" w:eastAsia="es-CO"/>
        </w:rPr>
        <w:t xml:space="preserve"> gigantes</w:t>
      </w:r>
      <w:r w:rsidRPr="00617202">
        <w:rPr>
          <w:rFonts w:eastAsia="Times New Roman" w:cs="Times New Roman"/>
          <w:i/>
          <w:lang w:val="es-CO" w:eastAsia="es-CO"/>
        </w:rPr>
        <w:t xml:space="preserve"> del grupo BRIC</w:t>
      </w:r>
      <w:r w:rsidRPr="00617202">
        <w:rPr>
          <w:rFonts w:eastAsia="Times New Roman" w:cs="Times New Roman"/>
          <w:i/>
          <w:vertAlign w:val="superscript"/>
          <w:lang w:val="es-CO" w:eastAsia="es-CO"/>
        </w:rPr>
        <w:footnoteReference w:id="23"/>
      </w:r>
      <w:r w:rsidRPr="00617202">
        <w:rPr>
          <w:rFonts w:eastAsia="Times New Roman" w:cs="Times New Roman"/>
          <w:i/>
          <w:lang w:val="es-CO" w:eastAsia="es-CO"/>
        </w:rPr>
        <w:t xml:space="preserve"> la adopción</w:t>
      </w:r>
      <w:r>
        <w:rPr>
          <w:rFonts w:eastAsia="Times New Roman" w:cs="Times New Roman"/>
          <w:i/>
          <w:lang w:val="es-CO" w:eastAsia="es-CO"/>
        </w:rPr>
        <w:t xml:space="preserve"> de las TIC </w:t>
      </w:r>
      <w:proofErr w:type="spellStart"/>
      <w:r>
        <w:rPr>
          <w:rFonts w:eastAsia="Times New Roman" w:cs="Times New Roman"/>
          <w:i/>
          <w:lang w:val="es-CO" w:eastAsia="es-CO"/>
        </w:rPr>
        <w:t>co</w:t>
      </w:r>
      <w:proofErr w:type="spellEnd"/>
      <w:r>
        <w:rPr>
          <w:rFonts w:eastAsia="Times New Roman" w:cs="Times New Roman"/>
          <w:i/>
          <w:lang w:val="es-CO" w:eastAsia="es-CO"/>
        </w:rPr>
        <w:t>-</w:t>
      </w:r>
      <w:r w:rsidRPr="00617202">
        <w:rPr>
          <w:rFonts w:eastAsia="Times New Roman" w:cs="Times New Roman"/>
          <w:i/>
          <w:lang w:val="es-CO" w:eastAsia="es-CO"/>
        </w:rPr>
        <w:t>evoluciona con cambios institucionales que permiten el aprovechamiento mejorado de los recursos naturales de los países y aumentos en su productividad. Lo anterior conforme análisis de 40 países y la extrapolación de sus resultados a las economías de países del grupo BRIC.</w:t>
      </w:r>
    </w:p>
    <w:p w:rsidR="00221EE8" w:rsidRPr="00617202" w:rsidRDefault="00221EE8" w:rsidP="00221EE8">
      <w:pPr>
        <w:spacing w:after="240"/>
        <w:rPr>
          <w:rFonts w:eastAsia="Times New Roman" w:cs="Times New Roman"/>
          <w:i/>
          <w:lang w:val="es-CO" w:eastAsia="es-CO"/>
        </w:rPr>
      </w:pPr>
      <w:r w:rsidRPr="00617202">
        <w:rPr>
          <w:rFonts w:eastAsia="Times New Roman" w:cs="Times New Roman"/>
          <w:i/>
          <w:lang w:val="es-CO" w:eastAsia="es-CO"/>
        </w:rPr>
        <w:t>Considerando estos hallazgos, es necesario tener entonces presente que si bien inversiones en una parte del ecosistema pudieran no presentar efectos significativos o incluso efectos negativos en el corto plazo, estos pueden moverse hacia efectos positivos importantes en la medida en que otras piezas del ecosistema empiecen a actuar”</w:t>
      </w:r>
      <w:r>
        <w:rPr>
          <w:rStyle w:val="Refdenotaalpie"/>
          <w:rFonts w:eastAsia="Times New Roman" w:cs="Times New Roman"/>
          <w:i/>
          <w:lang w:val="es-CO" w:eastAsia="es-CO"/>
        </w:rPr>
        <w:footnoteReference w:id="24"/>
      </w:r>
    </w:p>
    <w:p w:rsidR="006F73A8" w:rsidRPr="00221EE8" w:rsidRDefault="00221EE8" w:rsidP="0042461F">
      <w:pPr>
        <w:spacing w:after="240"/>
        <w:rPr>
          <w:rFonts w:eastAsia="Times New Roman" w:cs="Times New Roman"/>
          <w:lang w:val="es-CO" w:eastAsia="es-CO"/>
        </w:rPr>
      </w:pPr>
      <w:r w:rsidRPr="002D57BF">
        <w:rPr>
          <w:rFonts w:eastAsia="Times New Roman" w:cs="Times New Roman"/>
          <w:lang w:val="es-CO" w:eastAsia="es-CO"/>
        </w:rPr>
        <w:t>Así pues, surge aquí entonces la necesidad de que las políticas que han permitido estos avances muy importantes en el desarrollo del ecosistema digital que plantea el Plan Vive Digital, se complementen hacia delante adecuadamente y de forma transversal con adecuados procesos educativos, preparación de personal especializado, y desarrollos de aplicaciones y contenidos pertinentes, que permitan eliminar posibles barreras al adecuado desarrollo y aprovechamiento de los avances realizados.</w:t>
      </w:r>
      <w:r w:rsidR="00F5042C" w:rsidRPr="007D1F7F">
        <w:rPr>
          <w:rFonts w:ascii="Century Gothic" w:hAnsi="Century Gothic" w:cs="Arial"/>
          <w:color w:val="404040" w:themeColor="text1" w:themeTint="BF"/>
          <w:sz w:val="20"/>
          <w:szCs w:val="18"/>
        </w:rPr>
        <w:br w:type="page"/>
      </w:r>
    </w:p>
    <w:p w:rsidR="007700A9" w:rsidRDefault="007700A9" w:rsidP="002E79AE">
      <w:pPr>
        <w:pStyle w:val="Ttulo1"/>
        <w:numPr>
          <w:ilvl w:val="0"/>
          <w:numId w:val="0"/>
        </w:numPr>
        <w:rPr>
          <w:rFonts w:eastAsia="Times New Roman"/>
          <w:lang w:eastAsia="es-ES"/>
        </w:rPr>
      </w:pPr>
    </w:p>
    <w:p w:rsidR="002E79AE" w:rsidRPr="002E79AE" w:rsidRDefault="002E79AE" w:rsidP="002E79AE">
      <w:pPr>
        <w:pStyle w:val="Ttulo1"/>
        <w:rPr>
          <w:lang w:eastAsia="es-ES"/>
        </w:rPr>
      </w:pPr>
      <w:bookmarkStart w:id="103" w:name="_Toc405992298"/>
      <w:bookmarkEnd w:id="103"/>
    </w:p>
    <w:p w:rsidR="007700A9" w:rsidRPr="007700A9" w:rsidRDefault="007700A9" w:rsidP="00340715">
      <w:pPr>
        <w:pStyle w:val="Titulocaptulo-Econometra"/>
        <w:rPr>
          <w:rFonts w:eastAsia="Times New Roman"/>
          <w:lang w:eastAsia="es-ES"/>
        </w:rPr>
      </w:pPr>
      <w:bookmarkStart w:id="104" w:name="_Toc405992299"/>
      <w:r w:rsidRPr="007700A9">
        <w:rPr>
          <w:rFonts w:eastAsia="Times New Roman"/>
          <w:lang w:eastAsia="es-ES"/>
        </w:rPr>
        <w:t>Identificación de cuellos de botella</w:t>
      </w:r>
      <w:bookmarkEnd w:id="104"/>
    </w:p>
    <w:p w:rsidR="007700A9" w:rsidRDefault="009745F3" w:rsidP="008925DF">
      <w:pPr>
        <w:rPr>
          <w:rFonts w:eastAsia="Calibri" w:cs="Times New Roman"/>
        </w:rPr>
      </w:pPr>
      <w:r>
        <w:rPr>
          <w:rFonts w:eastAsia="Calibri" w:cs="Times New Roman"/>
        </w:rPr>
        <w:t xml:space="preserve">En este capítulo se presentan los diferentes cuellos de botella identificados, clasificados en tres grandes grupos: </w:t>
      </w:r>
      <w:r w:rsidR="00610595">
        <w:rPr>
          <w:rFonts w:eastAsia="Calibri" w:cs="Times New Roman"/>
        </w:rPr>
        <w:t>socioeconómicos, operacionales y normativos.</w:t>
      </w:r>
    </w:p>
    <w:p w:rsidR="0051230C" w:rsidRDefault="0051230C" w:rsidP="008925DF">
      <w:r>
        <w:t>El análisis d</w:t>
      </w:r>
      <w:r w:rsidR="00D0036B">
        <w:t>e estos cuellos de botella debe</w:t>
      </w:r>
      <w:r>
        <w:t xml:space="preserve"> contextualizarse respecto de las barreras iniciales al desarrollo del ecosistema digital que detectó el </w:t>
      </w:r>
      <w:r w:rsidR="0077220D">
        <w:t xml:space="preserve">Plan Vive Digital </w:t>
      </w:r>
      <w:r>
        <w:t>en su proceso de diseño</w:t>
      </w:r>
      <w:r>
        <w:rPr>
          <w:rStyle w:val="Refdenotaalpie"/>
        </w:rPr>
        <w:footnoteReference w:id="25"/>
      </w:r>
      <w:r>
        <w:t>:</w:t>
      </w:r>
    </w:p>
    <w:p w:rsidR="0051230C" w:rsidRDefault="0051230C" w:rsidP="008925DF">
      <w:pPr>
        <w:numPr>
          <w:ilvl w:val="0"/>
          <w:numId w:val="19"/>
        </w:numPr>
      </w:pPr>
      <w:r>
        <w:t>Barreras sobre la baja utilidad de las TIC para microempresarios relacionadas con la escasez de aplicaciones pertinentes para sus necesidades</w:t>
      </w:r>
      <w:r w:rsidR="0077220D">
        <w:rPr>
          <w:rStyle w:val="Refdenotaalpie"/>
        </w:rPr>
        <w:footnoteReference w:id="26"/>
      </w:r>
      <w:r>
        <w:t>;</w:t>
      </w:r>
    </w:p>
    <w:p w:rsidR="0051230C" w:rsidRDefault="0051230C" w:rsidP="008925DF">
      <w:pPr>
        <w:numPr>
          <w:ilvl w:val="0"/>
          <w:numId w:val="19"/>
        </w:numPr>
      </w:pPr>
      <w:r>
        <w:t>Bajo poder adquisitivo de los ciudadanos en relación con adquisición de terminales y servicios de acceso a Internet</w:t>
      </w:r>
      <w:r w:rsidR="00D0036B">
        <w:rPr>
          <w:rStyle w:val="Refdenotaalpie"/>
        </w:rPr>
        <w:footnoteReference w:id="27"/>
      </w:r>
      <w:r>
        <w:t>;</w:t>
      </w:r>
    </w:p>
    <w:p w:rsidR="0051230C" w:rsidRDefault="0051230C" w:rsidP="008925DF">
      <w:pPr>
        <w:numPr>
          <w:ilvl w:val="0"/>
          <w:numId w:val="19"/>
        </w:numPr>
      </w:pPr>
      <w:r>
        <w:t>Alto costo para desplegar infraestructura debido a la dispersión y complejidad geográfica y a la administración de los accesos de última milla; y</w:t>
      </w:r>
    </w:p>
    <w:p w:rsidR="0051230C" w:rsidRDefault="0051230C" w:rsidP="008925DF">
      <w:pPr>
        <w:numPr>
          <w:ilvl w:val="0"/>
          <w:numId w:val="19"/>
        </w:numPr>
      </w:pPr>
      <w:r>
        <w:t>Limitaciones en recursos por restricciones presupuestales del Estado.</w:t>
      </w:r>
    </w:p>
    <w:p w:rsidR="0051230C" w:rsidRDefault="00C43902" w:rsidP="008925DF">
      <w:r>
        <w:t>En este contexto, se buscan entonces los</w:t>
      </w:r>
      <w:r w:rsidR="0051230C">
        <w:t xml:space="preserve"> elementos</w:t>
      </w:r>
      <w:r>
        <w:t xml:space="preserve"> que</w:t>
      </w:r>
      <w:r w:rsidR="0051230C">
        <w:t xml:space="preserve"> pudieran aún generar algunos cuellos de botella relacionados con los elementos inicialmente detectados, y los que fueron evidenciados en el proceso de recabar información para el análisis de impacto del plan.</w:t>
      </w:r>
    </w:p>
    <w:p w:rsidR="002F3BCD" w:rsidRPr="002F3BCD" w:rsidRDefault="002F3BCD" w:rsidP="008925DF">
      <w:pPr>
        <w:pStyle w:val="Prrafodelista"/>
        <w:keepNext/>
        <w:keepLines/>
        <w:numPr>
          <w:ilvl w:val="0"/>
          <w:numId w:val="40"/>
        </w:numPr>
        <w:tabs>
          <w:tab w:val="left" w:pos="0"/>
        </w:tabs>
        <w:contextualSpacing w:val="0"/>
        <w:jc w:val="left"/>
        <w:outlineLvl w:val="1"/>
        <w:rPr>
          <w:rFonts w:ascii="Century Gothic" w:hAnsi="Century Gothic"/>
          <w:bCs/>
          <w:smallCaps/>
          <w:vanish/>
          <w:color w:val="C00000"/>
          <w:sz w:val="30"/>
          <w:szCs w:val="30"/>
          <w:lang w:val="es-CO" w:eastAsia="es-ES"/>
        </w:rPr>
      </w:pPr>
      <w:bookmarkStart w:id="105" w:name="_Toc368057663"/>
      <w:bookmarkStart w:id="106" w:name="_Toc373251762"/>
      <w:bookmarkStart w:id="107" w:name="_Toc374780988"/>
      <w:bookmarkStart w:id="108" w:name="_Toc374781143"/>
      <w:bookmarkStart w:id="109" w:name="_Toc374822870"/>
      <w:bookmarkStart w:id="110" w:name="_Toc374828828"/>
      <w:bookmarkStart w:id="111" w:name="_Toc374847002"/>
      <w:bookmarkStart w:id="112" w:name="_Toc374973506"/>
      <w:bookmarkEnd w:id="105"/>
      <w:bookmarkEnd w:id="106"/>
      <w:bookmarkEnd w:id="107"/>
      <w:bookmarkEnd w:id="108"/>
      <w:bookmarkEnd w:id="109"/>
      <w:bookmarkEnd w:id="110"/>
      <w:bookmarkEnd w:id="111"/>
      <w:bookmarkEnd w:id="112"/>
    </w:p>
    <w:p w:rsidR="002F3BCD" w:rsidRPr="002F3BCD" w:rsidRDefault="002F3BCD" w:rsidP="008925DF">
      <w:pPr>
        <w:pStyle w:val="Prrafodelista"/>
        <w:keepNext/>
        <w:keepLines/>
        <w:numPr>
          <w:ilvl w:val="0"/>
          <w:numId w:val="40"/>
        </w:numPr>
        <w:tabs>
          <w:tab w:val="left" w:pos="0"/>
        </w:tabs>
        <w:contextualSpacing w:val="0"/>
        <w:jc w:val="left"/>
        <w:outlineLvl w:val="1"/>
        <w:rPr>
          <w:rFonts w:ascii="Century Gothic" w:hAnsi="Century Gothic"/>
          <w:bCs/>
          <w:smallCaps/>
          <w:vanish/>
          <w:color w:val="C00000"/>
          <w:sz w:val="30"/>
          <w:szCs w:val="30"/>
          <w:lang w:val="es-CO" w:eastAsia="es-ES"/>
        </w:rPr>
      </w:pPr>
      <w:bookmarkStart w:id="113" w:name="_Toc374780989"/>
      <w:bookmarkStart w:id="114" w:name="_Toc374781144"/>
      <w:bookmarkStart w:id="115" w:name="_Toc374822871"/>
      <w:bookmarkStart w:id="116" w:name="_Toc374828829"/>
      <w:bookmarkStart w:id="117" w:name="_Toc374847003"/>
      <w:bookmarkStart w:id="118" w:name="_Toc374973507"/>
      <w:bookmarkEnd w:id="113"/>
      <w:bookmarkEnd w:id="114"/>
      <w:bookmarkEnd w:id="115"/>
      <w:bookmarkEnd w:id="116"/>
      <w:bookmarkEnd w:id="117"/>
      <w:bookmarkEnd w:id="118"/>
    </w:p>
    <w:p w:rsidR="007700A9" w:rsidRPr="009745F3" w:rsidRDefault="007700A9" w:rsidP="008925DF">
      <w:pPr>
        <w:pStyle w:val="Ttulo2"/>
        <w:numPr>
          <w:ilvl w:val="1"/>
          <w:numId w:val="2"/>
        </w:numPr>
        <w:tabs>
          <w:tab w:val="clear" w:pos="718"/>
          <w:tab w:val="num" w:pos="567"/>
        </w:tabs>
        <w:spacing w:after="0"/>
        <w:ind w:left="567"/>
      </w:pPr>
      <w:bookmarkStart w:id="119" w:name="_Toc405992300"/>
      <w:r w:rsidRPr="009745F3">
        <w:t>Cuellos de botella socioeconómicos</w:t>
      </w:r>
      <w:bookmarkEnd w:id="119"/>
      <w:r w:rsidRPr="009745F3">
        <w:t xml:space="preserve"> </w:t>
      </w:r>
    </w:p>
    <w:p w:rsidR="009745F3" w:rsidRDefault="009745F3" w:rsidP="008925DF">
      <w:pPr>
        <w:rPr>
          <w:rFonts w:eastAsia="Calibri" w:cs="Times New Roman"/>
        </w:rPr>
      </w:pPr>
      <w:r>
        <w:rPr>
          <w:rFonts w:eastAsia="Calibri" w:cs="Times New Roman"/>
        </w:rPr>
        <w:t>La demanda por productos y servicios TIC tienen un costo alto para los usuarios que limitan la capacidad de pago. Este es un prin</w:t>
      </w:r>
      <w:r w:rsidR="00A16011">
        <w:rPr>
          <w:rFonts w:eastAsia="Calibri" w:cs="Times New Roman"/>
        </w:rPr>
        <w:t>cipio general que</w:t>
      </w:r>
      <w:r>
        <w:rPr>
          <w:rFonts w:eastAsia="Calibri" w:cs="Times New Roman"/>
        </w:rPr>
        <w:t xml:space="preserve"> es válido para todo tipo de usuario. Este principio, sin embargo, se complementa con otros dos aspectos de la situación económica de los agentes de demanda, que interactúan en el mercado con las condiciones de compra por el lado de la oferta (costo): a) Uno es la distribución del ingreso entre los agentes de demanda (hogares, personas y empresas), que genera segmentos de bajos ingresos, donde el cuello de botella para el consumo es más crítico; y b) el otro es la elasticidad de la demanda al precio de los productos o servicios demandados en los diferentes segmentos del mercado, elasticidades que varían también según los niveles de ingreso de los compradores, siendo más elásticas para los compradores de bajos ingresos y más inelásticas para los compradores de altos ingresos. </w:t>
      </w:r>
    </w:p>
    <w:p w:rsidR="009745F3" w:rsidRDefault="009745F3" w:rsidP="008925DF">
      <w:pPr>
        <w:rPr>
          <w:rFonts w:eastAsia="Calibri" w:cs="Times New Roman"/>
        </w:rPr>
      </w:pPr>
      <w:r>
        <w:rPr>
          <w:rFonts w:eastAsia="Calibri" w:cs="Times New Roman"/>
        </w:rPr>
        <w:t>Cuando estos dos factores se combinan surge la necesidad de crear incentivos al consumo de bienes y servicios de TIC que tengan impactos socia</w:t>
      </w:r>
      <w:r w:rsidR="00A16011">
        <w:rPr>
          <w:rFonts w:eastAsia="Calibri" w:cs="Times New Roman"/>
        </w:rPr>
        <w:t>les y productivos</w:t>
      </w:r>
      <w:r>
        <w:rPr>
          <w:rFonts w:eastAsia="Calibri" w:cs="Times New Roman"/>
        </w:rPr>
        <w:t xml:space="preserve"> en los segmentos más pobres de las poblaciones de personas, hogares y microempresas, que no consumirían estos productos si no se crean estos incentivos. Esto es lo que tratan de hacer parcialmente, algunas de las componentes del Plan Vive Digital. </w:t>
      </w:r>
    </w:p>
    <w:p w:rsidR="0051230C" w:rsidRDefault="0051230C" w:rsidP="008925DF">
      <w:r>
        <w:t>Considerando lo anterior, así como la evidencia eco</w:t>
      </w:r>
      <w:r w:rsidR="00A16011">
        <w:t>nométrica que relaciona el menor acceso a las TIC con un menor</w:t>
      </w:r>
      <w:r>
        <w:t xml:space="preserve"> niv</w:t>
      </w:r>
      <w:r w:rsidR="00A16011">
        <w:t>el de ingreso,</w:t>
      </w:r>
      <w:r>
        <w:t xml:space="preserve"> en el mediano y largo plazo</w:t>
      </w:r>
      <w:r w:rsidR="00A16011">
        <w:t xml:space="preserve"> se debe actuar para lograr el </w:t>
      </w:r>
      <w:r>
        <w:t xml:space="preserve">cierre de la brecha </w:t>
      </w:r>
      <w:r w:rsidR="00A16011">
        <w:t>de</w:t>
      </w:r>
      <w:r>
        <w:t xml:space="preserve"> acceso a los servicios de telecomunicaciones y</w:t>
      </w:r>
      <w:r w:rsidR="00A16011">
        <w:t>,</w:t>
      </w:r>
      <w:r>
        <w:t xml:space="preserve"> en particular</w:t>
      </w:r>
      <w:r w:rsidR="00A16011">
        <w:t>, al servicio de</w:t>
      </w:r>
      <w:r>
        <w:t xml:space="preserve"> Internet (incluyendo el acceso a las terminales necesarias). Para ello debe</w:t>
      </w:r>
      <w:r w:rsidR="00A16011">
        <w:t>n</w:t>
      </w:r>
      <w:r>
        <w:t xml:space="preserve"> tenerse en cuenta los siguientes aspectos de intervención </w:t>
      </w:r>
      <w:r w:rsidR="00A16011">
        <w:t xml:space="preserve">considerados </w:t>
      </w:r>
      <w:r>
        <w:t xml:space="preserve">individualmente o de forma combinada: (i) mejora del ingreso de los hogares, lo cual depende de políticas macroeconómicas de generación de empleo y mejora </w:t>
      </w:r>
      <w:r w:rsidR="0016443E">
        <w:t>del ingreso laboral entre otras; (ii) reducción de precios d</w:t>
      </w:r>
      <w:r>
        <w:t>e los servicios de telecomunicaciones y de terminales a través de acciones de promoción de</w:t>
      </w:r>
      <w:r w:rsidR="0016443E">
        <w:t xml:space="preserve"> la</w:t>
      </w:r>
      <w:r>
        <w:t xml:space="preserve"> competencia y/o regulac</w:t>
      </w:r>
      <w:r w:rsidR="0016443E">
        <w:t>ión de precios si fuere el caso</w:t>
      </w:r>
      <w:r>
        <w:t xml:space="preserve"> (si bien en el elemento de terminales existen evidentes mejoras en cuanto al desarrollo de las iniciativas de redu</w:t>
      </w:r>
      <w:r w:rsidR="0016443E">
        <w:t>cción de impuestos y aranceles); y</w:t>
      </w:r>
      <w:r>
        <w:t xml:space="preserve"> (iii) compensación mediante subsidios al servicio a los estratos de menores ingresos (tal como se ha venido aplican</w:t>
      </w:r>
      <w:r w:rsidR="0016443E">
        <w:t>do en el P</w:t>
      </w:r>
      <w:r>
        <w:t>lan</w:t>
      </w:r>
      <w:r w:rsidR="0016443E">
        <w:t xml:space="preserve"> Vive Digital</w:t>
      </w:r>
      <w:r>
        <w:t>.</w:t>
      </w:r>
    </w:p>
    <w:p w:rsidR="0051230C" w:rsidRDefault="0051230C" w:rsidP="008925DF">
      <w:r>
        <w:t xml:space="preserve">Así, es importante entonces considerar si las políticas de subsidio al Internet se mantendrán pasado el periodo previsto en la ley del plan de desarrollo actual (Ley 1450 de 2011), pues su eliminación podría generar una reducción en el acceso por la problemática de capacidad de pago relativa de los usuarios, en tanto se avanza en la </w:t>
      </w:r>
      <w:r>
        <w:lastRenderedPageBreak/>
        <w:t>reducción de precios y el aumento del ingreso de los hogares, procesos estos que comportan cambios estructurales y por tanto pueden ser más demorados.</w:t>
      </w:r>
    </w:p>
    <w:p w:rsidR="007700A9" w:rsidRPr="009745F3" w:rsidRDefault="007700A9" w:rsidP="008925DF">
      <w:pPr>
        <w:pStyle w:val="Ttulo2"/>
        <w:numPr>
          <w:ilvl w:val="1"/>
          <w:numId w:val="2"/>
        </w:numPr>
        <w:spacing w:after="0"/>
      </w:pPr>
      <w:bookmarkStart w:id="120" w:name="_Toc405992301"/>
      <w:r w:rsidRPr="009745F3">
        <w:t>Cuellos de Botella Operacionales</w:t>
      </w:r>
      <w:bookmarkEnd w:id="120"/>
      <w:r w:rsidRPr="009745F3">
        <w:t xml:space="preserve"> </w:t>
      </w:r>
    </w:p>
    <w:p w:rsidR="0051230C" w:rsidRDefault="0051230C" w:rsidP="008925DF">
      <w:r>
        <w:t>Realizado el análisis de elementos que pudieran generar cuellos de botella en el desarrollo operativo del plan, se encuentran los siguientes elementos:</w:t>
      </w:r>
    </w:p>
    <w:p w:rsidR="0051230C" w:rsidRPr="00824551" w:rsidRDefault="0051230C" w:rsidP="008925DF">
      <w:pPr>
        <w:pStyle w:val="Ttulo3"/>
        <w:numPr>
          <w:ilvl w:val="2"/>
          <w:numId w:val="2"/>
        </w:numPr>
        <w:rPr>
          <w:sz w:val="26"/>
          <w:szCs w:val="26"/>
        </w:rPr>
      </w:pPr>
      <w:r w:rsidRPr="00824551">
        <w:rPr>
          <w:sz w:val="26"/>
          <w:szCs w:val="26"/>
        </w:rPr>
        <w:t>Procesos de contratación</w:t>
      </w:r>
    </w:p>
    <w:p w:rsidR="0051230C" w:rsidRDefault="0051230C" w:rsidP="008925DF">
      <w:r w:rsidRPr="007700A9">
        <w:t xml:space="preserve">En un análisis macro se encuentra un desfase importante en la iniciación de los diversos </w:t>
      </w:r>
      <w:r w:rsidRPr="0072752A">
        <w:t>proyectos, los cuales, al entrar a analizar con los responsables de los mismos, se</w:t>
      </w:r>
      <w:r w:rsidRPr="007700A9">
        <w:t xml:space="preserve"> evidencia que en los proyectos más complejos los procesos de contratación pueden ser en extremo complejos y por lo mismo demorados</w:t>
      </w:r>
      <w:r w:rsidR="0072752A">
        <w:rPr>
          <w:rStyle w:val="Refdenotaalpie"/>
        </w:rPr>
        <w:footnoteReference w:id="28"/>
      </w:r>
      <w:r w:rsidR="00A45354">
        <w:t>. E</w:t>
      </w:r>
      <w:r>
        <w:t>ste es el caso de los proyectos donde se requirió estructurar grandes procesos licitatorios y donde además se suma a los tiempos de desarrollo la complejidad misma de la posterior ejecución</w:t>
      </w:r>
      <w:r w:rsidRPr="007700A9">
        <w:t xml:space="preserve">. </w:t>
      </w:r>
      <w:r>
        <w:t>El ejemplo más diciente es el proyecto de fibra óptica.</w:t>
      </w:r>
    </w:p>
    <w:p w:rsidR="0051230C" w:rsidRDefault="0051230C" w:rsidP="008925DF">
      <w:r>
        <w:t>Cuando se analizan los elementos involucrados, tales como los tiempos mismos de un proceso licitatorio de esta envergadura, la necesidad de estructurar un proceso que considere múltiples aspectos que garanticen la escogencia de la mejor oferta y la transparencia misma del pro</w:t>
      </w:r>
      <w:r w:rsidR="00A45354">
        <w:t>ceso, se concluye que</w:t>
      </w:r>
      <w:r>
        <w:t xml:space="preserve"> el desarrollo del proceso licitatorio desde su concepción hasta el momento de la asignación y firma de contrato puede superar fácilmente un año.</w:t>
      </w:r>
    </w:p>
    <w:p w:rsidR="0051230C" w:rsidRDefault="00A45354" w:rsidP="008925DF">
      <w:r>
        <w:t>Estas limitantes son</w:t>
      </w:r>
      <w:r w:rsidR="0051230C" w:rsidRPr="007700A9">
        <w:t xml:space="preserve"> comunes a todo proceso de contratación e</w:t>
      </w:r>
      <w:r>
        <w:t>statal, por</w:t>
      </w:r>
      <w:r w:rsidR="0051230C" w:rsidRPr="007700A9">
        <w:t xml:space="preserve"> lo cual no existiría una solución particular sino más bien elementos estructurales comunes a todo proceso contractual que no son solucionables o evitables desde la óptica individual del sector TIC, </w:t>
      </w:r>
      <w:r w:rsidR="0051230C">
        <w:t>pues responden en últimas a los desarrollos de todos los postulados legales que competen a la contratación pública y</w:t>
      </w:r>
      <w:r>
        <w:t xml:space="preserve"> al</w:t>
      </w:r>
      <w:r w:rsidR="0051230C">
        <w:t xml:space="preserve"> debido c</w:t>
      </w:r>
      <w:r>
        <w:t>uidado de los recursos públicos. P</w:t>
      </w:r>
      <w:r w:rsidR="0051230C">
        <w:t xml:space="preserve">or lo tanto, en materia de programación de metas </w:t>
      </w:r>
      <w:r w:rsidR="0051230C" w:rsidRPr="007700A9">
        <w:t xml:space="preserve">deben ser tenidos en cuenta a la hora de fijar </w:t>
      </w:r>
      <w:r w:rsidR="0051230C">
        <w:t>hitos en el tiempo y objetivos finales de tiempo para el cumpl</w:t>
      </w:r>
      <w:r>
        <w:t>imiento de las metas propuestas</w:t>
      </w:r>
      <w:r w:rsidR="0051230C" w:rsidRPr="007700A9">
        <w:t xml:space="preserve"> para futuras interven</w:t>
      </w:r>
      <w:r>
        <w:t>ciones dentro del contexto del P</w:t>
      </w:r>
      <w:r w:rsidR="0051230C" w:rsidRPr="007700A9">
        <w:t>lan o de sus futuras versiones.</w:t>
      </w:r>
    </w:p>
    <w:p w:rsidR="0051230C" w:rsidRDefault="0051230C" w:rsidP="008925DF">
      <w:r>
        <w:t>Así, en materia de procesos de contratación estatal, se deberán tener en cuenta en todos los cronogramas adecuados ti</w:t>
      </w:r>
      <w:r w:rsidR="00F76472">
        <w:t xml:space="preserve">empos para la </w:t>
      </w:r>
      <w:r>
        <w:t xml:space="preserve">planeación y estructuración de proyectos, </w:t>
      </w:r>
      <w:r>
        <w:lastRenderedPageBreak/>
        <w:t>para la contratación misma de ellos, y posteriormente los elementos temporales propios de la ejecución según sea la natur</w:t>
      </w:r>
      <w:r w:rsidR="00FF3883">
        <w:t xml:space="preserve">aleza del proyecto contratado. </w:t>
      </w:r>
    </w:p>
    <w:p w:rsidR="0051230C" w:rsidRPr="00824551" w:rsidRDefault="0051230C" w:rsidP="008925DF">
      <w:pPr>
        <w:pStyle w:val="Ttulo3"/>
        <w:numPr>
          <w:ilvl w:val="2"/>
          <w:numId w:val="2"/>
        </w:numPr>
        <w:rPr>
          <w:sz w:val="26"/>
          <w:szCs w:val="26"/>
        </w:rPr>
      </w:pPr>
      <w:r w:rsidRPr="00824551">
        <w:rPr>
          <w:sz w:val="26"/>
          <w:szCs w:val="26"/>
        </w:rPr>
        <w:t>Variables exógenas</w:t>
      </w:r>
      <w:r w:rsidR="00A22F22">
        <w:rPr>
          <w:sz w:val="26"/>
          <w:szCs w:val="26"/>
        </w:rPr>
        <w:t xml:space="preserve"> como la educación</w:t>
      </w:r>
    </w:p>
    <w:p w:rsidR="0051230C" w:rsidRDefault="0051230C" w:rsidP="008925DF">
      <w:r w:rsidRPr="007700A9">
        <w:t xml:space="preserve">Existe así mismo en la literatura evidencia de que variables exógenas como la adecuada educación de la población frente al uso de las TIC, o la disponibilidad de suficiente personal capacitado para soportar su desarrollo, pueden generar atenuación de los efectos positivos que se esperan de las TIC sobre las condiciones socioeconómicas. </w:t>
      </w:r>
    </w:p>
    <w:p w:rsidR="0051230C" w:rsidRDefault="0051230C" w:rsidP="008925DF">
      <w:r>
        <w:t>Adicionalmente, en el ejercicio econométrico desarrollado se encontró evidencia</w:t>
      </w:r>
      <w:r w:rsidR="00F76472">
        <w:t xml:space="preserve"> de correlación</w:t>
      </w:r>
      <w:r>
        <w:t xml:space="preserve"> entre el nivel de educación y el acceso al Internet y a otros servicios de telecomunicaciones.</w:t>
      </w:r>
    </w:p>
    <w:p w:rsidR="0051230C" w:rsidRDefault="0051230C" w:rsidP="008925DF">
      <w:r>
        <w:t>El desarrollo del plan, el cual considera un periodo de evaluación con datos entre 2010 y 2012 y parcialmente 2013, es corto comparado con el periodo educativo de un individuo, por lo que no es posible evaluar posibles limitantes o avances, según sea</w:t>
      </w:r>
      <w:r w:rsidR="00BA1ABC">
        <w:t xml:space="preserve"> </w:t>
      </w:r>
      <w:r>
        <w:t>el caso, en materia de TIC, frente a eventuales cambios significativos en el nivel de educación de los individuos en un periodo tan corto.</w:t>
      </w:r>
    </w:p>
    <w:p w:rsidR="0051230C" w:rsidRDefault="0051230C" w:rsidP="008925DF">
      <w:r>
        <w:t>No obstante, el hecho de que se encuentre una relación directa entre el mayor nivel educativo alcanzado por algún miembro del hogar y el acceso a Internet en los hogares, sugiere que existe una relación de</w:t>
      </w:r>
      <w:r w:rsidR="00DB6E49">
        <w:t xml:space="preserve"> causalidad de</w:t>
      </w:r>
      <w:r>
        <w:t xml:space="preserve"> la variable nivel de educación</w:t>
      </w:r>
      <w:r w:rsidR="00F76472">
        <w:t>,</w:t>
      </w:r>
      <w:r>
        <w:t xml:space="preserve"> como variable exógena al ecosistema digital</w:t>
      </w:r>
      <w:r w:rsidR="00F76472">
        <w:t>,</w:t>
      </w:r>
      <w:r>
        <w:t xml:space="preserve"> que debe ser tenida en cuenta y coordinada en materia de desarrollo de políticas públicas.</w:t>
      </w:r>
    </w:p>
    <w:p w:rsidR="0051230C" w:rsidRDefault="0051230C" w:rsidP="008925DF">
      <w:r w:rsidRPr="007700A9">
        <w:t>Si bien con la información disponible de avances del plan se ha evidenciado una acción positiva en términos de capacitación de grupos específicos de usuarios</w:t>
      </w:r>
      <w:r>
        <w:t xml:space="preserve"> en temas de uso de las TIC</w:t>
      </w:r>
      <w:r w:rsidRPr="007700A9">
        <w:t>, así como la aplicación de recursos para el desarrollo de profesionales en las áreas de interés, no existen mediciones de campo que permitan evaluar si la intensidad de dichas acciones pudiera ser insuficiente y en el mediano plazo generarse un cuello de botella de recursos que alimenten el ecosistema digital.</w:t>
      </w:r>
    </w:p>
    <w:p w:rsidR="0051230C" w:rsidRDefault="0051230C" w:rsidP="008925DF">
      <w:r>
        <w:t xml:space="preserve">En todo caso, tal como se sugiere en la literatura </w:t>
      </w:r>
      <w:r w:rsidR="00DB6E49">
        <w:t>analizada</w:t>
      </w:r>
      <w:r>
        <w:t>, el proceso educativo genera apropiación de conte</w:t>
      </w:r>
      <w:r w:rsidR="00DB6E49">
        <w:t>nidos y capacidades de búsqueda,</w:t>
      </w:r>
      <w:r>
        <w:t xml:space="preserve"> aprovechamiento y desarrollo de conocimiento, que son las que</w:t>
      </w:r>
      <w:r w:rsidR="00DB6E49">
        <w:t>,</w:t>
      </w:r>
      <w:r>
        <w:t xml:space="preserve"> en últimas</w:t>
      </w:r>
      <w:r w:rsidR="00DB6E49">
        <w:t>,</w:t>
      </w:r>
      <w:r>
        <w:t xml:space="preserve"> son poten</w:t>
      </w:r>
      <w:r w:rsidR="00DB6E49">
        <w:t>cializadas  a través de las TIC</w:t>
      </w:r>
      <w:r>
        <w:t xml:space="preserve"> y las que permiten que el individuo encuentre atractivo el acceso a un ecosistema digital y agregue a la demanda por los servicios, aplicaciones y contenidos del mismo.</w:t>
      </w:r>
      <w:r w:rsidR="00BA1ABC">
        <w:t xml:space="preserve"> Este tema de la apropiación fue señalado en el taller Delphos realizado con los líderes de </w:t>
      </w:r>
      <w:r w:rsidR="00BA1ABC">
        <w:lastRenderedPageBreak/>
        <w:t>proyectos del MINTIC</w:t>
      </w:r>
      <w:r w:rsidR="00BA1ABC">
        <w:rPr>
          <w:rStyle w:val="Refdenotaalpie"/>
        </w:rPr>
        <w:footnoteReference w:id="29"/>
      </w:r>
      <w:r w:rsidR="00D470B3">
        <w:t xml:space="preserve">; en efecto, </w:t>
      </w:r>
      <w:r w:rsidR="005C633C">
        <w:t>la apropiación es identificada</w:t>
      </w:r>
      <w:r w:rsidR="00D470B3">
        <w:t xml:space="preserve"> como uno de los cuellos de bot</w:t>
      </w:r>
      <w:r w:rsidR="005C633C">
        <w:t>ella del componente de usuarios.</w:t>
      </w:r>
    </w:p>
    <w:p w:rsidR="0051230C" w:rsidRDefault="0051230C" w:rsidP="008925DF">
      <w:r>
        <w:t>Así, el proceso de desarrollo de las TIC debe ir acompañado de una política pública de educación que incorpore tanto elementos de alfabetización digital o aprop</w:t>
      </w:r>
      <w:r w:rsidR="000F2C78">
        <w:t>iación en el uso de las TIC,</w:t>
      </w:r>
      <w:r>
        <w:t xml:space="preserve"> como contenidos pertinentes que aprovechen y hagan uso de las mismas para familiarizar a los individuos desde temprana edad en el uso de estas herramientas y en el desarrollo de contenidos para el ecosistema digital.</w:t>
      </w:r>
    </w:p>
    <w:p w:rsidR="0051230C" w:rsidRPr="007700A9" w:rsidRDefault="000F2C78" w:rsidP="008925DF">
      <w:r>
        <w:t>Por otra parte</w:t>
      </w:r>
      <w:r w:rsidR="0051230C">
        <w:t xml:space="preserve"> es importante, dada la ausencia de información, desarrollar metodologías de medición de demanda futura de profesionales en el sector, tanto para el desarrollo y soporte de la infraestructura y servicios de telecomunicaciones, como para el desarrollo de aplicaciones y contenidos y para la capacitación, soporte y procesos de apropiación de tecnologías por parte de los usuarios finales. Este es un ejercicio que se debe concertar con la industria, a efectos de planear adecuadamente la deman</w:t>
      </w:r>
      <w:r>
        <w:t>da futura por cada especialidad</w:t>
      </w:r>
      <w:r w:rsidR="005B7685">
        <w:t>, de lo cual</w:t>
      </w:r>
      <w:r>
        <w:t xml:space="preserve"> se debe informar a los aspirantes a ingresar a la educación superior.</w:t>
      </w:r>
      <w:r w:rsidR="0051230C">
        <w:t xml:space="preserve"> Este tipo d</w:t>
      </w:r>
      <w:r>
        <w:t>e ejercicios no se ha</w:t>
      </w:r>
      <w:r w:rsidR="0051230C">
        <w:t xml:space="preserve"> incorporado a las mediciones sectoriales ev</w:t>
      </w:r>
      <w:r w:rsidR="005B7685">
        <w:t>aluadas</w:t>
      </w:r>
      <w:r w:rsidR="0051230C">
        <w:t xml:space="preserve"> y consideramos</w:t>
      </w:r>
      <w:r w:rsidR="005B7685">
        <w:t xml:space="preserve"> que</w:t>
      </w:r>
      <w:r w:rsidR="0051230C">
        <w:t xml:space="preserve"> es fundamental para mantener el ritmo d</w:t>
      </w:r>
      <w:r w:rsidR="005B7685">
        <w:t>e crecimiento que se desea del E</w:t>
      </w:r>
      <w:r w:rsidR="0051230C">
        <w:t>cosistema</w:t>
      </w:r>
      <w:r w:rsidR="005B7685">
        <w:t xml:space="preserve"> Digital</w:t>
      </w:r>
      <w:r w:rsidR="0051230C">
        <w:t xml:space="preserve">, a medida que se incorpore más población al mismo; lo </w:t>
      </w:r>
      <w:r>
        <w:t>anterior teniendo en cuenta que</w:t>
      </w:r>
      <w:r w:rsidR="0051230C">
        <w:t xml:space="preserve"> en la literatura analizada se encontró que existen mercados donde el desarrollo de las TIC no necesariamente ha generado efectos positivos debido a limitantes en el adecuado desarrollo de los procesos de educación y en limitantes en la disponibilidad de profesionales ca</w:t>
      </w:r>
      <w:r w:rsidR="005B7685">
        <w:t>pacitados para el desarrollo de este</w:t>
      </w:r>
      <w:r w:rsidR="0051230C">
        <w:t xml:space="preserve"> ecosistema digital.</w:t>
      </w:r>
    </w:p>
    <w:p w:rsidR="0051230C" w:rsidRPr="007700A9" w:rsidRDefault="0051230C" w:rsidP="008925DF">
      <w:r w:rsidRPr="007700A9">
        <w:t>Considerando lo anterior, es de</w:t>
      </w:r>
      <w:r w:rsidR="0066751C">
        <w:t>seable a futuro establecer</w:t>
      </w:r>
      <w:r w:rsidRPr="007700A9">
        <w:t xml:space="preserve"> planes concertados con los responsables de la política de educación en materia de inclusión del uso de TIC en los currículos a todo nivel y desde temprana edad, así como una adecuada proyección de demanda de profesionales en cada especialidad en coordinación con la industria TIC con el fin de prevenir posibles cuellos de botella en la materia.</w:t>
      </w:r>
    </w:p>
    <w:p w:rsidR="0051230C" w:rsidRPr="009745F3" w:rsidRDefault="0051230C" w:rsidP="008925DF">
      <w:pPr>
        <w:pStyle w:val="Ttulo2"/>
        <w:numPr>
          <w:ilvl w:val="1"/>
          <w:numId w:val="2"/>
        </w:numPr>
        <w:spacing w:after="0"/>
        <w:ind w:left="578" w:hanging="578"/>
      </w:pPr>
      <w:bookmarkStart w:id="121" w:name="_Toc405992302"/>
      <w:r w:rsidRPr="009745F3">
        <w:t>Cuellos de Botella Normativos</w:t>
      </w:r>
      <w:bookmarkEnd w:id="121"/>
    </w:p>
    <w:p w:rsidR="0051230C" w:rsidRPr="007700A9" w:rsidRDefault="0051230C" w:rsidP="008925DF">
      <w:r w:rsidRPr="007700A9">
        <w:t xml:space="preserve">En el análisis normativo no se evidencia la existencia de limitantes que provengan de las normas establecidas para el desarrollo del sector. </w:t>
      </w:r>
    </w:p>
    <w:p w:rsidR="0051230C" w:rsidRDefault="0051230C" w:rsidP="008925DF">
      <w:r>
        <w:t>Conforme al análisis realizado, que se consigna en este informe, se encuentra que e</w:t>
      </w:r>
      <w:r w:rsidRPr="007700A9">
        <w:t xml:space="preserve">l marco normativo actual permite el desarrollo de los planes y proyectos necesarios para </w:t>
      </w:r>
      <w:r w:rsidRPr="007700A9">
        <w:lastRenderedPageBreak/>
        <w:t>el desarrollo del ecos</w:t>
      </w:r>
      <w:r w:rsidR="00B43A30">
        <w:t>istema digital planteado en el Plan Vive D</w:t>
      </w:r>
      <w:r w:rsidRPr="007700A9">
        <w:t>igital, así como el desarrollo de los posibles elementos de mejora que pudieran ser incor</w:t>
      </w:r>
      <w:r w:rsidR="00B43A30">
        <w:t>porados en versiones futuras de dicho</w:t>
      </w:r>
      <w:r w:rsidRPr="007700A9">
        <w:t xml:space="preserve"> plan.</w:t>
      </w:r>
    </w:p>
    <w:p w:rsidR="0051230C" w:rsidRDefault="0051230C" w:rsidP="008925DF">
      <w:r>
        <w:t xml:space="preserve">Sí se detecta, sin embargo, una Sentencia de la Corte </w:t>
      </w:r>
      <w:r w:rsidRPr="00C5274C">
        <w:t>Constitucional C-403 de 2010,</w:t>
      </w:r>
      <w:r>
        <w:t xml:space="preserve"> que prohibió otorgar enlaces punto a punto de manera inmediata frente a la solicitud, lo que implica demoras en despliegues puntuales de infraestructura para expandir las redes (estimado promedio en seis meses).</w:t>
      </w:r>
    </w:p>
    <w:p w:rsidR="0051230C" w:rsidRDefault="0051230C" w:rsidP="008925DF">
      <w:r>
        <w:t>El efecto práctico de esta sentencia es que los procesos de asignación de frecuencias distintas a</w:t>
      </w:r>
      <w:r w:rsidR="00B43A30">
        <w:t xml:space="preserve"> las de mayor interés comercial</w:t>
      </w:r>
      <w:r>
        <w:t xml:space="preserve"> y que</w:t>
      </w:r>
      <w:r w:rsidR="00B43A30">
        <w:t>,</w:t>
      </w:r>
      <w:r>
        <w:t xml:space="preserve"> por tanto</w:t>
      </w:r>
      <w:r w:rsidR="00B43A30">
        <w:t>,</w:t>
      </w:r>
      <w:r>
        <w:t xml:space="preserve"> presentan una baja demanda relativa</w:t>
      </w:r>
      <w:r>
        <w:rPr>
          <w:rStyle w:val="Refdenotaalpie"/>
        </w:rPr>
        <w:footnoteReference w:id="30"/>
      </w:r>
      <w:r w:rsidR="00B43A30">
        <w:t>, eran muy cortos. Este</w:t>
      </w:r>
      <w:r>
        <w:t xml:space="preserve"> puede ser el caso de las asignaciones de frecuencias para enlaces punto a punto,</w:t>
      </w:r>
      <w:r w:rsidR="00B43A30">
        <w:t xml:space="preserve"> que</w:t>
      </w:r>
      <w:r>
        <w:t xml:space="preserve"> se han tornado más complejos por cuanto la sentencia exige para asignaciones particulares un proceso complejo de convocatoria previa que lleva a que procesos que antes demoraban un mes ahora puedan superar los seis meses. Así mismo, las solicitudes que previamente se generaban en cualquier momento para ser atendidas, ahora requieren la espera de las convocatorias que deben realizarse.</w:t>
      </w:r>
    </w:p>
    <w:p w:rsidR="0051230C" w:rsidRDefault="0051230C" w:rsidP="008925DF">
      <w:r>
        <w:t>La demora en el acceso a este recurso puede entonces demorar el despliegue de algunos componentes de red necesarios para avanzar al ritmo de expansión de servicios que se demandan, en especial en zonas sub urbanas y rurales donde las redes alternas de cobre o fibra no están disponibles y la única opción técnicamente viable de acceso son las redes inalámbricas.</w:t>
      </w:r>
    </w:p>
    <w:p w:rsidR="0051230C" w:rsidRDefault="0051230C" w:rsidP="008925DF">
      <w:r>
        <w:t>Si bien existen avances sustanciales relacionados con servicios dependientes de espectro propuestos en el plan</w:t>
      </w:r>
      <w:r>
        <w:rPr>
          <w:rStyle w:val="Refdenotaalpie"/>
        </w:rPr>
        <w:footnoteReference w:id="31"/>
      </w:r>
      <w:r>
        <w:t xml:space="preserve">, relacionados principalmente con bandas de frecuencia de cubrimiento, ellas demandarán el desarrollo de redes, en especial los sistemas móviles, que requieren el desarrollo de redes de </w:t>
      </w:r>
      <w:proofErr w:type="spellStart"/>
      <w:r w:rsidRPr="0051230C">
        <w:rPr>
          <w:i/>
        </w:rPr>
        <w:t>backhaul</w:t>
      </w:r>
      <w:proofErr w:type="spellEnd"/>
      <w:r>
        <w:t xml:space="preserve"> donde en muchos casos se requerirán n</w:t>
      </w:r>
      <w:r w:rsidR="00B43A30">
        <w:t xml:space="preserve">umerosos enlaces de microondas. </w:t>
      </w:r>
      <w:r>
        <w:t>Así mismo, el despliegue de la red nacional de fibra óptica genera la necesidad de resolver el acceso de última milla desde los punto s de presencia de la fibra hacia los usuarios, muchos de ellos en municipios con poca infraestructura alámbrica, y en muchos casos con ubicación en zonas sub urbanas y urbanas, que harán necesario el despliegue de numerosas solucione</w:t>
      </w:r>
      <w:r w:rsidR="00B43A30">
        <w:t xml:space="preserve">s inalámbricas complementarias. </w:t>
      </w:r>
      <w:r>
        <w:t xml:space="preserve">Así entonces, es necesario que se consideren mecanismos que </w:t>
      </w:r>
      <w:r>
        <w:lastRenderedPageBreak/>
        <w:t xml:space="preserve">permitan un acceso más expedito </w:t>
      </w:r>
      <w:r w:rsidR="00B43A30">
        <w:t>al uso del espectro,</w:t>
      </w:r>
      <w:r>
        <w:t xml:space="preserve"> en consideración a la necesidad de desplegar redes inalámbricas de forma ágil.</w:t>
      </w:r>
    </w:p>
    <w:p w:rsidR="0051230C" w:rsidRPr="007700A9" w:rsidRDefault="0051230C" w:rsidP="008925DF">
      <w:r>
        <w:t>En</w:t>
      </w:r>
      <w:r w:rsidR="00B43A30">
        <w:t xml:space="preserve"> este punto, se sugiere</w:t>
      </w:r>
      <w:r>
        <w:t xml:space="preserve"> que se consideren ajustes en la normativa legal que, cumpliendo con los postulados de la sentencia 403 de 2010, permitan mayor agilidad en el despliegue de estas </w:t>
      </w:r>
      <w:r w:rsidR="00B43A30">
        <w:t>redes, pero complementariamente</w:t>
      </w:r>
      <w:r>
        <w:t xml:space="preserve"> se considere la mayor disponibilidad de espectro con esquemas de gestión flexible como el uso libre cuando exista tecnologías prácticas para el efecto, o el desarrollo de mercados secundarios sobre el mismo</w:t>
      </w:r>
      <w:r w:rsidR="00B43A30">
        <w:t>,</w:t>
      </w:r>
      <w:r>
        <w:t xml:space="preserve"> que genere</w:t>
      </w:r>
      <w:r w:rsidR="00B43A30">
        <w:t>n una mayor</w:t>
      </w:r>
      <w:r>
        <w:t xml:space="preserve"> agilidad en el acceso a este recurso</w:t>
      </w:r>
      <w:r w:rsidR="009B3F09">
        <w:t xml:space="preserve"> escaso</w:t>
      </w:r>
      <w:r>
        <w:t>.</w:t>
      </w:r>
    </w:p>
    <w:p w:rsidR="0051230C" w:rsidRDefault="0051230C" w:rsidP="008925DF">
      <w:pPr>
        <w:rPr>
          <w:rFonts w:eastAsia="Calibri" w:cs="Times New Roman"/>
        </w:rPr>
      </w:pPr>
      <w:r>
        <w:rPr>
          <w:rFonts w:eastAsia="Calibri" w:cs="Times New Roman"/>
        </w:rPr>
        <w:br w:type="page"/>
      </w:r>
    </w:p>
    <w:p w:rsidR="00510448" w:rsidRDefault="00510448" w:rsidP="002E79AE">
      <w:pPr>
        <w:pStyle w:val="Ttulo1"/>
        <w:numPr>
          <w:ilvl w:val="0"/>
          <w:numId w:val="0"/>
        </w:numPr>
        <w:rPr>
          <w:rFonts w:eastAsia="Times New Roman"/>
          <w:lang w:eastAsia="es-ES"/>
        </w:rPr>
      </w:pPr>
    </w:p>
    <w:p w:rsidR="002E79AE" w:rsidRPr="002E79AE" w:rsidRDefault="002E79AE" w:rsidP="002E79AE">
      <w:pPr>
        <w:pStyle w:val="Ttulo1"/>
        <w:rPr>
          <w:lang w:eastAsia="es-ES"/>
        </w:rPr>
      </w:pPr>
      <w:bookmarkStart w:id="122" w:name="_Toc405992303"/>
      <w:bookmarkEnd w:id="122"/>
    </w:p>
    <w:p w:rsidR="009D37E3" w:rsidRPr="007700A9" w:rsidRDefault="009D37E3" w:rsidP="009D37E3">
      <w:pPr>
        <w:pStyle w:val="Titulocaptulo-Econometra"/>
        <w:rPr>
          <w:rFonts w:eastAsia="Times New Roman"/>
          <w:lang w:eastAsia="es-ES"/>
        </w:rPr>
      </w:pPr>
      <w:bookmarkStart w:id="123" w:name="_Toc405992304"/>
      <w:r>
        <w:rPr>
          <w:rFonts w:eastAsia="Times New Roman"/>
          <w:lang w:eastAsia="es-ES"/>
        </w:rPr>
        <w:t>Análisis de conformidad jurídica del Plan Vive Digital</w:t>
      </w:r>
      <w:bookmarkEnd w:id="123"/>
    </w:p>
    <w:p w:rsidR="009D37E3" w:rsidRDefault="009D37E3" w:rsidP="001E295C">
      <w:r w:rsidRPr="0046110B">
        <w:t>En esta sección del documento se presenta el análisis de los elementos de orden jurídico considerados como base de sustento del plan, así como los elementos normativos más relevantes que se hayan expedido como consecuencia de la aplicación del mismo.</w:t>
      </w:r>
    </w:p>
    <w:p w:rsidR="009D37E3" w:rsidRPr="00A71DCC" w:rsidRDefault="009D37E3" w:rsidP="001E295C">
      <w:pPr>
        <w:pStyle w:val="Prrafodelista3"/>
        <w:keepNext/>
        <w:keepLines/>
        <w:numPr>
          <w:ilvl w:val="0"/>
          <w:numId w:val="2"/>
        </w:numPr>
        <w:tabs>
          <w:tab w:val="left" w:pos="0"/>
        </w:tabs>
        <w:outlineLvl w:val="1"/>
        <w:rPr>
          <w:rFonts w:ascii="Century Gothic" w:hAnsi="Century Gothic"/>
          <w:bCs/>
          <w:smallCaps/>
          <w:vanish/>
          <w:color w:val="FF0000"/>
          <w:sz w:val="30"/>
          <w:szCs w:val="30"/>
          <w:lang w:eastAsia="es-ES"/>
        </w:rPr>
      </w:pPr>
    </w:p>
    <w:p w:rsidR="009D37E3" w:rsidRPr="00382F97" w:rsidRDefault="009D37E3" w:rsidP="001E295C">
      <w:pPr>
        <w:pStyle w:val="Ttulo2"/>
        <w:numPr>
          <w:ilvl w:val="1"/>
          <w:numId w:val="2"/>
        </w:numPr>
        <w:spacing w:after="0"/>
        <w:rPr>
          <w:b/>
        </w:rPr>
      </w:pPr>
      <w:bookmarkStart w:id="124" w:name="_Toc405992305"/>
      <w:r w:rsidRPr="00A71DCC">
        <w:t xml:space="preserve">Marco </w:t>
      </w:r>
      <w:r>
        <w:t>c</w:t>
      </w:r>
      <w:r w:rsidRPr="00382F97">
        <w:t>onstitucional que fundam</w:t>
      </w:r>
      <w:r>
        <w:t>enta el P</w:t>
      </w:r>
      <w:r w:rsidRPr="00382F97">
        <w:t>lan Vive Digital</w:t>
      </w:r>
      <w:bookmarkEnd w:id="124"/>
      <w:r w:rsidRPr="00382F97">
        <w:t xml:space="preserve"> </w:t>
      </w:r>
    </w:p>
    <w:p w:rsidR="009D37E3" w:rsidRPr="00382F97" w:rsidRDefault="009D37E3" w:rsidP="001E295C">
      <w:r w:rsidRPr="00382F97">
        <w:t xml:space="preserve">El objetivo primordial del Plan Vive Digital es la masificación de Internet. Por este motivo el Plan encuentra su fundamento constitucional en los siguientes principios: </w:t>
      </w:r>
    </w:p>
    <w:p w:rsidR="009D37E3" w:rsidRPr="001D630D" w:rsidRDefault="009D37E3" w:rsidP="001E295C">
      <w:pPr>
        <w:numPr>
          <w:ilvl w:val="0"/>
          <w:numId w:val="10"/>
        </w:numPr>
      </w:pPr>
      <w:r w:rsidRPr="001D630D">
        <w:t>La obligación del Estado de intervenir en la explotación de los recursos públicos.</w:t>
      </w:r>
    </w:p>
    <w:p w:rsidR="009D37E3" w:rsidRPr="001D630D" w:rsidRDefault="009D37E3" w:rsidP="001E295C">
      <w:pPr>
        <w:numPr>
          <w:ilvl w:val="0"/>
          <w:numId w:val="10"/>
        </w:numPr>
      </w:pPr>
      <w:r w:rsidRPr="001D630D">
        <w:t xml:space="preserve">La obligación del Estado de intervenir en la verificación y control de la adecuada prestación de los servicios públicos. </w:t>
      </w:r>
    </w:p>
    <w:p w:rsidR="009D37E3" w:rsidRPr="001D630D" w:rsidRDefault="009D37E3" w:rsidP="001E295C">
      <w:pPr>
        <w:numPr>
          <w:ilvl w:val="0"/>
          <w:numId w:val="10"/>
        </w:numPr>
      </w:pPr>
      <w:r w:rsidRPr="001D630D">
        <w:t>El cumplimiento de los fines del Estado de promover la prosperidad general y garantizar la efectividad de los principios, derechos y deberes consagrados en la Constitución.</w:t>
      </w:r>
    </w:p>
    <w:p w:rsidR="009D37E3" w:rsidRPr="00382F97" w:rsidRDefault="009D37E3" w:rsidP="001E295C">
      <w:pPr>
        <w:numPr>
          <w:ilvl w:val="0"/>
          <w:numId w:val="10"/>
        </w:numPr>
      </w:pPr>
      <w:r w:rsidRPr="001D630D">
        <w:t xml:space="preserve">La obligación del Estado de intervenir específicamente, en el control y gestión del uso adecuado del espectro electromagnético. </w:t>
      </w:r>
    </w:p>
    <w:p w:rsidR="009D37E3" w:rsidRPr="001D630D" w:rsidRDefault="009D37E3" w:rsidP="001E295C">
      <w:r w:rsidRPr="001D630D">
        <w:t>Los referidos principios están consagrados en los artículos 2, 75, 334, 365, 366 de la Constitución Política de Colombia.</w:t>
      </w:r>
    </w:p>
    <w:p w:rsidR="009D37E3" w:rsidRPr="001D630D" w:rsidRDefault="009D37E3" w:rsidP="001E295C">
      <w:r w:rsidRPr="001D630D">
        <w:t xml:space="preserve">El artículo 2 de la Constitución dispone: </w:t>
      </w:r>
    </w:p>
    <w:p w:rsidR="009D37E3" w:rsidRPr="001D630D" w:rsidRDefault="009D37E3" w:rsidP="001E295C">
      <w:pPr>
        <w:ind w:left="708"/>
      </w:pPr>
      <w:r w:rsidRPr="001D630D">
        <w:rPr>
          <w:rStyle w:val="textonavy"/>
          <w:i/>
        </w:rPr>
        <w:t>Artículo 2o.</w:t>
      </w:r>
      <w:r w:rsidRPr="001D630D">
        <w:rPr>
          <w:i/>
        </w:rPr>
        <w:t xml:space="preserve"> Son fines esenciales del Estado: servir a la comunidad, </w:t>
      </w:r>
      <w:r w:rsidRPr="001D630D">
        <w:rPr>
          <w:i/>
          <w:u w:val="single"/>
        </w:rPr>
        <w:t>promover la prosperidad general y garantizar la efectividad de los principios, derechos y deberes consagrados en la Constitución</w:t>
      </w:r>
      <w:r w:rsidRPr="001D630D">
        <w:rPr>
          <w:i/>
        </w:rPr>
        <w:t xml:space="preserve">; facilitar la participación de todos en las decisiones que los afectan y en la vida económica, política, administrativa y cultural de la Nación; defender la independencia nacional, </w:t>
      </w:r>
      <w:r w:rsidRPr="001D630D">
        <w:rPr>
          <w:i/>
        </w:rPr>
        <w:lastRenderedPageBreak/>
        <w:t>mantener la integridad territorial y asegurar la convivencia pacífica y la vigencia de un orden justo.</w:t>
      </w:r>
    </w:p>
    <w:p w:rsidR="009D37E3" w:rsidRPr="001D630D" w:rsidRDefault="009D37E3" w:rsidP="001E295C">
      <w:pPr>
        <w:ind w:left="708"/>
      </w:pPr>
      <w:r w:rsidRPr="001D630D">
        <w:rPr>
          <w:i/>
        </w:rPr>
        <w:t xml:space="preserve">Las autoridades de la República están instituidas para proteger a todas las personas residentes en Colombia, en su vida, honra, bienes, creencias, y demás derechos y libertades, y </w:t>
      </w:r>
      <w:r w:rsidRPr="001D630D">
        <w:rPr>
          <w:i/>
          <w:u w:val="single"/>
        </w:rPr>
        <w:t>para asegurar el cumplimiento de los deberes sociales del Estado y de los particulares</w:t>
      </w:r>
      <w:r w:rsidRPr="001D630D">
        <w:t>.</w:t>
      </w:r>
      <w:r w:rsidRPr="001D630D">
        <w:rPr>
          <w:b/>
        </w:rPr>
        <w:t xml:space="preserve"> </w:t>
      </w:r>
      <w:r w:rsidRPr="001D630D">
        <w:t>(Se subraya)</w:t>
      </w:r>
    </w:p>
    <w:p w:rsidR="009D37E3" w:rsidRPr="001D630D" w:rsidRDefault="009D37E3" w:rsidP="001E295C">
      <w:pPr>
        <w:ind w:left="-12"/>
      </w:pPr>
      <w:r w:rsidRPr="001D630D">
        <w:t xml:space="preserve">El artículo citado se refiere a los fines del Estado. Dentro de ellos se encuentra la promoción de la prosperidad y la garantía de la efectividad de los principios, derechos y deberes previstos en la Constitución. Con la masificación de Internet, el Plan Vive Digital, en claro desarrollo de los fines esenciales del Estado, pretende reducir el desempleo y la pobreza, aumentar la competitividad del país y dar un salto hacia la prosperidad democrática. </w:t>
      </w:r>
    </w:p>
    <w:p w:rsidR="009D37E3" w:rsidRPr="001D630D" w:rsidRDefault="009D37E3" w:rsidP="001E295C">
      <w:pPr>
        <w:ind w:left="-12"/>
        <w:rPr>
          <w:b/>
        </w:rPr>
      </w:pPr>
      <w:r w:rsidRPr="001D630D">
        <w:t>En la medida en que la asignación de bandas de frecuencia es fundamental para la prestación del servicio de Internet a un mayor número de usuarios y en mejores condiciones de calidad, el Plan Vive Digital encuentra sustento constitucional en el artículo 75, referido al control y gestión que ejerce el Estado sobre el espectro electromagnético, así:</w:t>
      </w:r>
    </w:p>
    <w:p w:rsidR="009D37E3" w:rsidRPr="001D630D" w:rsidRDefault="009D37E3" w:rsidP="001E295C">
      <w:pPr>
        <w:ind w:left="708"/>
      </w:pPr>
      <w:r w:rsidRPr="001D630D">
        <w:rPr>
          <w:rStyle w:val="textonavy"/>
          <w:i/>
        </w:rPr>
        <w:t xml:space="preserve">Artículo 75. </w:t>
      </w:r>
      <w:r w:rsidRPr="001D630D">
        <w:rPr>
          <w:i/>
        </w:rPr>
        <w:t xml:space="preserve">El espectro electromagnético es un bien público </w:t>
      </w:r>
      <w:proofErr w:type="spellStart"/>
      <w:r w:rsidRPr="001D630D">
        <w:rPr>
          <w:i/>
        </w:rPr>
        <w:t>inenajenable</w:t>
      </w:r>
      <w:proofErr w:type="spellEnd"/>
      <w:r w:rsidRPr="001D630D">
        <w:rPr>
          <w:i/>
        </w:rPr>
        <w:t xml:space="preserve"> e imprescriptible </w:t>
      </w:r>
      <w:r w:rsidRPr="001D630D">
        <w:rPr>
          <w:i/>
          <w:u w:val="single"/>
        </w:rPr>
        <w:t>sujeto a la gestión y control del Estado</w:t>
      </w:r>
      <w:r w:rsidRPr="001D630D">
        <w:rPr>
          <w:i/>
        </w:rPr>
        <w:t xml:space="preserve">. Se garantiza la igualdad de oportunidades en el acceso a su uso en los términos que fije la ley. </w:t>
      </w:r>
    </w:p>
    <w:p w:rsidR="009D37E3" w:rsidRPr="001D630D" w:rsidRDefault="009D37E3" w:rsidP="001E295C">
      <w:pPr>
        <w:ind w:left="708"/>
      </w:pPr>
      <w:r w:rsidRPr="001D630D">
        <w:rPr>
          <w:i/>
        </w:rPr>
        <w:t xml:space="preserve">Para garantizar el pluralismo informativo y la competencia, el Estado intervendrá por mandato de la ley para evitar las prácticas monopolísticas en el uso del espectro electromagnético. </w:t>
      </w:r>
      <w:r w:rsidRPr="001D630D">
        <w:t xml:space="preserve">(Se subraya) </w:t>
      </w:r>
    </w:p>
    <w:p w:rsidR="009D37E3" w:rsidRPr="001D630D" w:rsidRDefault="009D37E3" w:rsidP="001E295C">
      <w:pPr>
        <w:ind w:left="-12"/>
      </w:pPr>
      <w:r w:rsidRPr="001D630D">
        <w:t>Así mismo, el Plan Vive Digital es desarrollo del artículo 334 de la Constitución Política</w:t>
      </w:r>
      <w:r>
        <w:t>, toda vez que a través de é</w:t>
      </w:r>
      <w:r w:rsidRPr="001D630D">
        <w:t xml:space="preserve">l, el Estado interviene en </w:t>
      </w:r>
      <w:proofErr w:type="spellStart"/>
      <w:r w:rsidRPr="001D630D">
        <w:t>en</w:t>
      </w:r>
      <w:proofErr w:type="spellEnd"/>
      <w:r w:rsidRPr="001D630D">
        <w:t xml:space="preserve"> la producción, utilización y consumo del servicio de Internet, proponiendo soluciones de oferta y demanda. El referido artículo dispone:</w:t>
      </w:r>
    </w:p>
    <w:p w:rsidR="009D37E3" w:rsidRPr="001D630D" w:rsidRDefault="009D37E3" w:rsidP="001E295C">
      <w:pPr>
        <w:ind w:left="708"/>
      </w:pPr>
      <w:r w:rsidRPr="001D630D">
        <w:rPr>
          <w:rStyle w:val="textonavy"/>
          <w:i/>
        </w:rPr>
        <w:t xml:space="preserve">Artículo 334. </w:t>
      </w:r>
      <w:r w:rsidRPr="001D630D">
        <w:rPr>
          <w:i/>
        </w:rPr>
        <w:t xml:space="preserve">La dirección general de la economía estará a cargo del Estado. Este intervendrá, por mandato de la ley, </w:t>
      </w:r>
      <w:r w:rsidRPr="001D630D">
        <w:rPr>
          <w:i/>
          <w:u w:val="single"/>
        </w:rPr>
        <w:t>en la explotación de los recursos naturales</w:t>
      </w:r>
      <w:r w:rsidRPr="001D630D">
        <w:rPr>
          <w:i/>
        </w:rPr>
        <w:t xml:space="preserve">, en el uso del suelo, en la producción, distribución, utilización y consumo de los bienes, </w:t>
      </w:r>
      <w:r w:rsidRPr="001D630D">
        <w:rPr>
          <w:i/>
          <w:u w:val="single"/>
        </w:rPr>
        <w:t>y en los servicios públicos y privados</w:t>
      </w:r>
      <w:r w:rsidRPr="001D630D">
        <w:rPr>
          <w:i/>
        </w:rPr>
        <w:t xml:space="preserve">, para racionalizar la economía con el fin de conseguir en el plano nacional y territorial, en un marco de sostenibilidad fiscal, el mejoramiento de la calidad de vida de los habitantes, la distribución equitativa de las oportunidades y los beneficios del desarrollo y la preservación de un ambiente sano. Dicho marco de sostenibilidad fiscal deberá fungir como </w:t>
      </w:r>
      <w:r w:rsidRPr="001D630D">
        <w:rPr>
          <w:i/>
        </w:rPr>
        <w:lastRenderedPageBreak/>
        <w:t xml:space="preserve">instrumento para alcanzar de manera progresiva los objetivos del Estado Social de Derecho. En cualquier caso el gasto público social será prioritario. </w:t>
      </w:r>
    </w:p>
    <w:p w:rsidR="009D37E3" w:rsidRPr="001D630D" w:rsidRDefault="009D37E3" w:rsidP="001E295C">
      <w:pPr>
        <w:ind w:left="708"/>
      </w:pPr>
      <w:r w:rsidRPr="001D630D">
        <w:rPr>
          <w:i/>
        </w:rPr>
        <w:t xml:space="preserve">El Estado, de manera especial, intervendrá para dar pleno empleo a los recursos humanos y asegurar, de manera progresiva, que todas las personas, en </w:t>
      </w:r>
      <w:r w:rsidRPr="001D630D">
        <w:rPr>
          <w:i/>
          <w:u w:val="single"/>
        </w:rPr>
        <w:t>particular las de menores ingresos, tengan acceso efectivo al conjunto de los bienes y servicios básicos</w:t>
      </w:r>
      <w:r w:rsidRPr="001D630D">
        <w:rPr>
          <w:i/>
        </w:rPr>
        <w:t xml:space="preserve">. </w:t>
      </w:r>
      <w:r w:rsidRPr="001D630D">
        <w:rPr>
          <w:i/>
          <w:u w:val="single"/>
        </w:rPr>
        <w:t>También para promover la productividad y competitividad y el desarrollo armónico de las regiones.</w:t>
      </w:r>
      <w:r w:rsidRPr="001D630D">
        <w:rPr>
          <w:i/>
        </w:rPr>
        <w:t xml:space="preserve"> (…)</w:t>
      </w:r>
      <w:r w:rsidRPr="001D630D">
        <w:t>(Se subraya)</w:t>
      </w:r>
    </w:p>
    <w:p w:rsidR="009D37E3" w:rsidRPr="001D630D" w:rsidRDefault="009D37E3" w:rsidP="001E295C">
      <w:pPr>
        <w:ind w:left="-12"/>
      </w:pPr>
      <w:r w:rsidRPr="001D630D">
        <w:t>El Plan Vive Digital encuentra particular sustento en el segundo inciso de la norma citada, toda vez que propende por la promoción de la productividad, competitividad y desarrollo armónico de las regiones, al mismo tiempo que garantiza que las personas de menores ingresos tengan acceso a un servicio básico.</w:t>
      </w:r>
    </w:p>
    <w:p w:rsidR="009D37E3" w:rsidRPr="001D630D" w:rsidRDefault="009D37E3" w:rsidP="001E295C">
      <w:pPr>
        <w:ind w:left="-12"/>
      </w:pPr>
      <w:r w:rsidRPr="001D630D">
        <w:t>En la medida en que Internet es un servicio público, es preciso revisar lo dispuesto en el artículo 365 de la Constitución, el cual dispone:</w:t>
      </w:r>
    </w:p>
    <w:p w:rsidR="009D37E3" w:rsidRPr="001D630D" w:rsidRDefault="009D37E3" w:rsidP="001E295C">
      <w:pPr>
        <w:ind w:left="708"/>
        <w:rPr>
          <w:u w:val="single"/>
        </w:rPr>
      </w:pPr>
      <w:r w:rsidRPr="001D630D">
        <w:rPr>
          <w:rStyle w:val="textonavy"/>
          <w:i/>
        </w:rPr>
        <w:t>Artículo 365</w:t>
      </w:r>
      <w:r w:rsidRPr="001D630D">
        <w:rPr>
          <w:rStyle w:val="textonavy"/>
        </w:rPr>
        <w:t xml:space="preserve">. </w:t>
      </w:r>
      <w:r w:rsidRPr="001D630D">
        <w:rPr>
          <w:i/>
        </w:rPr>
        <w:t xml:space="preserve">Los servicios públicos son inherentes a la finalidad social del Estado. </w:t>
      </w:r>
      <w:r w:rsidRPr="001D630D">
        <w:rPr>
          <w:i/>
          <w:u w:val="single"/>
        </w:rPr>
        <w:t>Es deber del Estado asegurar su prestación eficiente a todos los habitantes del territorio nacional.</w:t>
      </w:r>
    </w:p>
    <w:p w:rsidR="009D37E3" w:rsidRPr="001D630D" w:rsidRDefault="009D37E3" w:rsidP="001E295C">
      <w:pPr>
        <w:ind w:left="708"/>
      </w:pPr>
      <w:r w:rsidRPr="001D630D">
        <w:rPr>
          <w:i/>
        </w:rPr>
        <w:t xml:space="preserve">Los servicios públicos estarán sometidos al régimen jurídico que fije la ley, podrán ser prestados por el Estado, directa o indirectamente, por comunidades organizadas, o por particulares. </w:t>
      </w:r>
      <w:r w:rsidRPr="001D630D">
        <w:rPr>
          <w:i/>
          <w:u w:val="single"/>
        </w:rPr>
        <w:t>En todo caso, el Estado mantendrá la regulación, el control y la vigilancia de dichos servicios</w:t>
      </w:r>
      <w:r w:rsidRPr="001D630D">
        <w:rPr>
          <w:i/>
        </w:rPr>
        <w:t xml:space="preserve">. Si por razones de soberanía o de interés social, el Estado, mediante ley aprobada por la mayoría de los miembros de una y otra cámara, por iniciativa del Gobierno decide reservarse determinadas actividades estratégicas o servicios públicos, deberá indemnizar previa y plenamente a las personas que en virtud de dicha ley, queden privadas del ejercicio de una actividad lícita. </w:t>
      </w:r>
      <w:r w:rsidRPr="001D630D">
        <w:t xml:space="preserve">(Se subraya) </w:t>
      </w:r>
    </w:p>
    <w:p w:rsidR="009D37E3" w:rsidRPr="001D630D" w:rsidRDefault="009D37E3" w:rsidP="001E295C">
      <w:pPr>
        <w:ind w:left="-12"/>
      </w:pPr>
      <w:r w:rsidRPr="001D630D">
        <w:t xml:space="preserve">Todas las actividades tendientes a lograr que haya una mayor penetración y utilización del servicio de Internet son un claro desarrollo del deber del Estado previsto en el artículo citado de asegurar la prestación eficiente de los servicios públicos a todos los habitantes del territorio nacional. Así mismo, las normas expedidas con ocasión del Plan, encuentran sustento constitucional en el segundo inciso del artículo 365 pues hacen parte de la regulación, control y vigilancia que ejerce el Estado sobre los servicios públicos. </w:t>
      </w:r>
    </w:p>
    <w:p w:rsidR="009D37E3" w:rsidRPr="001D630D" w:rsidRDefault="009D37E3" w:rsidP="001E295C">
      <w:pPr>
        <w:ind w:left="-12"/>
        <w:rPr>
          <w:i/>
        </w:rPr>
      </w:pPr>
      <w:r w:rsidRPr="001D630D">
        <w:t>Por último, el artículo 366 de la Constitución se refiere a las finalidades sociales del Estado. En desarrollo de estas, debe buscar las soluciones insatisfechas de salud y educación, dos claros objetivos del Plan Vive Digital.</w:t>
      </w:r>
    </w:p>
    <w:p w:rsidR="009D37E3" w:rsidRPr="001D630D" w:rsidRDefault="009D37E3" w:rsidP="001E295C">
      <w:pPr>
        <w:ind w:left="708"/>
      </w:pPr>
      <w:r w:rsidRPr="001D630D">
        <w:rPr>
          <w:rStyle w:val="textonavy"/>
          <w:i/>
        </w:rPr>
        <w:lastRenderedPageBreak/>
        <w:t xml:space="preserve">Artículo 366. </w:t>
      </w:r>
      <w:r w:rsidRPr="001D630D">
        <w:rPr>
          <w:i/>
        </w:rPr>
        <w:t xml:space="preserve">El bienestar general y el mejoramiento de la calidad de vida de la población son finalidades sociales del Estado. </w:t>
      </w:r>
      <w:r w:rsidRPr="001D630D">
        <w:rPr>
          <w:i/>
          <w:u w:val="single"/>
        </w:rPr>
        <w:t xml:space="preserve">Será objetivo fundamental de su actividad la solución de las necesidades insatisfechas de salud, de educación, de saneamiento ambiental y de agua potable. </w:t>
      </w:r>
    </w:p>
    <w:p w:rsidR="009D37E3" w:rsidRPr="001D630D" w:rsidRDefault="009D37E3" w:rsidP="001E295C">
      <w:pPr>
        <w:ind w:left="708"/>
      </w:pPr>
      <w:r w:rsidRPr="001D630D">
        <w:rPr>
          <w:i/>
        </w:rPr>
        <w:t>Para tales efectos, en los planes y presupuestos de la Nación y de las entidades territoriales, el gasto público social tendrá prioridad sobre cualquier otra asignación</w:t>
      </w:r>
      <w:r w:rsidRPr="001D630D">
        <w:t>. (Se subraya)</w:t>
      </w:r>
    </w:p>
    <w:p w:rsidR="009D37E3" w:rsidRPr="00382F97" w:rsidRDefault="009D37E3" w:rsidP="001E295C">
      <w:pPr>
        <w:pStyle w:val="Ttulo2"/>
        <w:numPr>
          <w:ilvl w:val="1"/>
          <w:numId w:val="2"/>
        </w:numPr>
        <w:tabs>
          <w:tab w:val="clear" w:pos="718"/>
        </w:tabs>
        <w:spacing w:after="0"/>
        <w:ind w:left="567"/>
        <w:rPr>
          <w:b/>
        </w:rPr>
      </w:pPr>
      <w:bookmarkStart w:id="125" w:name="_Toc405992306"/>
      <w:r w:rsidRPr="00382F97">
        <w:t>Marco Legal del sector TIC</w:t>
      </w:r>
      <w:bookmarkEnd w:id="125"/>
      <w:r w:rsidRPr="00382F97">
        <w:t xml:space="preserve"> </w:t>
      </w:r>
    </w:p>
    <w:p w:rsidR="009D37E3" w:rsidRPr="00517554" w:rsidRDefault="009D37E3" w:rsidP="001E295C">
      <w:pPr>
        <w:pStyle w:val="Ttulo3"/>
        <w:numPr>
          <w:ilvl w:val="2"/>
          <w:numId w:val="2"/>
        </w:numPr>
        <w:rPr>
          <w:sz w:val="26"/>
          <w:szCs w:val="26"/>
        </w:rPr>
      </w:pPr>
      <w:r w:rsidRPr="00517554">
        <w:rPr>
          <w:sz w:val="26"/>
          <w:szCs w:val="26"/>
        </w:rPr>
        <w:t>Ley 1341 de 2009</w:t>
      </w:r>
    </w:p>
    <w:p w:rsidR="009D37E3" w:rsidRPr="00624F48" w:rsidRDefault="009D37E3" w:rsidP="001E295C">
      <w:r w:rsidRPr="00624F48">
        <w:t xml:space="preserve">Los programas del Estado que propendan por la masificación de Internet, y en este caso, el Plan Vive Digital, son un clarísimo desarrollo del objeto y principios orientadores de la Ley 1341 de 2009. En el Título I en el que se establecen las disposiciones generales de la norma, encontramos varios artículos que hacen parte del marco legal del Plan. </w:t>
      </w:r>
    </w:p>
    <w:p w:rsidR="009D37E3" w:rsidRPr="00624F48" w:rsidRDefault="009D37E3" w:rsidP="001E295C">
      <w:r w:rsidRPr="00624F48">
        <w:t>Así, el artículo 1 establece:</w:t>
      </w:r>
    </w:p>
    <w:p w:rsidR="009D37E3" w:rsidRPr="00624F48" w:rsidRDefault="009D37E3" w:rsidP="001E295C">
      <w:pPr>
        <w:pStyle w:val="pa12"/>
        <w:spacing w:before="240" w:beforeAutospacing="0" w:after="0" w:afterAutospacing="0" w:line="276" w:lineRule="auto"/>
        <w:ind w:left="708"/>
        <w:rPr>
          <w:rFonts w:ascii="Garamond" w:hAnsi="Garamond"/>
          <w:sz w:val="26"/>
          <w:szCs w:val="26"/>
        </w:rPr>
      </w:pPr>
      <w:r w:rsidRPr="00624F48">
        <w:rPr>
          <w:rStyle w:val="a21"/>
          <w:rFonts w:ascii="Garamond" w:hAnsi="Garamond"/>
          <w:i/>
          <w:sz w:val="26"/>
          <w:szCs w:val="26"/>
        </w:rPr>
        <w:t xml:space="preserve">Artículo 1°. </w:t>
      </w:r>
      <w:r w:rsidRPr="00624F48">
        <w:rPr>
          <w:rStyle w:val="a21"/>
          <w:rFonts w:ascii="Garamond" w:hAnsi="Garamond"/>
          <w:i/>
          <w:iCs/>
          <w:sz w:val="26"/>
          <w:szCs w:val="26"/>
        </w:rPr>
        <w:t xml:space="preserve">Objeto. </w:t>
      </w:r>
      <w:r w:rsidRPr="00624F48">
        <w:rPr>
          <w:rStyle w:val="a21"/>
          <w:rFonts w:ascii="Garamond" w:hAnsi="Garamond"/>
          <w:i/>
          <w:sz w:val="26"/>
          <w:szCs w:val="26"/>
        </w:rPr>
        <w:t xml:space="preserve">La presente ley determina el marco general para la formulación de las políticas públicas que regirán el sector de las Tecnologías de la Información y las Comunicaciones, su ordenamiento general, el régimen de competencia, la protección al usuario, así como lo concerniente a la cobertura, la calidad del servicio, la promoción de la inversión en el sector y el desarrollo de estas tecnologías, </w:t>
      </w:r>
      <w:r w:rsidRPr="00624F48">
        <w:rPr>
          <w:rStyle w:val="a21"/>
          <w:rFonts w:ascii="Garamond" w:hAnsi="Garamond"/>
          <w:i/>
          <w:sz w:val="26"/>
          <w:szCs w:val="26"/>
          <w:u w:val="single"/>
        </w:rPr>
        <w:t>el uso eficiente de las redes y del espectro radioeléctrico</w:t>
      </w:r>
      <w:r w:rsidRPr="00624F48">
        <w:rPr>
          <w:rStyle w:val="a21"/>
          <w:rFonts w:ascii="Garamond" w:hAnsi="Garamond"/>
          <w:i/>
          <w:sz w:val="26"/>
          <w:szCs w:val="26"/>
        </w:rPr>
        <w:t xml:space="preserve">, así como las potestades del Estado en relación con la planeación, la gestión, la administración adecuada y eficiente de los recursos, regulación, control y vigilancia del mismo y </w:t>
      </w:r>
      <w:r w:rsidRPr="00624F48">
        <w:rPr>
          <w:rStyle w:val="a21"/>
          <w:rFonts w:ascii="Garamond" w:hAnsi="Garamond"/>
          <w:i/>
          <w:sz w:val="26"/>
          <w:szCs w:val="26"/>
          <w:u w:val="single"/>
        </w:rPr>
        <w:t>facilitando el libre acceso y sin discriminación de los habitantes del territorio nacional a la Sociedad de la Información</w:t>
      </w:r>
      <w:r w:rsidRPr="00624F48">
        <w:rPr>
          <w:rStyle w:val="a21"/>
          <w:rFonts w:ascii="Garamond" w:hAnsi="Garamond"/>
          <w:i/>
          <w:sz w:val="26"/>
          <w:szCs w:val="26"/>
        </w:rPr>
        <w:t>.</w:t>
      </w:r>
      <w:r w:rsidRPr="00624F48">
        <w:rPr>
          <w:rFonts w:ascii="Garamond" w:hAnsi="Garamond"/>
          <w:sz w:val="26"/>
          <w:szCs w:val="26"/>
        </w:rPr>
        <w:t xml:space="preserve"> (Se subraya)</w:t>
      </w:r>
    </w:p>
    <w:p w:rsidR="009D37E3" w:rsidRPr="00624F48" w:rsidRDefault="009D37E3" w:rsidP="001E295C">
      <w:pPr>
        <w:pStyle w:val="pa12"/>
        <w:spacing w:before="240" w:beforeAutospacing="0" w:after="0" w:afterAutospacing="0" w:line="276" w:lineRule="auto"/>
        <w:rPr>
          <w:rStyle w:val="a21"/>
          <w:rFonts w:ascii="Garamond" w:hAnsi="Garamond"/>
          <w:sz w:val="26"/>
          <w:szCs w:val="26"/>
        </w:rPr>
      </w:pPr>
      <w:r w:rsidRPr="00624F48">
        <w:rPr>
          <w:rStyle w:val="a21"/>
          <w:rFonts w:ascii="Garamond" w:hAnsi="Garamond"/>
          <w:sz w:val="26"/>
          <w:szCs w:val="26"/>
        </w:rPr>
        <w:t xml:space="preserve">Por su parte, el artículo 2, establece como principios orientadores de la Ley, la investigación, el fomento, la promoción y el desarrollo de las Tecnologías de la Información y las Comunicaciones, necesarios para contribuir al desarrollo educativo, cultural, económico, social y político y para incrementar la productividad, la competitividad, el respeto a los Derechos Humanos y la inclusión social. Así, será deber del Estado promover el acceso eficiente y en igualdad de oportunidades, a todos los habitantes del territorio nacional. </w:t>
      </w:r>
    </w:p>
    <w:p w:rsidR="009D37E3" w:rsidRPr="00624F48" w:rsidRDefault="009D37E3" w:rsidP="001E295C">
      <w:pPr>
        <w:pStyle w:val="pa12"/>
        <w:spacing w:before="240" w:beforeAutospacing="0" w:after="0" w:afterAutospacing="0" w:line="276" w:lineRule="auto"/>
        <w:rPr>
          <w:rFonts w:ascii="Garamond" w:hAnsi="Garamond"/>
          <w:sz w:val="26"/>
          <w:szCs w:val="26"/>
        </w:rPr>
      </w:pPr>
      <w:r w:rsidRPr="00624F48">
        <w:rPr>
          <w:rStyle w:val="a21"/>
          <w:rFonts w:ascii="Garamond" w:hAnsi="Garamond"/>
          <w:sz w:val="26"/>
          <w:szCs w:val="26"/>
        </w:rPr>
        <w:t>Al respecto, los numerales 1, 7 y 8 del artículo segundo disponen:</w:t>
      </w:r>
    </w:p>
    <w:p w:rsidR="009D37E3" w:rsidRPr="00624F48" w:rsidRDefault="009D37E3" w:rsidP="001E295C">
      <w:pPr>
        <w:ind w:left="708"/>
        <w:rPr>
          <w:rStyle w:val="a21"/>
          <w:i/>
        </w:rPr>
      </w:pPr>
      <w:r w:rsidRPr="00624F48">
        <w:rPr>
          <w:rStyle w:val="a21"/>
          <w:i/>
        </w:rPr>
        <w:t xml:space="preserve">1. </w:t>
      </w:r>
      <w:r w:rsidRPr="00624F48">
        <w:rPr>
          <w:rStyle w:val="a21"/>
          <w:bCs/>
          <w:i/>
        </w:rPr>
        <w:t xml:space="preserve">Prioridad al acceso y uso de las Tecnologías de la Información y las Comunicaciones. </w:t>
      </w:r>
      <w:r w:rsidRPr="00624F48">
        <w:rPr>
          <w:rStyle w:val="a21"/>
          <w:i/>
        </w:rPr>
        <w:t xml:space="preserve">El Estado y en general todos los agentes del sector de las Tecnologías de la Información y las </w:t>
      </w:r>
      <w:r w:rsidRPr="00624F48">
        <w:rPr>
          <w:rStyle w:val="a21"/>
          <w:i/>
        </w:rPr>
        <w:lastRenderedPageBreak/>
        <w:t xml:space="preserve">Comunicaciones deberán colaborar, dentro del marco de sus obligaciones, </w:t>
      </w:r>
      <w:r w:rsidRPr="00624F48">
        <w:rPr>
          <w:rStyle w:val="a21"/>
          <w:i/>
          <w:u w:val="single"/>
        </w:rPr>
        <w:t>para priorizar el acceso y uso a las Tecnologías de la Información y las Comunicaciones en la producción de bienes y servicios, en condiciones no discriminatorias en la conectividad, la educación, los contenidos y la competitividad</w:t>
      </w:r>
      <w:r w:rsidRPr="00624F48">
        <w:rPr>
          <w:rStyle w:val="a21"/>
          <w:i/>
        </w:rPr>
        <w:t>.</w:t>
      </w:r>
    </w:p>
    <w:p w:rsidR="009D37E3" w:rsidRPr="00624F48" w:rsidRDefault="009D37E3" w:rsidP="001E295C">
      <w:pPr>
        <w:ind w:left="709"/>
        <w:rPr>
          <w:i/>
        </w:rPr>
      </w:pPr>
      <w:r w:rsidRPr="00624F48">
        <w:rPr>
          <w:i/>
        </w:rPr>
        <w:t xml:space="preserve">7. </w:t>
      </w:r>
      <w:r w:rsidRPr="00624F48">
        <w:rPr>
          <w:bCs/>
          <w:i/>
        </w:rPr>
        <w:t xml:space="preserve">El derecho a la comunicación, la información y la educación y los servicios básicos de las TIC. </w:t>
      </w:r>
      <w:r w:rsidRPr="00624F48">
        <w:rPr>
          <w:i/>
        </w:rPr>
        <w:t xml:space="preserve">En desarrollo de los artículos 20 y 67 de la Constitución Nacional </w:t>
      </w:r>
      <w:r w:rsidRPr="00624F48">
        <w:rPr>
          <w:i/>
          <w:u w:val="single"/>
        </w:rPr>
        <w:t>el Estado propiciará a todo colombiano el derecho al acceso a las tecnologías de la información y las comunicaciones básicas, que permitan el ejercicio pleno de los siguientes derechos: La libertad de expresión y de difundir su pensamiento y opiniones, la de informar y recibir información veraz e imparcial, la educación y el acceso al conocimiento, a la ciencia, a la técnica, y a los demás bienes y valores de la cultura</w:t>
      </w:r>
      <w:r w:rsidRPr="00624F48">
        <w:rPr>
          <w:i/>
        </w:rPr>
        <w:t xml:space="preserve">. Adicionalmente el Estado establecerá programas para que la población de los estratos &lt;sic&gt; </w:t>
      </w:r>
      <w:proofErr w:type="gramStart"/>
      <w:r w:rsidRPr="00624F48">
        <w:rPr>
          <w:i/>
        </w:rPr>
        <w:t>desarrollará</w:t>
      </w:r>
      <w:proofErr w:type="gramEnd"/>
      <w:r w:rsidRPr="00624F48">
        <w:rPr>
          <w:i/>
        </w:rPr>
        <w:t xml:space="preserve"> programas para que la población de </w:t>
      </w:r>
      <w:r w:rsidRPr="00624F48">
        <w:rPr>
          <w:i/>
          <w:u w:val="single"/>
        </w:rPr>
        <w:t>los estratos menos favorecidos y la población rural tengan acceso y uso a las plataformas de comunicación, en especial de Internet</w:t>
      </w:r>
      <w:r w:rsidRPr="00624F48">
        <w:rPr>
          <w:i/>
        </w:rPr>
        <w:t xml:space="preserve"> y contenidos informáticos y de educación integral.</w:t>
      </w:r>
    </w:p>
    <w:p w:rsidR="009D37E3" w:rsidRPr="00624F48" w:rsidRDefault="009D37E3" w:rsidP="001E295C">
      <w:pPr>
        <w:pStyle w:val="pa12"/>
        <w:spacing w:before="240" w:beforeAutospacing="0" w:after="0" w:afterAutospacing="0" w:line="276" w:lineRule="auto"/>
        <w:ind w:left="709"/>
        <w:rPr>
          <w:rFonts w:ascii="Garamond" w:hAnsi="Garamond"/>
          <w:sz w:val="26"/>
          <w:szCs w:val="26"/>
        </w:rPr>
      </w:pPr>
      <w:r w:rsidRPr="00624F48">
        <w:rPr>
          <w:rStyle w:val="a21"/>
          <w:rFonts w:ascii="Garamond" w:hAnsi="Garamond"/>
          <w:i/>
          <w:sz w:val="26"/>
          <w:szCs w:val="26"/>
        </w:rPr>
        <w:t xml:space="preserve">8. </w:t>
      </w:r>
      <w:r w:rsidRPr="00624F48">
        <w:rPr>
          <w:rStyle w:val="a21"/>
          <w:rFonts w:ascii="Garamond" w:hAnsi="Garamond"/>
          <w:bCs/>
          <w:i/>
          <w:sz w:val="26"/>
          <w:szCs w:val="26"/>
        </w:rPr>
        <w:t>Masificación del Gobierno en Línea.</w:t>
      </w:r>
      <w:r w:rsidRPr="00624F48">
        <w:rPr>
          <w:rStyle w:val="a21"/>
          <w:rFonts w:ascii="Garamond" w:hAnsi="Garamond"/>
          <w:b/>
          <w:bCs/>
          <w:i/>
          <w:sz w:val="26"/>
          <w:szCs w:val="26"/>
        </w:rPr>
        <w:t xml:space="preserve"> </w:t>
      </w:r>
      <w:r w:rsidRPr="00624F48">
        <w:rPr>
          <w:rStyle w:val="a21"/>
          <w:rFonts w:ascii="Garamond" w:hAnsi="Garamond"/>
          <w:i/>
          <w:sz w:val="26"/>
          <w:szCs w:val="26"/>
        </w:rPr>
        <w:t xml:space="preserve">Con el fin de lograr la prestación de servicios eficientes a los ciudadanos, </w:t>
      </w:r>
      <w:r w:rsidRPr="00624F48">
        <w:rPr>
          <w:rStyle w:val="a21"/>
          <w:rFonts w:ascii="Garamond" w:hAnsi="Garamond"/>
          <w:i/>
          <w:sz w:val="26"/>
          <w:szCs w:val="26"/>
          <w:u w:val="single"/>
        </w:rPr>
        <w:t>las entidades públicas deberán adoptar todas las medidas necesarias para garantizar el máximo aprovechamiento de las Tecnologías de la Información y las Comunicaciones en el desarrollo de sus funciones</w:t>
      </w:r>
      <w:r w:rsidRPr="00624F48">
        <w:rPr>
          <w:rStyle w:val="a21"/>
          <w:rFonts w:ascii="Garamond" w:hAnsi="Garamond"/>
          <w:i/>
          <w:sz w:val="26"/>
          <w:szCs w:val="26"/>
        </w:rPr>
        <w:t xml:space="preserve">. El Gobierno Nacional fijará los mecanismos y condiciones para garantizar el desarrollo de este principio. Y en la reglamentación correspondiente establecerá los plazos, términos y prescripciones, no solamente para la instalación de las infraestructuras indicadas y necesarias, sino también para mantener actualizadas y con la información completa los medios y los instrumentos tecnológicos. </w:t>
      </w:r>
      <w:r w:rsidRPr="00624F48">
        <w:rPr>
          <w:rStyle w:val="a21"/>
          <w:rFonts w:ascii="Garamond" w:hAnsi="Garamond"/>
          <w:sz w:val="26"/>
          <w:szCs w:val="26"/>
        </w:rPr>
        <w:t>(Se subraya)</w:t>
      </w:r>
    </w:p>
    <w:p w:rsidR="009D37E3" w:rsidRPr="00624F48" w:rsidRDefault="009D37E3" w:rsidP="001E295C">
      <w:pPr>
        <w:rPr>
          <w:rStyle w:val="a21"/>
        </w:rPr>
      </w:pPr>
      <w:r w:rsidRPr="00624F48">
        <w:rPr>
          <w:rStyle w:val="a21"/>
        </w:rPr>
        <w:t xml:space="preserve">De conformidad con el artículo 3 de la Ley 1341, el Estado reconoce que el acceso y uso de las TIC -dentro de las cuales se encuentra Internet- es uno de los pilares para la consolidación de las sociedades de la información y del conocimiento. </w:t>
      </w:r>
    </w:p>
    <w:p w:rsidR="009D37E3" w:rsidRPr="00624F48" w:rsidRDefault="009D37E3" w:rsidP="001E295C">
      <w:pPr>
        <w:rPr>
          <w:rStyle w:val="a21"/>
        </w:rPr>
      </w:pPr>
      <w:r w:rsidRPr="00624F48">
        <w:rPr>
          <w:rStyle w:val="a21"/>
        </w:rPr>
        <w:t>El artículo 4 establece los fines de la intervención del Estado en el sector de la TIC y entre ellos destacamos:</w:t>
      </w:r>
    </w:p>
    <w:p w:rsidR="009D37E3" w:rsidRPr="00624F48" w:rsidRDefault="009D37E3" w:rsidP="001E295C">
      <w:pPr>
        <w:ind w:left="708"/>
        <w:rPr>
          <w:rStyle w:val="a21"/>
        </w:rPr>
      </w:pPr>
      <w:r w:rsidRPr="00624F48">
        <w:rPr>
          <w:rStyle w:val="a21"/>
          <w:i/>
        </w:rPr>
        <w:t xml:space="preserve">2. </w:t>
      </w:r>
      <w:r w:rsidRPr="00624F48">
        <w:rPr>
          <w:rStyle w:val="a21"/>
          <w:i/>
          <w:u w:val="single"/>
        </w:rPr>
        <w:t>Promover el acceso a las Tecnologías de la Información y las Comunicaciones, teniendo como fin último el servicio universal</w:t>
      </w:r>
      <w:r w:rsidRPr="00624F48">
        <w:rPr>
          <w:rStyle w:val="a21"/>
          <w:i/>
        </w:rPr>
        <w:t>.</w:t>
      </w:r>
    </w:p>
    <w:p w:rsidR="009D37E3" w:rsidRPr="00624F48" w:rsidRDefault="009D37E3" w:rsidP="001E295C">
      <w:pPr>
        <w:ind w:left="708"/>
        <w:rPr>
          <w:rStyle w:val="a21"/>
          <w:i/>
        </w:rPr>
      </w:pPr>
      <w:r w:rsidRPr="00624F48">
        <w:rPr>
          <w:rStyle w:val="a21"/>
          <w:i/>
        </w:rPr>
        <w:t xml:space="preserve">3. Promover el desarrollo de contenidos y aplicaciones, la prestación de servicios que usen Tecnologías de la Información y las Comunicaciones y la </w:t>
      </w:r>
      <w:r w:rsidRPr="00624F48">
        <w:rPr>
          <w:rStyle w:val="a21"/>
          <w:i/>
          <w:u w:val="single"/>
        </w:rPr>
        <w:t>masificación del Gobierno en Línea</w:t>
      </w:r>
      <w:r w:rsidRPr="00624F48">
        <w:rPr>
          <w:rStyle w:val="a21"/>
          <w:i/>
        </w:rPr>
        <w:t xml:space="preserve">. </w:t>
      </w:r>
    </w:p>
    <w:p w:rsidR="009D37E3" w:rsidRPr="00624F48" w:rsidRDefault="009D37E3" w:rsidP="001E295C">
      <w:pPr>
        <w:ind w:left="708"/>
        <w:rPr>
          <w:rStyle w:val="a21"/>
          <w:i/>
        </w:rPr>
      </w:pPr>
      <w:r w:rsidRPr="00624F48">
        <w:rPr>
          <w:rStyle w:val="a21"/>
          <w:i/>
        </w:rPr>
        <w:lastRenderedPageBreak/>
        <w:t xml:space="preserve">6. Garantizar el </w:t>
      </w:r>
      <w:r w:rsidRPr="00624F48">
        <w:rPr>
          <w:rStyle w:val="a21"/>
          <w:i/>
          <w:u w:val="single"/>
        </w:rPr>
        <w:t>despliegue y el uso eficiente de la infraestructura</w:t>
      </w:r>
      <w:r w:rsidRPr="00624F48">
        <w:rPr>
          <w:rStyle w:val="a21"/>
          <w:i/>
        </w:rPr>
        <w:t xml:space="preserve"> y la igualdad de oportunidades en el acceso a los recursos escasos, se buscará la </w:t>
      </w:r>
      <w:r w:rsidRPr="00624F48">
        <w:rPr>
          <w:rStyle w:val="a21"/>
          <w:i/>
          <w:u w:val="single"/>
        </w:rPr>
        <w:t>expansión, y cobertura para zonas de difícil acceso, en especial beneficiando a poblaciones vulnerables</w:t>
      </w:r>
      <w:r w:rsidRPr="00624F48">
        <w:rPr>
          <w:rStyle w:val="a21"/>
          <w:i/>
        </w:rPr>
        <w:t>.</w:t>
      </w:r>
    </w:p>
    <w:p w:rsidR="009D37E3" w:rsidRPr="00624F48" w:rsidRDefault="009D37E3" w:rsidP="001E295C">
      <w:pPr>
        <w:ind w:left="708"/>
        <w:rPr>
          <w:i/>
        </w:rPr>
      </w:pPr>
      <w:r w:rsidRPr="00624F48">
        <w:rPr>
          <w:i/>
        </w:rPr>
        <w:t xml:space="preserve">8. Promover la </w:t>
      </w:r>
      <w:r w:rsidRPr="00624F48">
        <w:rPr>
          <w:i/>
          <w:u w:val="single"/>
        </w:rPr>
        <w:t>ampliación de la cobertura del servicio</w:t>
      </w:r>
      <w:r w:rsidRPr="00624F48">
        <w:rPr>
          <w:i/>
        </w:rPr>
        <w:t>.</w:t>
      </w:r>
    </w:p>
    <w:p w:rsidR="009D37E3" w:rsidRPr="00624F48" w:rsidRDefault="009D37E3" w:rsidP="001E295C">
      <w:pPr>
        <w:ind w:left="708"/>
        <w:rPr>
          <w:rStyle w:val="a21"/>
        </w:rPr>
      </w:pPr>
      <w:r w:rsidRPr="00624F48">
        <w:rPr>
          <w:i/>
        </w:rPr>
        <w:t xml:space="preserve">12. Incentivar y promover </w:t>
      </w:r>
      <w:r w:rsidRPr="00624F48">
        <w:rPr>
          <w:i/>
          <w:u w:val="single"/>
        </w:rPr>
        <w:t>el desarrollo de la industria</w:t>
      </w:r>
      <w:r w:rsidRPr="00624F48">
        <w:rPr>
          <w:i/>
        </w:rPr>
        <w:t xml:space="preserve"> de tecnologías de la información y las comunicaciones para </w:t>
      </w:r>
      <w:r w:rsidRPr="00624F48">
        <w:rPr>
          <w:i/>
          <w:u w:val="single"/>
        </w:rPr>
        <w:t>contribuir al crecimiento económico</w:t>
      </w:r>
      <w:r w:rsidRPr="00624F48">
        <w:rPr>
          <w:i/>
        </w:rPr>
        <w:t xml:space="preserve">, la competitividad, la generación de empleo y las exportaciones. </w:t>
      </w:r>
      <w:r w:rsidRPr="00624F48">
        <w:t>(Se subraya)</w:t>
      </w:r>
    </w:p>
    <w:p w:rsidR="009D37E3" w:rsidRPr="00624F48" w:rsidRDefault="009D37E3" w:rsidP="001E295C">
      <w:pPr>
        <w:rPr>
          <w:rStyle w:val="a21"/>
        </w:rPr>
      </w:pPr>
      <w:r w:rsidRPr="00624F48">
        <w:rPr>
          <w:rStyle w:val="a21"/>
        </w:rPr>
        <w:t>El Plan Vive Digital es un clarísimo desarrollo de los fines de intervención citados pues la mayor utilización de Internet promueve el acceso a las TIC, la ampliación de la cobertura del servicio y el desarrollo de la industria de las TIC, lo que a su vez contribuye al crecimiento económico, la competitividad, la generación de empleo y las exportaciones. Así mismo, facilita la masificación del Gobierno en Línea, y busca generar las condiciones necesarias para que el despliegue de infraestructura sea eficiente, logrando la cobertura en zonas de difícil acceso.</w:t>
      </w:r>
    </w:p>
    <w:p w:rsidR="009D37E3" w:rsidRPr="00624F48" w:rsidRDefault="009D37E3" w:rsidP="001E295C">
      <w:pPr>
        <w:rPr>
          <w:rStyle w:val="a21"/>
        </w:rPr>
      </w:pPr>
      <w:r w:rsidRPr="00624F48">
        <w:rPr>
          <w:rStyle w:val="a21"/>
        </w:rPr>
        <w:t>El artículo 5 impone la obligación a las entidades nacionales y territoriales de promover  y ejecutar planes que garanticen el acceso a las TIC - objetivo primordial del Plan Vive Digital- así:</w:t>
      </w:r>
    </w:p>
    <w:p w:rsidR="009D37E3" w:rsidRPr="00624F48" w:rsidRDefault="009D37E3" w:rsidP="001E295C">
      <w:pPr>
        <w:ind w:left="708"/>
        <w:rPr>
          <w:rStyle w:val="a21"/>
        </w:rPr>
      </w:pPr>
      <w:r w:rsidRPr="00624F48">
        <w:rPr>
          <w:rStyle w:val="a21"/>
          <w:i/>
        </w:rPr>
        <w:t xml:space="preserve">Artículo 5°. </w:t>
      </w:r>
      <w:r w:rsidRPr="00624F48">
        <w:rPr>
          <w:rStyle w:val="a21"/>
          <w:i/>
          <w:iCs/>
        </w:rPr>
        <w:t xml:space="preserve">Las entidades del orden nacional y territorial y las Tecnologías de la Información y las Comunicaciones, TIC. </w:t>
      </w:r>
      <w:r w:rsidRPr="00624F48">
        <w:rPr>
          <w:rStyle w:val="a21"/>
          <w:i/>
          <w:u w:val="single"/>
        </w:rPr>
        <w:t>Las entidades del orden nacional y territorial promoverán, coordinarán y ejecutarán planes, programas y proyectos tendientes a garantizar el acceso y uso de la población, las empresas y las entidades públicas a las Tecnologías de la Información y las Comunicaciones.</w:t>
      </w:r>
      <w:r w:rsidRPr="00624F48">
        <w:rPr>
          <w:rStyle w:val="a21"/>
          <w:i/>
        </w:rPr>
        <w:t xml:space="preserve"> Para tal efecto, dichas autoridades incentivarán el desarrollo de infraestructura, contenidos y aplicaciones, así como la ubicación estratégica de terminales y equipos que permitan realmente a los ciudadanos acceder a las aplicaciones tecnológicas que beneficien a los ciudadanos, en especial a los vulnerables y de zonas marginadas del país.</w:t>
      </w:r>
      <w:r w:rsidRPr="00624F48">
        <w:rPr>
          <w:rStyle w:val="a21"/>
        </w:rPr>
        <w:t xml:space="preserve"> (Se subraya)</w:t>
      </w:r>
    </w:p>
    <w:p w:rsidR="009D37E3" w:rsidRPr="00624F48" w:rsidRDefault="009D37E3" w:rsidP="001E295C">
      <w:pPr>
        <w:pStyle w:val="pa12"/>
        <w:spacing w:before="240" w:beforeAutospacing="0" w:after="0" w:afterAutospacing="0" w:line="276" w:lineRule="auto"/>
        <w:rPr>
          <w:rStyle w:val="a21"/>
          <w:rFonts w:ascii="Garamond" w:hAnsi="Garamond"/>
          <w:sz w:val="26"/>
          <w:szCs w:val="26"/>
        </w:rPr>
      </w:pPr>
      <w:r w:rsidRPr="00624F48">
        <w:rPr>
          <w:rStyle w:val="a21"/>
          <w:rFonts w:ascii="Garamond" w:hAnsi="Garamond"/>
          <w:sz w:val="26"/>
          <w:szCs w:val="26"/>
        </w:rPr>
        <w:t xml:space="preserve">El Título III referente a la organización institucional, claramente le otorga al </w:t>
      </w:r>
      <w:r w:rsidR="009708AA" w:rsidRPr="00E41CEF">
        <w:rPr>
          <w:rStyle w:val="a21"/>
          <w:rFonts w:ascii="Garamond" w:hAnsi="Garamond"/>
          <w:sz w:val="26"/>
          <w:szCs w:val="26"/>
        </w:rPr>
        <w:t>MINTIC</w:t>
      </w:r>
      <w:r w:rsidRPr="00624F48">
        <w:rPr>
          <w:rStyle w:val="a21"/>
          <w:rFonts w:ascii="Garamond" w:hAnsi="Garamond"/>
          <w:sz w:val="26"/>
          <w:szCs w:val="26"/>
        </w:rPr>
        <w:t>, las facultades para expedir planes de la naturaleza del Plan Vive Digital. A continuación se citan las normas que asignan la competencia.</w:t>
      </w:r>
    </w:p>
    <w:p w:rsidR="009D37E3" w:rsidRPr="00624F48" w:rsidRDefault="009D37E3" w:rsidP="001E295C">
      <w:pPr>
        <w:pStyle w:val="pa12"/>
        <w:spacing w:before="240" w:beforeAutospacing="0" w:after="0" w:afterAutospacing="0" w:line="276" w:lineRule="auto"/>
        <w:rPr>
          <w:rStyle w:val="a21"/>
          <w:rFonts w:ascii="Garamond" w:hAnsi="Garamond"/>
          <w:sz w:val="26"/>
          <w:szCs w:val="26"/>
        </w:rPr>
      </w:pPr>
      <w:r w:rsidRPr="00624F48">
        <w:rPr>
          <w:rStyle w:val="a21"/>
          <w:rFonts w:ascii="Garamond" w:hAnsi="Garamond"/>
          <w:sz w:val="26"/>
          <w:szCs w:val="26"/>
        </w:rPr>
        <w:t>Dentro de los objetivos del Ministerio encontramos que el artículo 17 previó, entre otros, los siguientes:</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1. </w:t>
      </w:r>
      <w:r w:rsidRPr="00624F48">
        <w:rPr>
          <w:rStyle w:val="a21"/>
          <w:rFonts w:ascii="Garamond" w:hAnsi="Garamond"/>
          <w:i/>
          <w:sz w:val="26"/>
          <w:szCs w:val="26"/>
          <w:u w:val="single"/>
        </w:rPr>
        <w:t>Diseñar, formular, adoptar y promover las políticas, planes</w:t>
      </w:r>
      <w:r w:rsidRPr="00624F48">
        <w:rPr>
          <w:rStyle w:val="a21"/>
          <w:rFonts w:ascii="Garamond" w:hAnsi="Garamond"/>
          <w:i/>
          <w:sz w:val="26"/>
          <w:szCs w:val="26"/>
        </w:rPr>
        <w:t xml:space="preserve">, programas y proyectos del sector de Tecnologías de la Información y las Comunicaciones, en correspondencia con la Constitución </w:t>
      </w:r>
      <w:r w:rsidRPr="00624F48">
        <w:rPr>
          <w:rStyle w:val="a21"/>
          <w:rFonts w:ascii="Garamond" w:hAnsi="Garamond"/>
          <w:i/>
          <w:sz w:val="26"/>
          <w:szCs w:val="26"/>
        </w:rPr>
        <w:lastRenderedPageBreak/>
        <w:t xml:space="preserve">Política y la ley, </w:t>
      </w:r>
      <w:r w:rsidRPr="00624F48">
        <w:rPr>
          <w:rStyle w:val="a21"/>
          <w:rFonts w:ascii="Garamond" w:hAnsi="Garamond"/>
          <w:i/>
          <w:sz w:val="26"/>
          <w:szCs w:val="26"/>
          <w:u w:val="single"/>
        </w:rPr>
        <w:t>con el fin de contribuir al desarrollo económico, social y político de la Nación, y elevar el bienestar de los colombianos</w:t>
      </w:r>
      <w:r w:rsidRPr="00624F48">
        <w:rPr>
          <w:rStyle w:val="a21"/>
          <w:rFonts w:ascii="Garamond" w:hAnsi="Garamond"/>
          <w:i/>
          <w:sz w:val="26"/>
          <w:szCs w:val="26"/>
        </w:rPr>
        <w:t xml:space="preserve">.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2. </w:t>
      </w:r>
      <w:r w:rsidRPr="00624F48">
        <w:rPr>
          <w:rStyle w:val="a21"/>
          <w:rFonts w:ascii="Garamond" w:hAnsi="Garamond"/>
          <w:i/>
          <w:sz w:val="26"/>
          <w:szCs w:val="26"/>
          <w:u w:val="single"/>
        </w:rPr>
        <w:t>Promover el uso y apropiación de las Tecnologías de la Información y las Comunicaciones entre los ciudadanos, las empresas, el Gobierno y demás instancias nacionales</w:t>
      </w:r>
      <w:r w:rsidRPr="00624F48">
        <w:rPr>
          <w:rStyle w:val="a21"/>
          <w:rFonts w:ascii="Garamond" w:hAnsi="Garamond"/>
          <w:i/>
          <w:sz w:val="26"/>
          <w:szCs w:val="26"/>
        </w:rPr>
        <w:t xml:space="preserve"> como soporte del desarrollo social, económico y político de la Nación. </w:t>
      </w:r>
    </w:p>
    <w:p w:rsidR="009D37E3" w:rsidRPr="00624F48" w:rsidRDefault="009D37E3" w:rsidP="001E295C">
      <w:pPr>
        <w:pStyle w:val="pa12"/>
        <w:spacing w:before="240" w:beforeAutospacing="0" w:after="0" w:afterAutospacing="0" w:line="276" w:lineRule="auto"/>
        <w:ind w:left="708"/>
        <w:rPr>
          <w:rFonts w:ascii="Garamond" w:hAnsi="Garamond"/>
          <w:sz w:val="26"/>
          <w:szCs w:val="26"/>
        </w:rPr>
      </w:pPr>
      <w:r w:rsidRPr="00624F48">
        <w:rPr>
          <w:rStyle w:val="a21"/>
          <w:rFonts w:ascii="Garamond" w:hAnsi="Garamond"/>
          <w:i/>
          <w:sz w:val="26"/>
          <w:szCs w:val="26"/>
        </w:rPr>
        <w:t xml:space="preserve">3. </w:t>
      </w:r>
      <w:r w:rsidRPr="00624F48">
        <w:rPr>
          <w:rStyle w:val="a21"/>
          <w:rFonts w:ascii="Garamond" w:hAnsi="Garamond"/>
          <w:i/>
          <w:sz w:val="26"/>
          <w:szCs w:val="26"/>
          <w:u w:val="single"/>
        </w:rPr>
        <w:t>Impulsar el desarrollo y fortalecimiento del sector de las Tecnologías de la Información y las Comunicaciones</w:t>
      </w:r>
      <w:r w:rsidRPr="00624F48">
        <w:rPr>
          <w:rStyle w:val="a21"/>
          <w:rFonts w:ascii="Garamond" w:hAnsi="Garamond"/>
          <w:i/>
          <w:sz w:val="26"/>
          <w:szCs w:val="26"/>
        </w:rPr>
        <w:t xml:space="preserve">, promover la investigación e innovación buscando su competitividad y avance tecnológico conforme al entorno nacional e internacional. </w:t>
      </w:r>
      <w:r w:rsidRPr="00624F48">
        <w:rPr>
          <w:rFonts w:ascii="Garamond" w:hAnsi="Garamond"/>
          <w:sz w:val="26"/>
          <w:szCs w:val="26"/>
        </w:rPr>
        <w:t>(Se subraya)</w:t>
      </w:r>
    </w:p>
    <w:p w:rsidR="009D37E3" w:rsidRPr="00624F48" w:rsidRDefault="009D37E3" w:rsidP="001E295C">
      <w:pPr>
        <w:pStyle w:val="pa12"/>
        <w:spacing w:before="240" w:beforeAutospacing="0" w:after="0" w:afterAutospacing="0" w:line="276" w:lineRule="auto"/>
        <w:rPr>
          <w:rFonts w:ascii="Garamond" w:hAnsi="Garamond"/>
          <w:sz w:val="26"/>
          <w:szCs w:val="26"/>
        </w:rPr>
      </w:pPr>
      <w:r w:rsidRPr="00624F48">
        <w:rPr>
          <w:rStyle w:val="a21"/>
          <w:rFonts w:ascii="Garamond" w:hAnsi="Garamond"/>
          <w:sz w:val="26"/>
          <w:szCs w:val="26"/>
        </w:rPr>
        <w:t>Por su parte, el artículo 18 establece dentro de las funciones del Ministerio las siguientes:</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1. </w:t>
      </w:r>
      <w:r w:rsidRPr="00624F48">
        <w:rPr>
          <w:rStyle w:val="a21"/>
          <w:rFonts w:ascii="Garamond" w:hAnsi="Garamond"/>
          <w:i/>
          <w:sz w:val="26"/>
          <w:szCs w:val="26"/>
          <w:u w:val="single"/>
        </w:rPr>
        <w:t>Diseñar, adoptar y promover las políticas, planes, programas y proyectos del sector de las Tecnologías de la Información y las Comunicaciones</w:t>
      </w:r>
      <w:r w:rsidRPr="00624F48">
        <w:rPr>
          <w:rStyle w:val="a21"/>
          <w:rFonts w:ascii="Garamond" w:hAnsi="Garamond"/>
          <w:i/>
          <w:sz w:val="26"/>
          <w:szCs w:val="26"/>
        </w:rPr>
        <w:t xml:space="preserve">. </w:t>
      </w:r>
    </w:p>
    <w:p w:rsidR="009D37E3" w:rsidRPr="00624F48" w:rsidRDefault="009D37E3" w:rsidP="001E295C">
      <w:pPr>
        <w:pStyle w:val="pa12"/>
        <w:spacing w:before="240" w:beforeAutospacing="0" w:after="0" w:afterAutospacing="0" w:line="276" w:lineRule="auto"/>
        <w:ind w:left="708"/>
        <w:rPr>
          <w:rFonts w:ascii="Garamond" w:hAnsi="Garamond"/>
          <w:b/>
          <w:i/>
          <w:sz w:val="26"/>
          <w:szCs w:val="26"/>
          <w:u w:val="single"/>
        </w:rPr>
      </w:pPr>
      <w:r w:rsidRPr="00624F48">
        <w:rPr>
          <w:rStyle w:val="a21"/>
          <w:rFonts w:ascii="Garamond" w:hAnsi="Garamond"/>
          <w:i/>
          <w:sz w:val="26"/>
          <w:szCs w:val="26"/>
        </w:rPr>
        <w:t xml:space="preserve">2. Definir, adoptar y promover las políticas, </w:t>
      </w:r>
      <w:r w:rsidRPr="00624F48">
        <w:rPr>
          <w:rStyle w:val="a21"/>
          <w:rFonts w:ascii="Garamond" w:hAnsi="Garamond"/>
          <w:i/>
          <w:sz w:val="26"/>
          <w:szCs w:val="26"/>
          <w:u w:val="single"/>
        </w:rPr>
        <w:t>planes y programas tendientes a incrementar y facilitar el acceso de todos los habitantes del territorio nacional, a las tecnologías de la información y las comunicaciones y a sus beneficios, para lo cual debe:</w:t>
      </w:r>
      <w:r w:rsidRPr="00624F48">
        <w:rPr>
          <w:rStyle w:val="a21"/>
          <w:rFonts w:ascii="Garamond" w:hAnsi="Garamond"/>
          <w:b/>
          <w:i/>
          <w:sz w:val="26"/>
          <w:szCs w:val="26"/>
          <w:u w:val="single"/>
        </w:rPr>
        <w:t xml:space="preserve">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a) Diseñar, formular y proponer políticas, planes y programas que </w:t>
      </w:r>
      <w:r w:rsidRPr="00624F48">
        <w:rPr>
          <w:rStyle w:val="a21"/>
          <w:rFonts w:ascii="Garamond" w:hAnsi="Garamond"/>
          <w:i/>
          <w:sz w:val="26"/>
          <w:szCs w:val="26"/>
          <w:u w:val="single"/>
        </w:rPr>
        <w:t>garanticen el acceso y la implantación de las Tecnologías de la Información y las Comunicaciones, con el fin de fomentar su uso como soporte del crecimiento y aumento de la competitividad</w:t>
      </w:r>
      <w:r w:rsidRPr="00624F48">
        <w:rPr>
          <w:rStyle w:val="a21"/>
          <w:rFonts w:ascii="Garamond" w:hAnsi="Garamond"/>
          <w:i/>
          <w:sz w:val="26"/>
          <w:szCs w:val="26"/>
        </w:rPr>
        <w:t xml:space="preserve"> del país en los distintos sectores;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b) Formular políticas, planes y programas que garanticen a través del uso de Tecnologías de la Información y las Comunicaciones: </w:t>
      </w:r>
      <w:r w:rsidRPr="00624F48">
        <w:rPr>
          <w:rStyle w:val="a21"/>
          <w:rFonts w:ascii="Garamond" w:hAnsi="Garamond"/>
          <w:i/>
          <w:sz w:val="26"/>
          <w:szCs w:val="26"/>
          <w:u w:val="single"/>
        </w:rPr>
        <w:t>el mejoramiento de la calidad de vida de la comunidad, el acceso a mercados para el sector productivo, y el acceso equitativo a oportunidades de educación, trabajo, salud, justicia, cultura y recreación</w:t>
      </w:r>
      <w:r w:rsidRPr="00624F48">
        <w:rPr>
          <w:rStyle w:val="a21"/>
          <w:rFonts w:ascii="Garamond" w:hAnsi="Garamond"/>
          <w:i/>
          <w:sz w:val="26"/>
          <w:szCs w:val="26"/>
        </w:rPr>
        <w:t xml:space="preserve">, entre otras;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c) </w:t>
      </w:r>
      <w:r w:rsidRPr="00624F48">
        <w:rPr>
          <w:rStyle w:val="a21"/>
          <w:rFonts w:ascii="Garamond" w:hAnsi="Garamond"/>
          <w:i/>
          <w:sz w:val="26"/>
          <w:szCs w:val="26"/>
          <w:u w:val="single"/>
        </w:rPr>
        <w:t>Apoyar al Estado en el acceso y uso de las Tecnologías de la Información y las Comunicaciones</w:t>
      </w:r>
      <w:r w:rsidRPr="00624F48">
        <w:rPr>
          <w:rStyle w:val="a21"/>
          <w:rFonts w:ascii="Garamond" w:hAnsi="Garamond"/>
          <w:i/>
          <w:sz w:val="26"/>
          <w:szCs w:val="26"/>
        </w:rPr>
        <w:t xml:space="preserve"> para facilitar y optimizar la gestión de los organismos gubernamentales y la contratación administrativa transparente y eficiente, y prestar mejores servicios a los ciudadanos;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d) </w:t>
      </w:r>
      <w:r w:rsidRPr="00624F48">
        <w:rPr>
          <w:rStyle w:val="a21"/>
          <w:rFonts w:ascii="Garamond" w:hAnsi="Garamond"/>
          <w:i/>
          <w:sz w:val="26"/>
          <w:szCs w:val="26"/>
          <w:u w:val="single"/>
        </w:rPr>
        <w:t>Apoyar al Estado en la formulación de los lineamientos generales para la difusión de la información que generen</w:t>
      </w:r>
      <w:r w:rsidRPr="00624F48">
        <w:rPr>
          <w:rStyle w:val="a21"/>
          <w:rFonts w:ascii="Garamond" w:hAnsi="Garamond"/>
          <w:i/>
          <w:sz w:val="26"/>
          <w:szCs w:val="26"/>
        </w:rPr>
        <w:t xml:space="preserve"> los Ministerios, Departamentos Administrativos y Establecimientos Públicos y efectuar las recomendaciones que considere indicadas para lograr que esta sea en forma ágil y oportuna;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lastRenderedPageBreak/>
        <w:t xml:space="preserve">f) </w:t>
      </w:r>
      <w:r w:rsidRPr="00624F48">
        <w:rPr>
          <w:rStyle w:val="a21"/>
          <w:rFonts w:ascii="Garamond" w:hAnsi="Garamond"/>
          <w:i/>
          <w:sz w:val="26"/>
          <w:szCs w:val="26"/>
          <w:u w:val="single"/>
        </w:rPr>
        <w:t>Diseñar y desarrollar estrategias masivas que expliquen a los ciudadanos las utilidades y potencialidades de las TIC</w:t>
      </w:r>
      <w:r w:rsidRPr="00624F48">
        <w:rPr>
          <w:rStyle w:val="a21"/>
          <w:rFonts w:ascii="Garamond" w:hAnsi="Garamond"/>
          <w:i/>
          <w:sz w:val="26"/>
          <w:szCs w:val="26"/>
        </w:rPr>
        <w:t xml:space="preserve">.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3. Promover el establecimiento de una cultura de las </w:t>
      </w:r>
      <w:r w:rsidRPr="00624F48">
        <w:rPr>
          <w:rStyle w:val="a21"/>
          <w:rFonts w:ascii="Garamond" w:hAnsi="Garamond"/>
          <w:i/>
          <w:sz w:val="26"/>
          <w:szCs w:val="26"/>
          <w:u w:val="single"/>
        </w:rPr>
        <w:t>Tecnologías de la Información y las Comunicaciones en el país, a través de programas y proyectos que favorezcan la apropiación y masificación de las tecnologías</w:t>
      </w:r>
      <w:r w:rsidRPr="00624F48">
        <w:rPr>
          <w:rStyle w:val="a21"/>
          <w:rFonts w:ascii="Garamond" w:hAnsi="Garamond"/>
          <w:i/>
          <w:sz w:val="26"/>
          <w:szCs w:val="26"/>
        </w:rPr>
        <w:t xml:space="preserve">, como instrumentos que facilitan el bienestar y el desarrollo personal y social. </w:t>
      </w:r>
    </w:p>
    <w:p w:rsidR="009D37E3" w:rsidRPr="00624F48" w:rsidRDefault="009D37E3" w:rsidP="001E295C">
      <w:pPr>
        <w:pStyle w:val="pa12"/>
        <w:spacing w:before="240" w:beforeAutospacing="0" w:after="0" w:afterAutospacing="0" w:line="276" w:lineRule="auto"/>
        <w:ind w:left="708"/>
        <w:rPr>
          <w:rFonts w:ascii="Garamond" w:hAnsi="Garamond"/>
          <w:sz w:val="26"/>
          <w:szCs w:val="26"/>
        </w:rPr>
      </w:pPr>
      <w:r w:rsidRPr="00624F48">
        <w:rPr>
          <w:rStyle w:val="a21"/>
          <w:rFonts w:ascii="Garamond" w:hAnsi="Garamond"/>
          <w:i/>
          <w:sz w:val="26"/>
          <w:szCs w:val="26"/>
        </w:rPr>
        <w:t xml:space="preserve">4. Coordinar con los actores involucrados, el avance de los ejes verticales y transversales de las TIC, y </w:t>
      </w:r>
      <w:r w:rsidRPr="00624F48">
        <w:rPr>
          <w:rStyle w:val="a21"/>
          <w:rFonts w:ascii="Garamond" w:hAnsi="Garamond"/>
          <w:i/>
          <w:sz w:val="26"/>
          <w:szCs w:val="26"/>
          <w:u w:val="single"/>
        </w:rPr>
        <w:t>el plan nacional correspondiente</w:t>
      </w:r>
      <w:r w:rsidRPr="00624F48">
        <w:rPr>
          <w:rStyle w:val="a21"/>
          <w:rFonts w:ascii="Garamond" w:hAnsi="Garamond"/>
          <w:i/>
          <w:sz w:val="26"/>
          <w:szCs w:val="26"/>
        </w:rPr>
        <w:t xml:space="preserve">, brindando apoyo y asesoría a nivel territorial. </w:t>
      </w:r>
      <w:r w:rsidRPr="00624F48">
        <w:rPr>
          <w:rStyle w:val="a21"/>
          <w:rFonts w:ascii="Garamond" w:hAnsi="Garamond"/>
          <w:sz w:val="26"/>
          <w:szCs w:val="26"/>
        </w:rPr>
        <w:t>(Se subraya)</w:t>
      </w:r>
    </w:p>
    <w:p w:rsidR="009D37E3" w:rsidRPr="00624F48" w:rsidRDefault="009D37E3" w:rsidP="001E295C">
      <w:pPr>
        <w:pStyle w:val="default0"/>
        <w:spacing w:before="240" w:beforeAutospacing="0" w:after="0" w:afterAutospacing="0" w:line="276" w:lineRule="auto"/>
        <w:rPr>
          <w:rStyle w:val="a21"/>
          <w:rFonts w:ascii="Garamond" w:hAnsi="Garamond"/>
          <w:sz w:val="26"/>
          <w:szCs w:val="26"/>
        </w:rPr>
      </w:pPr>
      <w:r w:rsidRPr="00624F48">
        <w:rPr>
          <w:rStyle w:val="a21"/>
          <w:rFonts w:ascii="Garamond" w:hAnsi="Garamond"/>
          <w:sz w:val="26"/>
          <w:szCs w:val="26"/>
        </w:rPr>
        <w:t>El Título IV de la Ley se refiere a la promoción del acceso y uso de las TIC. Para el efecto, el artículo 34 se refiere al Fondo de las TIC como una unidad administrativa especial, cuyo objeto es “</w:t>
      </w:r>
      <w:r w:rsidRPr="00624F48">
        <w:rPr>
          <w:rStyle w:val="a21"/>
          <w:rFonts w:ascii="Garamond" w:hAnsi="Garamond"/>
          <w:i/>
          <w:sz w:val="26"/>
          <w:szCs w:val="26"/>
        </w:rPr>
        <w:t>financiar los planes, programas y proyectos para facilitar prioritariamente el acceso universal, y del servicio universal cuando haya lugar a ello, de todos los habitantes del territorio nacional a las Tecnologías de la Información y las Comunicaciones</w:t>
      </w:r>
      <w:r w:rsidRPr="00624F48">
        <w:rPr>
          <w:rStyle w:val="a21"/>
          <w:rFonts w:ascii="Garamond" w:hAnsi="Garamond"/>
          <w:sz w:val="26"/>
          <w:szCs w:val="26"/>
        </w:rPr>
        <w:t>”. Dentro de las funciones del Fondo, debemos destacar las siguientes:</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1. Financiar planes, programas y proyectos para </w:t>
      </w:r>
      <w:r w:rsidRPr="00624F48">
        <w:rPr>
          <w:rStyle w:val="a21"/>
          <w:rFonts w:ascii="Garamond" w:hAnsi="Garamond"/>
          <w:i/>
          <w:sz w:val="26"/>
          <w:szCs w:val="26"/>
          <w:u w:val="single"/>
        </w:rPr>
        <w:t>promover prioritariamente el acceso universal, y del servicio universal cuando haya lugar a ello, a las Tecnologías de la información y las Comunicaciones en los segmentos de población de menores ingresos</w:t>
      </w:r>
      <w:r w:rsidRPr="00624F48">
        <w:rPr>
          <w:rStyle w:val="a21"/>
          <w:rFonts w:ascii="Garamond" w:hAnsi="Garamond"/>
          <w:i/>
          <w:sz w:val="26"/>
          <w:szCs w:val="26"/>
        </w:rPr>
        <w:t xml:space="preserve">.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2. Financiar planes, programas y proyectos para </w:t>
      </w:r>
      <w:r w:rsidRPr="00624F48">
        <w:rPr>
          <w:rStyle w:val="a21"/>
          <w:rFonts w:ascii="Garamond" w:hAnsi="Garamond"/>
          <w:i/>
          <w:sz w:val="26"/>
          <w:szCs w:val="26"/>
          <w:u w:val="single"/>
        </w:rPr>
        <w:t>promover la investigación, el desarrollo y la innovación</w:t>
      </w:r>
      <w:r w:rsidRPr="00624F48">
        <w:rPr>
          <w:rStyle w:val="a21"/>
          <w:rFonts w:ascii="Garamond" w:hAnsi="Garamond"/>
          <w:i/>
          <w:sz w:val="26"/>
          <w:szCs w:val="26"/>
        </w:rPr>
        <w:t xml:space="preserve"> de las Tecnologías de Información y las Comunicaciones dando prioridad al desarrollo de contenidos.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3. Financiar planes, programas y proyectos para </w:t>
      </w:r>
      <w:r w:rsidRPr="00624F48">
        <w:rPr>
          <w:rStyle w:val="a21"/>
          <w:rFonts w:ascii="Garamond" w:hAnsi="Garamond"/>
          <w:i/>
          <w:sz w:val="26"/>
          <w:szCs w:val="26"/>
          <w:u w:val="single"/>
        </w:rPr>
        <w:t>promover el acceso de los ciudadanos a servicios, contenidos y aplicaciones que usen Tecnologías de la Información y las Comunicaciones y para la masificación del Gobierno en Línea</w:t>
      </w:r>
      <w:r w:rsidRPr="00624F48">
        <w:rPr>
          <w:rStyle w:val="a21"/>
          <w:rFonts w:ascii="Garamond" w:hAnsi="Garamond"/>
          <w:i/>
          <w:sz w:val="26"/>
          <w:szCs w:val="26"/>
        </w:rPr>
        <w:t xml:space="preserve">. </w:t>
      </w:r>
    </w:p>
    <w:p w:rsidR="009D37E3" w:rsidRPr="00624F48" w:rsidRDefault="009D37E3" w:rsidP="001E295C">
      <w:pPr>
        <w:pStyle w:val="pa12"/>
        <w:spacing w:before="240" w:beforeAutospacing="0" w:after="0" w:afterAutospacing="0" w:line="276" w:lineRule="auto"/>
        <w:ind w:left="708"/>
        <w:rPr>
          <w:rFonts w:ascii="Garamond" w:hAnsi="Garamond"/>
          <w:i/>
          <w:sz w:val="26"/>
          <w:szCs w:val="26"/>
        </w:rPr>
      </w:pPr>
      <w:r w:rsidRPr="00624F48">
        <w:rPr>
          <w:rStyle w:val="a21"/>
          <w:rFonts w:ascii="Garamond" w:hAnsi="Garamond"/>
          <w:i/>
          <w:sz w:val="26"/>
          <w:szCs w:val="26"/>
        </w:rPr>
        <w:t xml:space="preserve">4. Financiar y establecer planes, programas y proyectos que permitan </w:t>
      </w:r>
      <w:r w:rsidRPr="00624F48">
        <w:rPr>
          <w:rStyle w:val="a21"/>
          <w:rFonts w:ascii="Garamond" w:hAnsi="Garamond"/>
          <w:i/>
          <w:sz w:val="26"/>
          <w:szCs w:val="26"/>
          <w:u w:val="single"/>
        </w:rPr>
        <w:t>masificar el uso y apropiación de Tecnologías de la Información y las Comunicaciones</w:t>
      </w:r>
      <w:r w:rsidRPr="00624F48">
        <w:rPr>
          <w:rStyle w:val="a21"/>
          <w:rFonts w:ascii="Garamond" w:hAnsi="Garamond"/>
          <w:i/>
          <w:sz w:val="26"/>
          <w:szCs w:val="26"/>
        </w:rPr>
        <w:t xml:space="preserve">. </w:t>
      </w:r>
    </w:p>
    <w:p w:rsidR="009D37E3" w:rsidRPr="00624F48" w:rsidRDefault="009D37E3" w:rsidP="001E295C">
      <w:pPr>
        <w:pStyle w:val="pa12"/>
        <w:spacing w:before="240" w:beforeAutospacing="0" w:after="0" w:afterAutospacing="0" w:line="276" w:lineRule="auto"/>
        <w:ind w:left="708"/>
        <w:rPr>
          <w:rStyle w:val="a21"/>
          <w:rFonts w:ascii="Garamond" w:hAnsi="Garamond"/>
          <w:sz w:val="26"/>
          <w:szCs w:val="26"/>
        </w:rPr>
      </w:pPr>
      <w:r w:rsidRPr="00624F48">
        <w:rPr>
          <w:rStyle w:val="a21"/>
          <w:rFonts w:ascii="Garamond" w:hAnsi="Garamond"/>
          <w:i/>
          <w:sz w:val="26"/>
          <w:szCs w:val="26"/>
        </w:rPr>
        <w:t xml:space="preserve">6. Financiar planes, programas y proyectos para </w:t>
      </w:r>
      <w:r w:rsidRPr="00624F48">
        <w:rPr>
          <w:rStyle w:val="a21"/>
          <w:rFonts w:ascii="Garamond" w:hAnsi="Garamond"/>
          <w:i/>
          <w:sz w:val="26"/>
          <w:szCs w:val="26"/>
          <w:u w:val="single"/>
        </w:rPr>
        <w:t>promover el acceso de los ciudadanos con limitaciones físicas a las Tecnologías de la Información y las Comunicaciones</w:t>
      </w:r>
      <w:r w:rsidRPr="00624F48">
        <w:rPr>
          <w:rStyle w:val="a21"/>
          <w:rFonts w:ascii="Garamond" w:hAnsi="Garamond"/>
          <w:i/>
          <w:sz w:val="26"/>
          <w:szCs w:val="26"/>
        </w:rPr>
        <w:t xml:space="preserve">. </w:t>
      </w:r>
      <w:r w:rsidRPr="00624F48">
        <w:rPr>
          <w:rStyle w:val="a21"/>
          <w:rFonts w:ascii="Garamond" w:hAnsi="Garamond"/>
          <w:sz w:val="26"/>
          <w:szCs w:val="26"/>
        </w:rPr>
        <w:t>(Se subraya)</w:t>
      </w:r>
    </w:p>
    <w:p w:rsidR="009D37E3" w:rsidRPr="00624F48" w:rsidRDefault="009D37E3" w:rsidP="001E295C">
      <w:pPr>
        <w:pStyle w:val="pa12"/>
        <w:spacing w:before="240" w:beforeAutospacing="0" w:after="0" w:afterAutospacing="0" w:line="276" w:lineRule="auto"/>
        <w:rPr>
          <w:rFonts w:ascii="Garamond" w:hAnsi="Garamond"/>
          <w:sz w:val="26"/>
          <w:szCs w:val="26"/>
        </w:rPr>
      </w:pPr>
      <w:r w:rsidRPr="00624F48">
        <w:rPr>
          <w:rFonts w:ascii="Garamond" w:hAnsi="Garamond"/>
          <w:sz w:val="26"/>
          <w:szCs w:val="26"/>
        </w:rPr>
        <w:t>Así, el Fondo puede financiar planes como el Plan Vive Digital, toda vez que busca lograr el acceso universal a una de las TIC, como lo es Internet y promueve la investigación dentro del sector.</w:t>
      </w:r>
    </w:p>
    <w:p w:rsidR="009D37E3" w:rsidRPr="00624F48" w:rsidRDefault="009D37E3" w:rsidP="001E295C">
      <w:pPr>
        <w:pStyle w:val="pa12"/>
        <w:spacing w:before="240" w:beforeAutospacing="0" w:after="0" w:afterAutospacing="0" w:line="276" w:lineRule="auto"/>
        <w:rPr>
          <w:rFonts w:ascii="Garamond" w:hAnsi="Garamond"/>
          <w:sz w:val="26"/>
          <w:szCs w:val="26"/>
        </w:rPr>
      </w:pPr>
      <w:r w:rsidRPr="00624F48">
        <w:rPr>
          <w:rFonts w:ascii="Garamond" w:hAnsi="Garamond"/>
          <w:sz w:val="26"/>
          <w:szCs w:val="26"/>
        </w:rPr>
        <w:lastRenderedPageBreak/>
        <w:t>El artículo 38 se refiere expresamente a la masificación del uso de las TIC, así, el Ministerio debe estudiar, revisar e implementar</w:t>
      </w:r>
      <w:r w:rsidRPr="00624F48">
        <w:rPr>
          <w:rStyle w:val="a21"/>
          <w:rFonts w:ascii="Garamond" w:hAnsi="Garamond"/>
          <w:sz w:val="26"/>
          <w:szCs w:val="26"/>
        </w:rPr>
        <w:t xml:space="preserve"> estrategias para la masificación de la conectividad, buscando sistemas que permitan llegar a las regiones más apartadas del país</w:t>
      </w:r>
      <w:r w:rsidRPr="00624F48">
        <w:rPr>
          <w:rFonts w:ascii="Garamond" w:hAnsi="Garamond"/>
          <w:sz w:val="26"/>
          <w:szCs w:val="26"/>
        </w:rPr>
        <w:t>. Evidentemente, el Plan Vive Digital es un claro desarrollo del referido artículo.</w:t>
      </w:r>
    </w:p>
    <w:p w:rsidR="009D37E3" w:rsidRPr="00624F48" w:rsidRDefault="009D37E3" w:rsidP="001E295C">
      <w:pPr>
        <w:pStyle w:val="pa12"/>
        <w:spacing w:before="240" w:beforeAutospacing="0" w:after="0" w:afterAutospacing="0" w:line="276" w:lineRule="auto"/>
        <w:rPr>
          <w:rFonts w:ascii="Garamond" w:hAnsi="Garamond"/>
          <w:sz w:val="26"/>
          <w:szCs w:val="26"/>
        </w:rPr>
      </w:pPr>
      <w:r w:rsidRPr="00624F48">
        <w:rPr>
          <w:rFonts w:ascii="Garamond" w:hAnsi="Garamond"/>
          <w:sz w:val="26"/>
          <w:szCs w:val="26"/>
        </w:rPr>
        <w:t xml:space="preserve">Conforme al artículo 39, el </w:t>
      </w:r>
      <w:r w:rsidR="00E41CEF" w:rsidRPr="000D499F">
        <w:rPr>
          <w:rFonts w:ascii="Garamond" w:hAnsi="Garamond"/>
          <w:sz w:val="26"/>
          <w:szCs w:val="26"/>
        </w:rPr>
        <w:t>MINTIC</w:t>
      </w:r>
      <w:r w:rsidR="00E41CEF" w:rsidRPr="00624F48">
        <w:rPr>
          <w:rFonts w:ascii="Garamond" w:hAnsi="Garamond"/>
          <w:sz w:val="26"/>
          <w:szCs w:val="26"/>
        </w:rPr>
        <w:t xml:space="preserve"> </w:t>
      </w:r>
      <w:r w:rsidRPr="00624F48">
        <w:rPr>
          <w:rFonts w:ascii="Garamond" w:hAnsi="Garamond"/>
          <w:sz w:val="26"/>
          <w:szCs w:val="26"/>
        </w:rPr>
        <w:t>coordinará el Plan de TIC con el Plan de Educación y los demás planes sectoriales. Así, apoyará al Ministerio de Educación Nacional entre otras para:</w:t>
      </w:r>
    </w:p>
    <w:p w:rsidR="009D37E3" w:rsidRPr="00624F48" w:rsidRDefault="009D37E3" w:rsidP="001E295C">
      <w:pPr>
        <w:ind w:left="705"/>
        <w:rPr>
          <w:i/>
        </w:rPr>
      </w:pPr>
      <w:r w:rsidRPr="00624F48">
        <w:rPr>
          <w:i/>
        </w:rPr>
        <w:t>1. Fomentar el emprendimiento en TIC, desde los establecimientos educativos, con alto contenido en innovación.</w:t>
      </w:r>
    </w:p>
    <w:p w:rsidR="009D37E3" w:rsidRPr="00624F48" w:rsidRDefault="009D37E3" w:rsidP="001E295C">
      <w:pPr>
        <w:ind w:firstLine="705"/>
        <w:rPr>
          <w:i/>
        </w:rPr>
      </w:pPr>
      <w:r w:rsidRPr="00624F48">
        <w:rPr>
          <w:i/>
        </w:rPr>
        <w:t>2. Poner en marcha un Sistema Nacional de alfabetización digital.</w:t>
      </w:r>
    </w:p>
    <w:p w:rsidR="009D37E3" w:rsidRPr="00624F48" w:rsidRDefault="009D37E3" w:rsidP="001E295C">
      <w:pPr>
        <w:ind w:firstLine="705"/>
        <w:rPr>
          <w:i/>
        </w:rPr>
      </w:pPr>
      <w:r w:rsidRPr="00624F48">
        <w:rPr>
          <w:i/>
        </w:rPr>
        <w:t>3. Capacitar en TIC a docentes de todos los niveles.</w:t>
      </w:r>
    </w:p>
    <w:p w:rsidR="009D37E3" w:rsidRPr="00624F48" w:rsidRDefault="009D37E3" w:rsidP="001E295C">
      <w:pPr>
        <w:ind w:firstLine="705"/>
        <w:rPr>
          <w:i/>
        </w:rPr>
      </w:pPr>
      <w:r w:rsidRPr="00624F48">
        <w:rPr>
          <w:i/>
        </w:rPr>
        <w:t>4. Incluir la cátedra de TIC en todo el sistema educativo, desde la infancia.</w:t>
      </w:r>
    </w:p>
    <w:p w:rsidR="009D37E3" w:rsidRPr="00624F48" w:rsidRDefault="009D37E3" w:rsidP="001E295C">
      <w:pPr>
        <w:pStyle w:val="pa12"/>
        <w:spacing w:before="240" w:beforeAutospacing="0" w:after="0" w:afterAutospacing="0" w:line="276" w:lineRule="auto"/>
        <w:rPr>
          <w:rFonts w:ascii="Garamond" w:hAnsi="Garamond"/>
          <w:sz w:val="26"/>
          <w:szCs w:val="26"/>
        </w:rPr>
      </w:pPr>
      <w:r w:rsidRPr="00624F48">
        <w:rPr>
          <w:rFonts w:ascii="Garamond" w:hAnsi="Garamond"/>
          <w:sz w:val="26"/>
          <w:szCs w:val="26"/>
        </w:rPr>
        <w:t>Como lo hemos venido explicando, el Plan Vive Digital cumple con este propósito pues genera un plan de acción conjunto con el Ministerio de Educación para lograr los objetivos, no sólo de masificación de Internet sino de mejoras en la educación nacional, haciendo buen uso de esta herramienta.</w:t>
      </w:r>
    </w:p>
    <w:p w:rsidR="009D37E3" w:rsidRPr="00624F48" w:rsidRDefault="009D37E3" w:rsidP="001E295C">
      <w:pPr>
        <w:pStyle w:val="pa12"/>
        <w:spacing w:before="240" w:beforeAutospacing="0" w:after="0" w:afterAutospacing="0" w:line="276" w:lineRule="auto"/>
        <w:rPr>
          <w:rFonts w:ascii="Garamond" w:hAnsi="Garamond"/>
          <w:sz w:val="26"/>
          <w:szCs w:val="26"/>
        </w:rPr>
      </w:pPr>
      <w:r w:rsidRPr="00624F48">
        <w:rPr>
          <w:rFonts w:ascii="Garamond" w:hAnsi="Garamond"/>
          <w:sz w:val="26"/>
          <w:szCs w:val="26"/>
        </w:rPr>
        <w:t xml:space="preserve">Uno de los aspectos que se desarrolla en el Plan Vive Digital es el de la </w:t>
      </w:r>
      <w:proofErr w:type="spellStart"/>
      <w:r w:rsidRPr="00624F48">
        <w:rPr>
          <w:rFonts w:ascii="Garamond" w:hAnsi="Garamond"/>
          <w:sz w:val="26"/>
          <w:szCs w:val="26"/>
        </w:rPr>
        <w:t>Telesalud</w:t>
      </w:r>
      <w:proofErr w:type="spellEnd"/>
      <w:r w:rsidRPr="00624F48">
        <w:rPr>
          <w:rFonts w:ascii="Garamond" w:hAnsi="Garamond"/>
          <w:sz w:val="26"/>
          <w:szCs w:val="26"/>
        </w:rPr>
        <w:t>, y la utilización de las TIC para mejorar los servicios de salud. Al respecto el artículo 40 de la Ley 1341 establece:</w:t>
      </w:r>
    </w:p>
    <w:p w:rsidR="009D37E3" w:rsidRPr="00624F48" w:rsidRDefault="009D37E3" w:rsidP="001E295C">
      <w:pPr>
        <w:pStyle w:val="pa12"/>
        <w:spacing w:before="240" w:beforeAutospacing="0" w:after="0" w:afterAutospacing="0" w:line="276" w:lineRule="auto"/>
        <w:ind w:left="705"/>
        <w:rPr>
          <w:rFonts w:ascii="Garamond" w:hAnsi="Garamond"/>
          <w:sz w:val="26"/>
          <w:szCs w:val="26"/>
        </w:rPr>
      </w:pPr>
      <w:r w:rsidRPr="00624F48">
        <w:rPr>
          <w:rFonts w:ascii="Garamond" w:hAnsi="Garamond"/>
          <w:i/>
          <w:sz w:val="26"/>
          <w:szCs w:val="26"/>
        </w:rPr>
        <w:t xml:space="preserve">El Ministerio de Tecnologías de la Información y las Comunicaciones, </w:t>
      </w:r>
      <w:r w:rsidRPr="00624F48">
        <w:rPr>
          <w:rFonts w:ascii="Garamond" w:hAnsi="Garamond"/>
          <w:i/>
          <w:sz w:val="26"/>
          <w:szCs w:val="26"/>
          <w:u w:val="single"/>
        </w:rPr>
        <w:t xml:space="preserve">apoyará el desarrollo de la </w:t>
      </w:r>
      <w:proofErr w:type="spellStart"/>
      <w:r w:rsidRPr="00624F48">
        <w:rPr>
          <w:rFonts w:ascii="Garamond" w:hAnsi="Garamond"/>
          <w:i/>
          <w:sz w:val="26"/>
          <w:szCs w:val="26"/>
          <w:u w:val="single"/>
        </w:rPr>
        <w:t>Telesalud</w:t>
      </w:r>
      <w:proofErr w:type="spellEnd"/>
      <w:r w:rsidRPr="00624F48">
        <w:rPr>
          <w:rFonts w:ascii="Garamond" w:hAnsi="Garamond"/>
          <w:i/>
          <w:sz w:val="26"/>
          <w:szCs w:val="26"/>
        </w:rPr>
        <w:t xml:space="preserve"> en Colombia, con recursos del Fondo de las TIC y </w:t>
      </w:r>
      <w:r w:rsidRPr="00624F48">
        <w:rPr>
          <w:rFonts w:ascii="Garamond" w:hAnsi="Garamond"/>
          <w:i/>
          <w:sz w:val="26"/>
          <w:szCs w:val="26"/>
          <w:u w:val="single"/>
        </w:rPr>
        <w:t>llevando la conectividad a los sitios estratégicos para la prestación de servicios por esta modalidad</w:t>
      </w:r>
      <w:r w:rsidRPr="00624F48">
        <w:rPr>
          <w:rFonts w:ascii="Garamond" w:hAnsi="Garamond"/>
          <w:i/>
          <w:sz w:val="26"/>
          <w:szCs w:val="26"/>
        </w:rPr>
        <w:t>, a los territorios apartados de Colombia</w:t>
      </w:r>
      <w:r w:rsidRPr="00624F48">
        <w:rPr>
          <w:rFonts w:ascii="Garamond" w:hAnsi="Garamond"/>
          <w:sz w:val="26"/>
          <w:szCs w:val="26"/>
        </w:rPr>
        <w:t>. (Se subraya)</w:t>
      </w:r>
    </w:p>
    <w:p w:rsidR="009D37E3" w:rsidRPr="002E35E4" w:rsidRDefault="009D37E3" w:rsidP="001E295C">
      <w:pPr>
        <w:pStyle w:val="Ttulo3"/>
        <w:numPr>
          <w:ilvl w:val="2"/>
          <w:numId w:val="2"/>
        </w:numPr>
        <w:rPr>
          <w:sz w:val="26"/>
          <w:szCs w:val="26"/>
        </w:rPr>
      </w:pPr>
      <w:r w:rsidRPr="002E35E4">
        <w:rPr>
          <w:sz w:val="26"/>
          <w:szCs w:val="26"/>
        </w:rPr>
        <w:t>Ley 1450 de 2011</w:t>
      </w:r>
    </w:p>
    <w:p w:rsidR="009D37E3" w:rsidRPr="00624F48" w:rsidRDefault="009D37E3" w:rsidP="001E295C">
      <w:pPr>
        <w:rPr>
          <w:lang w:val="es-ES" w:eastAsia="es-ES"/>
        </w:rPr>
      </w:pPr>
      <w:r w:rsidRPr="00624F48">
        <w:rPr>
          <w:lang w:val="es-ES" w:eastAsia="es-ES"/>
        </w:rPr>
        <w:t xml:space="preserve">La Ley 1450 de 2011 “Por la cual se expide el Plan Nacional de Desarrollo 2010-2014”, ratificó muchos de los objetivos previstos en el Plan Vive Digital. </w:t>
      </w:r>
    </w:p>
    <w:p w:rsidR="009D37E3" w:rsidRPr="00624F48" w:rsidRDefault="009D37E3" w:rsidP="001E295C">
      <w:pPr>
        <w:rPr>
          <w:rStyle w:val="a21"/>
        </w:rPr>
      </w:pPr>
      <w:r w:rsidRPr="00624F48">
        <w:rPr>
          <w:rStyle w:val="a21"/>
        </w:rPr>
        <w:t>En términos generales, la Ley del Plan propende por la masificación en el acceso a las TIC y la utilización eficiente de la infraestructura. Dentro de los propósitos del Estado para el cuatrienio 2010-2014</w:t>
      </w:r>
      <w:r>
        <w:rPr>
          <w:rStyle w:val="a21"/>
        </w:rPr>
        <w:t>,</w:t>
      </w:r>
      <w:r w:rsidRPr="00624F48">
        <w:rPr>
          <w:rStyle w:val="a21"/>
        </w:rPr>
        <w:t xml:space="preserve"> previsto</w:t>
      </w:r>
      <w:r>
        <w:rPr>
          <w:rStyle w:val="a21"/>
        </w:rPr>
        <w:t>s</w:t>
      </w:r>
      <w:r w:rsidRPr="00624F48">
        <w:rPr>
          <w:rStyle w:val="a21"/>
        </w:rPr>
        <w:t xml:space="preserve"> en el artículo 3, se encuentra como eje transversal:</w:t>
      </w:r>
    </w:p>
    <w:p w:rsidR="009D37E3" w:rsidRPr="00624F48" w:rsidRDefault="009D37E3" w:rsidP="001E295C">
      <w:pPr>
        <w:ind w:left="708"/>
        <w:rPr>
          <w:rStyle w:val="a21"/>
        </w:rPr>
      </w:pPr>
      <w:r w:rsidRPr="00624F48">
        <w:rPr>
          <w:rStyle w:val="a7"/>
          <w:i/>
        </w:rPr>
        <w:lastRenderedPageBreak/>
        <w:t xml:space="preserve">Una sociedad para la cual la sostenibilidad ambiental, la adaptación al cambio climático, </w:t>
      </w:r>
      <w:r w:rsidRPr="00624F48">
        <w:rPr>
          <w:rStyle w:val="a7"/>
          <w:i/>
          <w:u w:val="single"/>
        </w:rPr>
        <w:t>el acceso a las tecnologías de la información y las comunicaciones y el desarrollo cultural sean una prioridad y una práctica como elemento esencial del bienestar y como principio de equidad con las futuras generaciones</w:t>
      </w:r>
      <w:r w:rsidRPr="00624F48">
        <w:rPr>
          <w:rStyle w:val="a7"/>
          <w:i/>
        </w:rPr>
        <w:t>.</w:t>
      </w:r>
      <w:r w:rsidRPr="00624F48">
        <w:rPr>
          <w:rStyle w:val="a7"/>
        </w:rPr>
        <w:t xml:space="preserve"> (Se subraya)</w:t>
      </w:r>
    </w:p>
    <w:p w:rsidR="009D37E3" w:rsidRPr="00624F48" w:rsidRDefault="009D37E3" w:rsidP="001E295C">
      <w:r w:rsidRPr="00624F48">
        <w:rPr>
          <w:rStyle w:val="a21"/>
        </w:rPr>
        <w:t>De conformidad con el artículo 55 de la Ley, las entidades del Estado “</w:t>
      </w:r>
      <w:r w:rsidRPr="00624F48">
        <w:rPr>
          <w:i/>
        </w:rPr>
        <w:t>promoverán el goce efectivo del derecho de acceso a todas las personas a la información y las comunicaciones</w:t>
      </w:r>
      <w:r w:rsidRPr="00624F48">
        <w:t>”. En desarrollo de ello, y con el fin de garantizar que los estratos socioeconómicos 1 y 2 tengan acceso a Internet, el artículo 58 se refiere al Internet social así:</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Artículo 58. </w:t>
      </w:r>
      <w:r w:rsidRPr="00624F48">
        <w:rPr>
          <w:rStyle w:val="a0"/>
          <w:rFonts w:ascii="Garamond" w:hAnsi="Garamond"/>
          <w:i/>
          <w:iCs/>
          <w:sz w:val="26"/>
          <w:szCs w:val="26"/>
        </w:rPr>
        <w:t xml:space="preserve">Internet social. </w:t>
      </w:r>
      <w:r w:rsidRPr="00624F48">
        <w:rPr>
          <w:rStyle w:val="a0"/>
          <w:rFonts w:ascii="Garamond" w:hAnsi="Garamond"/>
          <w:i/>
          <w:sz w:val="26"/>
          <w:szCs w:val="26"/>
        </w:rPr>
        <w:t xml:space="preserve">El Ministerio de Tecnologías de la Información y las Comunicaciones </w:t>
      </w:r>
      <w:r w:rsidRPr="00624F48">
        <w:rPr>
          <w:rStyle w:val="a0"/>
          <w:rFonts w:ascii="Garamond" w:hAnsi="Garamond"/>
          <w:i/>
          <w:sz w:val="26"/>
          <w:szCs w:val="26"/>
          <w:u w:val="single"/>
        </w:rPr>
        <w:t>promoverá que los proveedores de redes y servicios de telecomunicaciones fijas y móviles ofrezcan planes de Internet de banda ancha social para usuarios pertenecientes a estratos socioeconómicos 1 y 2</w:t>
      </w:r>
      <w:r w:rsidRPr="00624F48">
        <w:rPr>
          <w:rStyle w:val="a0"/>
          <w:rFonts w:ascii="Garamond" w:hAnsi="Garamond"/>
          <w:i/>
          <w:sz w:val="26"/>
          <w:szCs w:val="26"/>
        </w:rPr>
        <w:t xml:space="preserve">, entre otras, de las siguientes formas: </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1. </w:t>
      </w:r>
      <w:r w:rsidRPr="00624F48">
        <w:rPr>
          <w:rStyle w:val="a0"/>
          <w:rFonts w:ascii="Garamond" w:hAnsi="Garamond"/>
          <w:bCs/>
          <w:i/>
          <w:sz w:val="26"/>
          <w:szCs w:val="26"/>
        </w:rPr>
        <w:t>Transición para los proveedores de redes y servicios de Telefonía Pública Básica Conmutada Local (TPBCL) y Local Extendida (TPBCLE) establecidos a la fecha de expedición de la Ley 1341 de 2009.</w:t>
      </w:r>
      <w:r w:rsidRPr="00624F48">
        <w:rPr>
          <w:rStyle w:val="a0"/>
          <w:rFonts w:ascii="Garamond" w:hAnsi="Garamond"/>
          <w:b/>
          <w:bCs/>
          <w:i/>
          <w:sz w:val="26"/>
          <w:szCs w:val="26"/>
        </w:rPr>
        <w:t xml:space="preserve"> </w:t>
      </w:r>
      <w:r w:rsidRPr="00624F48">
        <w:rPr>
          <w:rStyle w:val="a0"/>
          <w:rFonts w:ascii="Garamond" w:hAnsi="Garamond"/>
          <w:i/>
          <w:sz w:val="26"/>
          <w:szCs w:val="26"/>
          <w:u w:val="single"/>
        </w:rPr>
        <w:t>Los proveedores de redes y servicios de telecomunicaciones establecidos para TPBCL y TPBCLE, destinarán directamente a sus usuarios de estratos 1 y 2</w:t>
      </w:r>
      <w:r w:rsidRPr="00624F48">
        <w:rPr>
          <w:rStyle w:val="a0"/>
          <w:rFonts w:ascii="Garamond" w:hAnsi="Garamond"/>
          <w:i/>
          <w:sz w:val="26"/>
          <w:szCs w:val="26"/>
        </w:rPr>
        <w:t xml:space="preserve">, la contraprestación de que trata el artículo 36 de la Ley 1341 de 2009 por un periodo de cinco (5) años, contados a partir del momento en que dicho artículo se reglamentó, para subsidiar los servicios de acceso a Internet y banda ancha y los servicios de telecomunicaciones subsidiados por virtud de la Ley 142 de 1994. </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El déficit que se llegare a generar en el periodo de transición con ocasión de lo establecido en el inciso anterior, que no sea posible cubrir con el valor de la contraprestación de que trata el artículo 36 de la Ley 1341 de 2009, será cubierto anualmente por el Fondo de Tecnologías de la Información y las Comunicaciones de acuerdo con los informes presentados en los formatos definidos para tal fin. </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2. Los demás proveedores de redes y servicios de telecomunicaciones que ofrezcan planes de acceso fijo o móvil a internet de banda ancha podrán destinar la contraprestación periódica que deben pagar al Fondo de Tecnologías de la Información y las Comunicaciones para </w:t>
      </w:r>
      <w:r w:rsidRPr="00624F48">
        <w:rPr>
          <w:rStyle w:val="a0"/>
          <w:rFonts w:ascii="Garamond" w:hAnsi="Garamond"/>
          <w:i/>
          <w:sz w:val="26"/>
          <w:szCs w:val="26"/>
          <w:u w:val="single"/>
        </w:rPr>
        <w:t>subsidiar planes de internet de banda ancha para usuarios que pertenezcan a estratos socioeconómicos 1 y 2</w:t>
      </w:r>
      <w:r w:rsidRPr="00624F48">
        <w:rPr>
          <w:rStyle w:val="a0"/>
          <w:rFonts w:ascii="Garamond" w:hAnsi="Garamond"/>
          <w:i/>
          <w:sz w:val="26"/>
          <w:szCs w:val="26"/>
        </w:rPr>
        <w:t xml:space="preserve">. Para el caso de los planes de internet social de los operadores móviles, estos deberán limitar la cobertura de los mismos a las celdas ubicadas en los estratos 1 y 2. </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Parágrafo 1°. Corresponde al Ministerio de Tecnologías de la Información y las Comunicaciones, con el apoyo técnico de la Comisión de Regulación de Comunicaciones, </w:t>
      </w:r>
      <w:r w:rsidRPr="00624F48">
        <w:rPr>
          <w:rStyle w:val="a0"/>
          <w:rFonts w:ascii="Garamond" w:hAnsi="Garamond"/>
          <w:i/>
          <w:sz w:val="26"/>
          <w:szCs w:val="26"/>
          <w:u w:val="single"/>
        </w:rPr>
        <w:t xml:space="preserve">definir el tope de los montos y las condiciones en que se asignarán los subsidios así como las </w:t>
      </w:r>
      <w:r w:rsidRPr="00624F48">
        <w:rPr>
          <w:rStyle w:val="a0"/>
          <w:rFonts w:ascii="Garamond" w:hAnsi="Garamond"/>
          <w:i/>
          <w:sz w:val="26"/>
          <w:szCs w:val="26"/>
          <w:u w:val="single"/>
        </w:rPr>
        <w:lastRenderedPageBreak/>
        <w:t>características de los planes de internet social, conforme a las metas de masificación de acceso a internet.</w:t>
      </w:r>
      <w:r w:rsidRPr="00624F48">
        <w:rPr>
          <w:rStyle w:val="a0"/>
          <w:rFonts w:ascii="Garamond" w:hAnsi="Garamond"/>
          <w:i/>
          <w:sz w:val="26"/>
          <w:szCs w:val="26"/>
        </w:rPr>
        <w:t xml:space="preserve"> </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Si después de destinar el monto de contraprestación a los subsidios, existiese superávit de recursos, estos serán pagados al Fondo de Tecnologías de la Información y las Comunicaciones. </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Parágrafo 2°. Los proveedores de redes y servicios que ofrezcan planes de acceso a internet de los que trata el presente artículo </w:t>
      </w:r>
      <w:r w:rsidRPr="00624F48">
        <w:rPr>
          <w:rStyle w:val="a0"/>
          <w:rFonts w:ascii="Garamond" w:hAnsi="Garamond"/>
          <w:i/>
          <w:sz w:val="26"/>
          <w:szCs w:val="26"/>
          <w:u w:val="single"/>
        </w:rPr>
        <w:t>deberán incluir planes con condiciones especiales para las escuelas públicas ubicadas en zonas de estratos socioeconómicos 1 y 2</w:t>
      </w:r>
      <w:r w:rsidRPr="00624F48">
        <w:rPr>
          <w:rStyle w:val="a0"/>
          <w:rFonts w:ascii="Garamond" w:hAnsi="Garamond"/>
          <w:i/>
          <w:sz w:val="26"/>
          <w:szCs w:val="26"/>
        </w:rPr>
        <w:t xml:space="preserve">. </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Parágrafo 3°. Los planes de internet social de que trata el presente artículo </w:t>
      </w:r>
      <w:r w:rsidRPr="00624F48">
        <w:rPr>
          <w:rStyle w:val="a0"/>
          <w:rFonts w:ascii="Garamond" w:hAnsi="Garamond"/>
          <w:i/>
          <w:sz w:val="26"/>
          <w:szCs w:val="26"/>
          <w:u w:val="single"/>
        </w:rPr>
        <w:t>podrán incluir el computador o terminal de internet</w:t>
      </w:r>
      <w:r w:rsidRPr="00624F48">
        <w:rPr>
          <w:rStyle w:val="a0"/>
          <w:rFonts w:ascii="Garamond" w:hAnsi="Garamond"/>
          <w:i/>
          <w:sz w:val="26"/>
          <w:szCs w:val="26"/>
        </w:rPr>
        <w:t xml:space="preserve">. </w:t>
      </w:r>
    </w:p>
    <w:p w:rsidR="009D37E3" w:rsidRPr="00624F48" w:rsidRDefault="009D37E3" w:rsidP="001E295C">
      <w:pPr>
        <w:pStyle w:val="pa20"/>
        <w:spacing w:before="240" w:beforeAutospacing="0" w:after="0" w:afterAutospacing="0" w:line="276" w:lineRule="auto"/>
        <w:ind w:left="708"/>
        <w:rPr>
          <w:rFonts w:ascii="Garamond" w:hAnsi="Garamond"/>
          <w:sz w:val="26"/>
          <w:szCs w:val="26"/>
        </w:rPr>
      </w:pPr>
      <w:r w:rsidRPr="00624F48">
        <w:rPr>
          <w:rStyle w:val="a0"/>
          <w:rFonts w:ascii="Garamond" w:hAnsi="Garamond"/>
          <w:i/>
          <w:sz w:val="26"/>
          <w:szCs w:val="26"/>
        </w:rPr>
        <w:t xml:space="preserve">Parágrafo 4°. El Ministerio de Tecnologías de la Información y las Comunicaciones, promocionará a través del Fondo de Tecnologías de la Información y las Comunicaciones </w:t>
      </w:r>
      <w:r w:rsidRPr="00624F48">
        <w:rPr>
          <w:rStyle w:val="a0"/>
          <w:rFonts w:ascii="Garamond" w:hAnsi="Garamond"/>
          <w:i/>
          <w:sz w:val="26"/>
          <w:szCs w:val="26"/>
          <w:u w:val="single"/>
        </w:rPr>
        <w:t>proyectos de masificación de internet de banda ancha para los usuarios pertenecientes a los estratos socioeconómicos 1 y 2 sobre las redes de TPBCL, TPBCLE, fijas y móviles</w:t>
      </w:r>
      <w:r w:rsidRPr="00624F48">
        <w:rPr>
          <w:rStyle w:val="a0"/>
          <w:rFonts w:ascii="Garamond" w:hAnsi="Garamond"/>
          <w:i/>
          <w:sz w:val="26"/>
          <w:szCs w:val="26"/>
        </w:rPr>
        <w:t xml:space="preserve">. </w:t>
      </w:r>
      <w:r w:rsidRPr="00624F48">
        <w:rPr>
          <w:rFonts w:ascii="Garamond" w:hAnsi="Garamond"/>
          <w:sz w:val="26"/>
          <w:szCs w:val="26"/>
        </w:rPr>
        <w:t>(Se subraya)</w:t>
      </w:r>
    </w:p>
    <w:p w:rsidR="009D37E3" w:rsidRPr="00624F48" w:rsidRDefault="009D37E3" w:rsidP="001E295C">
      <w:pPr>
        <w:pStyle w:val="pa20"/>
        <w:spacing w:before="240" w:beforeAutospacing="0" w:after="0" w:afterAutospacing="0" w:line="276" w:lineRule="auto"/>
        <w:rPr>
          <w:rStyle w:val="a0"/>
          <w:rFonts w:ascii="Garamond" w:hAnsi="Garamond"/>
          <w:sz w:val="26"/>
          <w:szCs w:val="26"/>
        </w:rPr>
      </w:pPr>
      <w:r w:rsidRPr="00624F48">
        <w:rPr>
          <w:rStyle w:val="a0"/>
          <w:rFonts w:ascii="Garamond" w:hAnsi="Garamond"/>
          <w:sz w:val="26"/>
          <w:szCs w:val="26"/>
        </w:rPr>
        <w:t>En cuanto al uso eficiente de infraestructura, el artículo 53 de la Ley del Plan se refiere a la posibilidad que se le debe otorgar al Ministerio para el despliegue de redes públicas de telecomunicaciones aprovechando la infraestructura pública de transporte terrestre.</w:t>
      </w:r>
    </w:p>
    <w:p w:rsidR="009D37E3" w:rsidRPr="00624F48" w:rsidRDefault="009D37E3" w:rsidP="001E295C">
      <w:pPr>
        <w:pStyle w:val="pa20"/>
        <w:spacing w:before="240" w:beforeAutospacing="0" w:after="0" w:afterAutospacing="0" w:line="276" w:lineRule="auto"/>
        <w:rPr>
          <w:rStyle w:val="a0"/>
          <w:rFonts w:ascii="Garamond" w:hAnsi="Garamond"/>
          <w:i/>
          <w:sz w:val="26"/>
          <w:szCs w:val="26"/>
        </w:rPr>
      </w:pPr>
      <w:r w:rsidRPr="00624F48">
        <w:rPr>
          <w:rStyle w:val="a0"/>
          <w:rFonts w:ascii="Garamond" w:hAnsi="Garamond"/>
          <w:sz w:val="26"/>
          <w:szCs w:val="26"/>
        </w:rPr>
        <w:t xml:space="preserve">En sentido similar el artículo 57 se refiere a la utilización de infraestructura eléctrica para la provisión de servicios de telecomunicaciones, indicando que la CRC y la Comisión de Regulación de Energía y Gas (CREG) deben coordinar “las condiciones en </w:t>
      </w:r>
      <w:r w:rsidRPr="00624F48">
        <w:rPr>
          <w:rStyle w:val="a0"/>
          <w:rFonts w:ascii="Garamond" w:hAnsi="Garamond"/>
          <w:i/>
          <w:sz w:val="26"/>
          <w:szCs w:val="26"/>
        </w:rPr>
        <w:t>las cuales podrá ser utilizada y/o remunerada la infraestructura y/o redes eléctricas, en la prestación de servicios de telecomunicaciones”.</w:t>
      </w:r>
    </w:p>
    <w:p w:rsidR="009D37E3" w:rsidRPr="00624F48" w:rsidRDefault="009D37E3" w:rsidP="001E295C">
      <w:pPr>
        <w:pStyle w:val="pa20"/>
        <w:spacing w:before="240" w:beforeAutospacing="0" w:after="0" w:afterAutospacing="0" w:line="276" w:lineRule="auto"/>
        <w:rPr>
          <w:rStyle w:val="a0"/>
          <w:rFonts w:ascii="Garamond" w:hAnsi="Garamond"/>
          <w:sz w:val="26"/>
          <w:szCs w:val="26"/>
        </w:rPr>
      </w:pPr>
      <w:r w:rsidRPr="00624F48">
        <w:rPr>
          <w:rStyle w:val="a0"/>
          <w:rFonts w:ascii="Garamond" w:hAnsi="Garamond"/>
          <w:sz w:val="26"/>
          <w:szCs w:val="26"/>
        </w:rPr>
        <w:t>Otro de los aspectos desarrollados en el Plan Vive Digital, como una de las soluciones de demanda, es el desarrollo de aplicaciones. Al respecto, el artículo 56 de la Ley 1450 se refiere a la neutralidad en Internet, de manera que los prestadores del servicio de Internet:</w:t>
      </w:r>
    </w:p>
    <w:p w:rsidR="009D37E3" w:rsidRPr="00624F48" w:rsidRDefault="009D37E3" w:rsidP="001E295C">
      <w:pPr>
        <w:ind w:left="708"/>
        <w:rPr>
          <w:i/>
        </w:rPr>
      </w:pPr>
      <w:r w:rsidRPr="00624F48">
        <w:rPr>
          <w:i/>
        </w:rPr>
        <w:t xml:space="preserve">1. Sin perjuicio de lo establecido en la Ley 1336 de 2006 &lt;sic 2009&gt;, </w:t>
      </w:r>
      <w:r w:rsidRPr="00624F48">
        <w:rPr>
          <w:i/>
          <w:u w:val="single"/>
        </w:rPr>
        <w:t>no podrán bloquear, interferir, discriminar, ni restringir el derecho de cualquier usuario de Internet, para utilizar, enviar, recibir u ofrecer cualquier contenido, aplicación o servicio lícito a través de Internet.</w:t>
      </w:r>
      <w:r w:rsidRPr="00624F48">
        <w:rPr>
          <w:i/>
        </w:rPr>
        <w:t xml:space="preserve"> En este sentido, deberán ofrecer a cada usuario un servicio de acceso a Internet o de conectividad, que </w:t>
      </w:r>
      <w:r w:rsidRPr="00624F48">
        <w:rPr>
          <w:i/>
          <w:u w:val="single"/>
        </w:rPr>
        <w:t>no distinga arbitrariamente contenidos, aplicaciones o servicios, basados en la fuente de origen o propiedad de estos</w:t>
      </w:r>
      <w:r w:rsidRPr="00624F48">
        <w:rPr>
          <w:i/>
        </w:rPr>
        <w:t xml:space="preserve">. Los prestadores del servicio de Internet podrán hacer ofertas según </w:t>
      </w:r>
      <w:r w:rsidRPr="00624F48">
        <w:rPr>
          <w:i/>
        </w:rPr>
        <w:lastRenderedPageBreak/>
        <w:t>las necesidades de los segmentos de mercado o de sus usuarios de acuerdo con sus perfiles de uso y consumo, lo cual no se entenderá como discriminación.</w:t>
      </w:r>
    </w:p>
    <w:p w:rsidR="009D37E3" w:rsidRPr="00624F48" w:rsidRDefault="009D37E3" w:rsidP="001E295C">
      <w:pPr>
        <w:ind w:left="708"/>
        <w:rPr>
          <w:i/>
        </w:rPr>
      </w:pPr>
      <w:r w:rsidRPr="00624F48">
        <w:rPr>
          <w:i/>
        </w:rPr>
        <w:t xml:space="preserve">2. </w:t>
      </w:r>
      <w:r w:rsidRPr="00624F48">
        <w:rPr>
          <w:i/>
          <w:u w:val="single"/>
        </w:rPr>
        <w:t>No podrán limitar el derecho de un usuario a incorporar o utilizar cualquier clase de instrumentos, dispositivos o aparatos en la red, siempre que sean legales</w:t>
      </w:r>
      <w:r w:rsidRPr="00624F48">
        <w:rPr>
          <w:i/>
        </w:rPr>
        <w:t xml:space="preserve"> y que los mismos no dañen o perjudiquen la red o la calidad del servicio.</w:t>
      </w:r>
    </w:p>
    <w:p w:rsidR="009D37E3" w:rsidRPr="00624F48" w:rsidRDefault="009D37E3" w:rsidP="001E295C">
      <w:pPr>
        <w:ind w:left="708"/>
      </w:pPr>
      <w:r w:rsidRPr="00624F48">
        <w:rPr>
          <w:i/>
        </w:rPr>
        <w:t xml:space="preserve">6. Bloquearán el acceso a determinados contenidos, aplicaciones o servicios, </w:t>
      </w:r>
      <w:r w:rsidRPr="00624F48">
        <w:rPr>
          <w:i/>
          <w:u w:val="single"/>
        </w:rPr>
        <w:t xml:space="preserve">sólo </w:t>
      </w:r>
      <w:proofErr w:type="spellStart"/>
      <w:r w:rsidRPr="00624F48">
        <w:rPr>
          <w:i/>
          <w:u w:val="single"/>
        </w:rPr>
        <w:t>a</w:t>
      </w:r>
      <w:proofErr w:type="spellEnd"/>
      <w:r w:rsidRPr="00624F48">
        <w:rPr>
          <w:i/>
          <w:u w:val="single"/>
        </w:rPr>
        <w:t xml:space="preserve"> pedido expreso del usuario</w:t>
      </w:r>
      <w:r w:rsidRPr="00624F48">
        <w:rPr>
          <w:i/>
        </w:rPr>
        <w:t>.</w:t>
      </w:r>
      <w:r w:rsidRPr="00624F48">
        <w:t xml:space="preserve"> (Se subraya)</w:t>
      </w:r>
    </w:p>
    <w:p w:rsidR="009D37E3" w:rsidRPr="00624F48" w:rsidRDefault="009D37E3" w:rsidP="001E295C">
      <w:pPr>
        <w:pStyle w:val="pa20"/>
        <w:spacing w:before="240" w:beforeAutospacing="0" w:after="0" w:afterAutospacing="0" w:line="276" w:lineRule="auto"/>
        <w:rPr>
          <w:rStyle w:val="a0"/>
          <w:rFonts w:ascii="Garamond" w:hAnsi="Garamond"/>
          <w:sz w:val="26"/>
          <w:szCs w:val="26"/>
        </w:rPr>
      </w:pPr>
      <w:r w:rsidRPr="00624F48">
        <w:rPr>
          <w:rStyle w:val="a0"/>
          <w:rFonts w:ascii="Garamond" w:hAnsi="Garamond"/>
          <w:sz w:val="26"/>
          <w:szCs w:val="26"/>
        </w:rPr>
        <w:t>Ratificando lo previsto en el numeral 10.6 del Plan Vive Digital, el artículo 149 de la Ley del Plan se refiere a la conectividad en establecimientos educativos así:</w:t>
      </w:r>
    </w:p>
    <w:p w:rsidR="009D37E3" w:rsidRPr="00624F48" w:rsidRDefault="009D37E3" w:rsidP="001E295C">
      <w:pPr>
        <w:ind w:left="708"/>
      </w:pPr>
      <w:r w:rsidRPr="00624F48">
        <w:rPr>
          <w:rStyle w:val="a0"/>
          <w:i/>
        </w:rPr>
        <w:t xml:space="preserve">Artículo 149. </w:t>
      </w:r>
      <w:r w:rsidRPr="00624F48">
        <w:rPr>
          <w:rStyle w:val="a0"/>
          <w:i/>
          <w:iCs/>
        </w:rPr>
        <w:t>Conectividad en establecimientos educativos</w:t>
      </w:r>
      <w:r w:rsidRPr="00624F48">
        <w:rPr>
          <w:rStyle w:val="a0"/>
          <w:i/>
        </w:rPr>
        <w:t xml:space="preserve">. El Gobierno Nacional en cabeza del Ministerio de Educación Nacional y el Ministerio de Tecnologías de la Información y las Comunicaciones, promoverán el programa de Conexión total con el objeto de fortalecer las competencias de los estudiantes en el uso de las TIC </w:t>
      </w:r>
      <w:r w:rsidRPr="00624F48">
        <w:rPr>
          <w:rStyle w:val="a0"/>
          <w:i/>
          <w:u w:val="single"/>
        </w:rPr>
        <w:t>mediante la ampliación de la conectividad de los establecimientos educativos, la generación y uso de los contenidos educativos a través de la red y el mejoramiento de la cobertura, la calidad y la pertinencia de los procesos de formación</w:t>
      </w:r>
      <w:r w:rsidRPr="00624F48">
        <w:rPr>
          <w:rStyle w:val="a0"/>
          <w:i/>
        </w:rPr>
        <w:t>. Los operadores de esta conexión, podrán ser empresas de carácter público o privado de telecomunicaciones que acrediten la experiencia comprobada en el sector.</w:t>
      </w:r>
      <w:r w:rsidRPr="00624F48">
        <w:t xml:space="preserve"> (Se subraya)</w:t>
      </w:r>
    </w:p>
    <w:p w:rsidR="009D37E3" w:rsidRPr="00624F48" w:rsidRDefault="009D37E3" w:rsidP="001E295C">
      <w:pPr>
        <w:rPr>
          <w:rStyle w:val="a0"/>
        </w:rPr>
      </w:pPr>
      <w:r w:rsidRPr="00624F48">
        <w:rPr>
          <w:rStyle w:val="a0"/>
        </w:rPr>
        <w:t>Dentro de las aplicaciones como soluciones de demanda encontramos el Gobierno en Línea, que busca contribuir a un Estado más eficiente, transparente y participativo, que preste mejores servicios mediante el aprovechamiento de las TIC. En concordancia con lo anterior, los artículos 230 y 232 de la Ley del Plan disponen:</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bCs/>
          <w:i/>
          <w:sz w:val="26"/>
          <w:szCs w:val="26"/>
        </w:rPr>
        <w:t>Artículo 230.</w:t>
      </w:r>
      <w:r w:rsidRPr="00624F48">
        <w:rPr>
          <w:rStyle w:val="a0"/>
          <w:rFonts w:ascii="Garamond" w:hAnsi="Garamond"/>
          <w:b/>
          <w:bCs/>
          <w:i/>
          <w:sz w:val="26"/>
          <w:szCs w:val="26"/>
        </w:rPr>
        <w:t xml:space="preserve"> </w:t>
      </w:r>
      <w:r w:rsidRPr="00624F48">
        <w:rPr>
          <w:rStyle w:val="a0"/>
          <w:rFonts w:ascii="Garamond" w:hAnsi="Garamond"/>
          <w:i/>
          <w:iCs/>
          <w:sz w:val="26"/>
          <w:szCs w:val="26"/>
        </w:rPr>
        <w:t>Gobierno en Línea como Estrategia de Buen Gobierno</w:t>
      </w:r>
      <w:r w:rsidRPr="00624F48">
        <w:rPr>
          <w:rStyle w:val="a0"/>
          <w:rFonts w:ascii="Garamond" w:hAnsi="Garamond"/>
          <w:b/>
          <w:bCs/>
          <w:i/>
          <w:sz w:val="26"/>
          <w:szCs w:val="26"/>
        </w:rPr>
        <w:t xml:space="preserve">. </w:t>
      </w:r>
      <w:r w:rsidRPr="00624F48">
        <w:rPr>
          <w:rStyle w:val="a0"/>
          <w:rFonts w:ascii="Garamond" w:hAnsi="Garamond"/>
          <w:i/>
          <w:sz w:val="26"/>
          <w:szCs w:val="26"/>
          <w:u w:val="single"/>
        </w:rPr>
        <w:t>Todas las entidades de la administración pública deberán adelantar las acciones señaladas por el Gobierno Nacional a través del Ministerio de las Tecnologías de la Información y las Comunicaciones para la estrategia de Gobierno en Línea.</w:t>
      </w:r>
      <w:r w:rsidRPr="00624F48">
        <w:rPr>
          <w:rStyle w:val="a0"/>
          <w:rFonts w:ascii="Garamond" w:hAnsi="Garamond"/>
          <w:i/>
          <w:sz w:val="26"/>
          <w:szCs w:val="26"/>
        </w:rPr>
        <w:t xml:space="preserve"> </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Esta estrategia liderada por el Programa Gobierno en Línea contemplará como acciones prioritarias el cumplimiento de los criterios establecidos al respecto, así como, las acciones para implementar la política de cero papel, </w:t>
      </w:r>
      <w:r w:rsidRPr="00624F48">
        <w:rPr>
          <w:rStyle w:val="a0"/>
          <w:rFonts w:ascii="Garamond" w:hAnsi="Garamond"/>
          <w:i/>
          <w:sz w:val="26"/>
          <w:szCs w:val="26"/>
          <w:u w:val="single"/>
        </w:rPr>
        <w:t>estimular el desarrollo de servicios en línea del Gobierno por parte de terceros basados en datos públicos, la ampliación de la oferta de canales aprovechando tecnologías con altos niveles de penetración como telefonía móvil y televisión digital terrestre, la prestación de trámites y servicios en línea y el fomento a la participación y la democracia por medios electrónicos</w:t>
      </w:r>
      <w:r w:rsidRPr="00624F48">
        <w:rPr>
          <w:rStyle w:val="a0"/>
          <w:rFonts w:ascii="Garamond" w:hAnsi="Garamond"/>
          <w:i/>
          <w:sz w:val="26"/>
          <w:szCs w:val="26"/>
        </w:rPr>
        <w:t xml:space="preserve">. </w:t>
      </w:r>
    </w:p>
    <w:p w:rsidR="009D37E3" w:rsidRPr="00624F48" w:rsidRDefault="009D37E3" w:rsidP="001E295C">
      <w:pPr>
        <w:pStyle w:val="pa20"/>
        <w:spacing w:before="240" w:beforeAutospacing="0" w:after="0" w:afterAutospacing="0" w:line="276" w:lineRule="auto"/>
        <w:ind w:left="708"/>
        <w:rPr>
          <w:rFonts w:ascii="Garamond" w:hAnsi="Garamond"/>
          <w:sz w:val="26"/>
          <w:szCs w:val="26"/>
        </w:rPr>
      </w:pPr>
      <w:r w:rsidRPr="00624F48">
        <w:rPr>
          <w:rStyle w:val="a0"/>
          <w:rFonts w:ascii="Garamond" w:hAnsi="Garamond"/>
          <w:i/>
          <w:sz w:val="26"/>
          <w:szCs w:val="26"/>
        </w:rPr>
        <w:lastRenderedPageBreak/>
        <w:t xml:space="preserve">El Gobierno implementará mecanismos que permitan un monitoreo permanente sobre el uso, calidad, nivel de satisfacción e impacto de estas acciones. </w:t>
      </w:r>
      <w:r w:rsidRPr="00624F48">
        <w:rPr>
          <w:rStyle w:val="a0"/>
          <w:rFonts w:ascii="Garamond" w:hAnsi="Garamond"/>
          <w:sz w:val="26"/>
          <w:szCs w:val="26"/>
        </w:rPr>
        <w:t>(Se subraya)</w:t>
      </w:r>
    </w:p>
    <w:p w:rsidR="009D37E3" w:rsidRPr="00624F48" w:rsidRDefault="009D37E3" w:rsidP="001E295C">
      <w:pPr>
        <w:pStyle w:val="pa20"/>
        <w:spacing w:before="240" w:beforeAutospacing="0" w:after="0" w:afterAutospacing="0" w:line="276" w:lineRule="auto"/>
        <w:ind w:left="708"/>
        <w:rPr>
          <w:rFonts w:ascii="Garamond" w:hAnsi="Garamond"/>
          <w:i/>
          <w:sz w:val="26"/>
          <w:szCs w:val="26"/>
        </w:rPr>
      </w:pPr>
      <w:r w:rsidRPr="00624F48">
        <w:rPr>
          <w:rStyle w:val="a0"/>
          <w:rFonts w:ascii="Garamond" w:hAnsi="Garamond"/>
          <w:i/>
          <w:sz w:val="26"/>
          <w:szCs w:val="26"/>
        </w:rPr>
        <w:t xml:space="preserve">Artículo 232. </w:t>
      </w:r>
      <w:r w:rsidRPr="00624F48">
        <w:rPr>
          <w:rStyle w:val="a0"/>
          <w:rFonts w:ascii="Garamond" w:hAnsi="Garamond"/>
          <w:i/>
          <w:iCs/>
          <w:sz w:val="26"/>
          <w:szCs w:val="26"/>
        </w:rPr>
        <w:t xml:space="preserve">Racionalización de trámites y procedimientos al interior de las entidades públicas. </w:t>
      </w:r>
      <w:r w:rsidRPr="00624F48">
        <w:rPr>
          <w:rStyle w:val="a0"/>
          <w:rFonts w:ascii="Garamond" w:hAnsi="Garamond"/>
          <w:i/>
          <w:sz w:val="26"/>
          <w:szCs w:val="26"/>
        </w:rPr>
        <w:t xml:space="preserve">Los organismos y entidades de la Rama Ejecutiva del Orden Nacional y Territorial, procederán a identificar, racionalizar y simplificar los procesos, procedimientos, trámites y servicios internos, con el propósito de eliminar duplicidad de funciones y barreras que impidan la oportuna, eficiente y eficaz prestación del servicio en la gestión de las organizaciones. </w:t>
      </w:r>
    </w:p>
    <w:p w:rsidR="009D37E3" w:rsidRPr="00624F48" w:rsidRDefault="009D37E3" w:rsidP="001E295C">
      <w:pPr>
        <w:pStyle w:val="pa20"/>
        <w:spacing w:before="240" w:beforeAutospacing="0" w:after="0" w:afterAutospacing="0" w:line="276" w:lineRule="auto"/>
        <w:ind w:left="708"/>
        <w:rPr>
          <w:rFonts w:ascii="Garamond" w:hAnsi="Garamond"/>
          <w:sz w:val="26"/>
          <w:szCs w:val="26"/>
        </w:rPr>
      </w:pPr>
      <w:r w:rsidRPr="00624F48">
        <w:rPr>
          <w:rStyle w:val="a0"/>
          <w:rFonts w:ascii="Garamond" w:hAnsi="Garamond"/>
          <w:i/>
          <w:sz w:val="26"/>
          <w:szCs w:val="26"/>
          <w:u w:val="single"/>
        </w:rPr>
        <w:t>Para el efecto las entidades y organismos deberán utilizar tecnologías de información y comunicaciones e identificar qué procesos se pueden adelantar a través de mecanismos de servicios compartidos entre entidades, que logren economías de escala y sinergia en aspectos como la tecnología, la contratación, el archivo y las compras, entre otros. En el corto plazo los organismos y entidades deben prestar sus servicios a través de medios electrónicos, que permitan la reducción en la utilización de papel.</w:t>
      </w:r>
      <w:r w:rsidRPr="00624F48">
        <w:rPr>
          <w:rStyle w:val="a0"/>
          <w:rFonts w:ascii="Garamond" w:hAnsi="Garamond"/>
          <w:i/>
          <w:sz w:val="26"/>
          <w:szCs w:val="26"/>
        </w:rPr>
        <w:t xml:space="preserve"> </w:t>
      </w:r>
      <w:r w:rsidRPr="00624F48">
        <w:rPr>
          <w:rStyle w:val="a0"/>
          <w:rFonts w:ascii="Garamond" w:hAnsi="Garamond"/>
          <w:sz w:val="26"/>
          <w:szCs w:val="26"/>
        </w:rPr>
        <w:t>(Se subraya)</w:t>
      </w:r>
    </w:p>
    <w:p w:rsidR="009D37E3" w:rsidRDefault="009D37E3" w:rsidP="001E295C">
      <w:pPr>
        <w:pStyle w:val="Ttulo2"/>
        <w:numPr>
          <w:ilvl w:val="1"/>
          <w:numId w:val="2"/>
        </w:numPr>
        <w:tabs>
          <w:tab w:val="clear" w:pos="718"/>
          <w:tab w:val="num" w:pos="567"/>
        </w:tabs>
        <w:spacing w:after="0"/>
        <w:ind w:left="567"/>
      </w:pPr>
      <w:bookmarkStart w:id="126" w:name="_Toc405992307"/>
      <w:r w:rsidRPr="00624F48">
        <w:t>Normas que han desarrollado los objetivos del Plan Vive Digital</w:t>
      </w:r>
      <w:bookmarkEnd w:id="126"/>
    </w:p>
    <w:p w:rsidR="009D37E3" w:rsidRPr="00513C63" w:rsidRDefault="009D37E3" w:rsidP="001E295C">
      <w:pPr>
        <w:pStyle w:val="Ttulo3"/>
        <w:numPr>
          <w:ilvl w:val="2"/>
          <w:numId w:val="2"/>
        </w:numPr>
        <w:rPr>
          <w:sz w:val="26"/>
          <w:szCs w:val="26"/>
        </w:rPr>
      </w:pPr>
      <w:r w:rsidRPr="00513C63">
        <w:rPr>
          <w:sz w:val="26"/>
          <w:szCs w:val="26"/>
        </w:rPr>
        <w:t>Soluciones de oferta - Capítulo 8 Plan Vive Digital</w:t>
      </w:r>
    </w:p>
    <w:p w:rsidR="009D37E3" w:rsidRPr="001D630D" w:rsidRDefault="009D37E3" w:rsidP="001E295C">
      <w:r w:rsidRPr="001D630D">
        <w:t xml:space="preserve">El capítulo 8 del Plan Vive Digital plantea una serie de iniciativas para estimular la oferta del Ecosistema Digital del país. Las iniciativas promueven el desarrollo de infraestructura y servicios, por lo que el capítulo se divide en éstos dos. </w:t>
      </w:r>
    </w:p>
    <w:p w:rsidR="009D37E3" w:rsidRPr="001D630D" w:rsidRDefault="009D37E3" w:rsidP="001E295C">
      <w:r w:rsidRPr="001D630D">
        <w:t xml:space="preserve">En cada numeral se describirán los avances normativos que se han proferido para el desarrollo del objetivo primordial propuesto por el Plan Vive Digital. </w:t>
      </w:r>
    </w:p>
    <w:p w:rsidR="009D37E3" w:rsidRDefault="009D37E3" w:rsidP="001E295C">
      <w:pPr>
        <w:pStyle w:val="Prrafodelista3"/>
        <w:numPr>
          <w:ilvl w:val="0"/>
          <w:numId w:val="11"/>
        </w:numPr>
        <w:outlineLvl w:val="2"/>
        <w:rPr>
          <w:rFonts w:ascii="Century Gothic" w:hAnsi="Century Gothic"/>
          <w:bCs/>
          <w:color w:val="404040"/>
          <w:lang w:eastAsia="es-ES"/>
        </w:rPr>
      </w:pPr>
      <w:r w:rsidRPr="00624F48">
        <w:rPr>
          <w:rFonts w:ascii="Century Gothic" w:hAnsi="Century Gothic"/>
          <w:bCs/>
          <w:color w:val="404040"/>
          <w:lang w:eastAsia="es-ES"/>
        </w:rPr>
        <w:t>Infraestructura</w:t>
      </w:r>
    </w:p>
    <w:p w:rsidR="009D37E3" w:rsidRPr="00CD4DFE" w:rsidRDefault="009D37E3" w:rsidP="001E295C">
      <w:pPr>
        <w:pStyle w:val="Prrafodelista3"/>
        <w:ind w:left="0"/>
        <w:rPr>
          <w:smallCaps/>
        </w:rPr>
      </w:pPr>
      <w:r w:rsidRPr="00CD4DFE">
        <w:t>El despliegue de infraestructura es fundamental orar el desarrollo de las TIC. Por ello se promueve el mejoramiento de ésta, con el fin de lograr la prestación de un mayor número de servicios tecnológicos en todo el territorio nacional.</w:t>
      </w:r>
    </w:p>
    <w:p w:rsidR="009D37E3" w:rsidRPr="00CD4DFE" w:rsidRDefault="009D37E3" w:rsidP="001E295C">
      <w:pPr>
        <w:pStyle w:val="Prrafodelista3"/>
        <w:numPr>
          <w:ilvl w:val="0"/>
          <w:numId w:val="14"/>
        </w:numPr>
        <w:rPr>
          <w:b/>
          <w:smallCaps/>
        </w:rPr>
      </w:pPr>
      <w:r w:rsidRPr="00624F48">
        <w:t xml:space="preserve">Numeral 8.1.1 </w:t>
      </w:r>
      <w:r>
        <w:t xml:space="preserve">- </w:t>
      </w:r>
      <w:r w:rsidRPr="00624F48">
        <w:t xml:space="preserve">Expansión de la Red Nacional de Fibra Óptica. </w:t>
      </w:r>
    </w:p>
    <w:p w:rsidR="009D37E3" w:rsidRPr="001D630D" w:rsidRDefault="009D37E3" w:rsidP="001E295C">
      <w:r w:rsidRPr="001D630D">
        <w:t xml:space="preserve">Mediante la Licitación Publica 002 de 2011 el </w:t>
      </w:r>
      <w:r w:rsidR="000D499F" w:rsidRPr="000D499F">
        <w:rPr>
          <w:rFonts w:eastAsia="Times New Roman" w:cs="Times New Roman"/>
        </w:rPr>
        <w:t>MINTIC</w:t>
      </w:r>
      <w:r w:rsidR="000D499F" w:rsidRPr="00624F48">
        <w:t xml:space="preserve"> </w:t>
      </w:r>
      <w:r w:rsidRPr="001D630D">
        <w:t>adjudicó el Proyecto Nacional de Fibra Óptica, en el que Azteca Comunicaciones Colombia, presentó el mayor número de municipios a interconectar, logrando así la mayor eficiencia en la ejecución de los recursos públicos y la mayor cobertura posible.</w:t>
      </w:r>
    </w:p>
    <w:p w:rsidR="009D37E3" w:rsidRPr="00CD4DFE" w:rsidRDefault="009D37E3" w:rsidP="001E295C">
      <w:pPr>
        <w:pStyle w:val="Prrafodelista3"/>
        <w:numPr>
          <w:ilvl w:val="0"/>
          <w:numId w:val="14"/>
        </w:numPr>
      </w:pPr>
      <w:r>
        <w:lastRenderedPageBreak/>
        <w:t>Numeral 8.1.2 -</w:t>
      </w:r>
      <w:r w:rsidRPr="00624F48">
        <w:t xml:space="preserve"> Asignación de espectro para IMT. </w:t>
      </w:r>
    </w:p>
    <w:p w:rsidR="009D37E3" w:rsidRPr="001D630D" w:rsidRDefault="009D37E3" w:rsidP="001E295C">
      <w:r w:rsidRPr="001D630D">
        <w:t>Mediante Resolución 449 de 2013 “</w:t>
      </w:r>
      <w:r w:rsidRPr="001D630D">
        <w:rPr>
          <w:i/>
        </w:rPr>
        <w:t>por la cual se establecen los requisitos y el procedimiento para otorgar permisos para el uso de hasta 225 MHz de espectro radioeléctrico en las bandas de 1850 MHz a 1.990 MHz, 1710 MHz a 1755 MHz pareada con 2110 MHz A 2155 MHz y 2500 MHz a 2690 MHz para la operación y prestación del servicio móvil terrestre</w:t>
      </w:r>
      <w:r w:rsidRPr="001D630D">
        <w:t xml:space="preserve">” el Ministerio dio inicio al proceso de subasta de bandas de espectro para IMT. Con ocasión de la subasta se asignaron frecuencias a seis operadores. </w:t>
      </w:r>
    </w:p>
    <w:p w:rsidR="009D37E3" w:rsidRPr="00CD4DFE" w:rsidRDefault="009D37E3" w:rsidP="001E295C">
      <w:pPr>
        <w:pStyle w:val="Prrafodelista3"/>
        <w:numPr>
          <w:ilvl w:val="0"/>
          <w:numId w:val="14"/>
        </w:numPr>
      </w:pPr>
      <w:r w:rsidRPr="00624F48">
        <w:t>Numeral 8.1.5 Estándares de infraestructura de telecomunicaciones en hogares.</w:t>
      </w:r>
    </w:p>
    <w:p w:rsidR="009D37E3" w:rsidRPr="001D630D" w:rsidRDefault="009D37E3" w:rsidP="001E295C">
      <w:r w:rsidRPr="001D630D">
        <w:t xml:space="preserve">Una de las dificultades identificada por el Plan Vive Digital para </w:t>
      </w:r>
      <w:r>
        <w:t>la</w:t>
      </w:r>
      <w:r w:rsidRPr="001D630D">
        <w:t xml:space="preserve"> masificación de Internet, fue la falta de estandarización y normatividad que facilite el despliegue de infraestructura al interior de edificaciones y viviendas.</w:t>
      </w:r>
    </w:p>
    <w:p w:rsidR="009D37E3" w:rsidRDefault="009D37E3" w:rsidP="001E295C">
      <w:pPr>
        <w:rPr>
          <w:rFonts w:cs="Arial"/>
        </w:rPr>
      </w:pPr>
      <w:r>
        <w:t>En respuesta a la dificultad referida, m</w:t>
      </w:r>
      <w:r w:rsidRPr="001D630D">
        <w:t xml:space="preserve">ediante </w:t>
      </w:r>
      <w:r w:rsidRPr="007C05C3">
        <w:t>Resolución 4262 de 2013</w:t>
      </w:r>
      <w:r>
        <w:t>, la</w:t>
      </w:r>
      <w:r w:rsidRPr="001D630D">
        <w:t xml:space="preserve"> Comisión de Regulación de Comunicaciones expidió  </w:t>
      </w:r>
      <w:r w:rsidRPr="001D630D">
        <w:rPr>
          <w:rFonts w:cs="Arial"/>
        </w:rPr>
        <w:t xml:space="preserve">el Reglamento Técnico para Redes Internas de Telecomunicaciones -RITEL-, que establece las medidas relacionadas con el diseño, construcción y </w:t>
      </w:r>
      <w:r w:rsidRPr="001D630D">
        <w:t xml:space="preserve">puesta </w:t>
      </w:r>
      <w:r w:rsidRPr="001D630D">
        <w:rPr>
          <w:rFonts w:cs="Arial"/>
        </w:rPr>
        <w:t xml:space="preserve">en servicio de las redes internas de telecomunicaciones en la República de Colombia. </w:t>
      </w:r>
    </w:p>
    <w:p w:rsidR="009D37E3" w:rsidRDefault="009D37E3" w:rsidP="001E295C">
      <w:pPr>
        <w:rPr>
          <w:rFonts w:cs="Arial"/>
        </w:rPr>
      </w:pPr>
      <w:r>
        <w:rPr>
          <w:rFonts w:cs="Arial"/>
        </w:rPr>
        <w:t>El RITEL aplica a todos los inmuebles que soliciten licencia de construcción como obra nueva, que se encuentren sometidos al régimen de copropiedad o propiedad horizontal establecido en Colombia. Igualmente aplica a los PRST, operadores de televisión, constructoras de inmuebles, comunidades de copropietarios y a fabricantes, distribuidores y comercializadores de los elementos utilizados para la construcción de redes internas de telecomunicaciones al interior de los inmuebles.</w:t>
      </w:r>
    </w:p>
    <w:p w:rsidR="009D37E3" w:rsidRDefault="009D37E3" w:rsidP="001E295C">
      <w:pPr>
        <w:rPr>
          <w:rFonts w:cs="Arial"/>
        </w:rPr>
      </w:pPr>
      <w:r>
        <w:rPr>
          <w:rFonts w:cs="Arial"/>
        </w:rPr>
        <w:t>Con él se busca estandarizar las reglas técnicas de las redes de telecomunicaciones al interior de edificios, adoptando las recomendaciones internacionales en la materia.</w:t>
      </w:r>
    </w:p>
    <w:p w:rsidR="009D37E3" w:rsidRPr="001D630D" w:rsidRDefault="009D37E3" w:rsidP="001E295C">
      <w:r w:rsidRPr="001D630D">
        <w:rPr>
          <w:bCs/>
        </w:rPr>
        <w:t xml:space="preserve">Por medio de la Resolución </w:t>
      </w:r>
      <w:r w:rsidRPr="001D630D">
        <w:t xml:space="preserve">3499 de 2011, la Comisión de Regulación de Comunicaciones expidió </w:t>
      </w:r>
      <w:r>
        <w:t xml:space="preserve">las condiciones </w:t>
      </w:r>
      <w:r w:rsidRPr="001D630D">
        <w:t>de acceso y uso</w:t>
      </w:r>
      <w:r>
        <w:t xml:space="preserve"> por parte de los PRST a las redes de telecomunicaciones</w:t>
      </w:r>
      <w:r w:rsidRPr="001D630D">
        <w:t xml:space="preserve"> </w:t>
      </w:r>
      <w:r>
        <w:t>ubicadas en los bienes inmuebles</w:t>
      </w:r>
      <w:r w:rsidRPr="001D630D">
        <w:t>.</w:t>
      </w:r>
    </w:p>
    <w:p w:rsidR="009D37E3" w:rsidRDefault="009D37E3" w:rsidP="001E295C">
      <w:pPr>
        <w:rPr>
          <w:rFonts w:cs="Arial"/>
        </w:rPr>
      </w:pPr>
      <w:r>
        <w:rPr>
          <w:rFonts w:cs="Arial"/>
        </w:rPr>
        <w:t>La norma establece el derecho a favor de los PRST de acceder a las redes internas de telecomunicaciones, siempre y cuando ello sea técnicamente viable. Para ello establece principios, obligaciones y demás condiciones conforme a los cuales, los PRST podrán acceder a las redes internas, con el fin de prestar servicios de telecomunicaciones.</w:t>
      </w:r>
    </w:p>
    <w:p w:rsidR="009D37E3" w:rsidRPr="00CD4DFE" w:rsidRDefault="009D37E3" w:rsidP="001E295C">
      <w:pPr>
        <w:pStyle w:val="Prrafodelista3"/>
        <w:numPr>
          <w:ilvl w:val="0"/>
          <w:numId w:val="14"/>
        </w:numPr>
      </w:pPr>
      <w:r w:rsidRPr="00624F48">
        <w:t>Numeral 8.1.6 Facilitación del d</w:t>
      </w:r>
      <w:r>
        <w:t xml:space="preserve">espliegue de infraestructura de </w:t>
      </w:r>
      <w:r w:rsidRPr="00624F48">
        <w:t xml:space="preserve">telecomunicaciones. </w:t>
      </w:r>
    </w:p>
    <w:p w:rsidR="009D37E3" w:rsidRPr="001D630D" w:rsidRDefault="009D37E3" w:rsidP="001E295C">
      <w:pPr>
        <w:rPr>
          <w:i/>
        </w:rPr>
      </w:pPr>
      <w:r w:rsidRPr="001D630D">
        <w:lastRenderedPageBreak/>
        <w:t>Mediante la Circular 108 de 2013 referente a los lineamientos tendientes a promover el despliegue de la infraestructura de telecomunicaciones, la Comisión de Regulación de Comunicaciones adoptó el código de buenas prácticas, el cual propone los lineamientos que deben ser considerados para la ubicación e instalación de las estaciones radioeléctricas y su infraestructura asociada.</w:t>
      </w:r>
      <w:r w:rsidRPr="001D630D">
        <w:rPr>
          <w:i/>
        </w:rPr>
        <w:t xml:space="preserve"> </w:t>
      </w:r>
    </w:p>
    <w:p w:rsidR="009D37E3" w:rsidRPr="001D630D" w:rsidRDefault="009D37E3" w:rsidP="001E295C">
      <w:r w:rsidRPr="001D630D">
        <w:t>El código de buenas prácticas ayudará a impulsar el despliegue de infraestructura de telecomunicaciones en todas las zonas del país al brindar un punto común de análisis entre los proveedores de Redes y Servicios de Telecomunicaciones y las autoridades municipales.</w:t>
      </w:r>
    </w:p>
    <w:p w:rsidR="009D37E3" w:rsidRDefault="009D37E3" w:rsidP="001E295C">
      <w:pPr>
        <w:rPr>
          <w:bCs/>
        </w:rPr>
      </w:pPr>
      <w:r w:rsidRPr="008E6360">
        <w:t xml:space="preserve">Mediante Decreto 412 </w:t>
      </w:r>
      <w:r w:rsidRPr="008E6360">
        <w:rPr>
          <w:iCs/>
          <w:color w:val="000000"/>
        </w:rPr>
        <w:t xml:space="preserve">de 2010, la Alcaldía Mayor de Bogotá, reglamentó el </w:t>
      </w:r>
      <w:r w:rsidRPr="008E6360">
        <w:rPr>
          <w:bCs/>
        </w:rPr>
        <w:t>Decreto Distrital 317 de 2006 -Plan Maestro de</w:t>
      </w:r>
      <w:r w:rsidRPr="001D630D">
        <w:rPr>
          <w:bCs/>
        </w:rPr>
        <w:t xml:space="preserve"> Telecomunicaciones-. Para el efecto adoptó las normas urbanísticas y arquitectónicas para el registro e instalación de la infraestructura y la regularización y construcción de los equipamientos del Sistema de Telefonía Básica Conmutada, en el Distrito Capital.</w:t>
      </w:r>
    </w:p>
    <w:p w:rsidR="009D37E3" w:rsidRDefault="009D37E3" w:rsidP="001E295C">
      <w:pPr>
        <w:rPr>
          <w:bCs/>
        </w:rPr>
      </w:pPr>
      <w:r>
        <w:rPr>
          <w:bCs/>
        </w:rPr>
        <w:t>El Decreto 412 ordena a las empresas prestadoras del servicio público de telefonía básica conmutada, presentar ante la Secretaría Distrital de Planeación, un plan de acción relacionado con las actividades necesarias para la instalación de infraestructura y la construcción de equipamiento. Lo anterior con el fin de que los planes se desarrollen en coordinación con la Secretaría.</w:t>
      </w:r>
    </w:p>
    <w:p w:rsidR="009D37E3" w:rsidRDefault="009D37E3" w:rsidP="001E295C">
      <w:pPr>
        <w:rPr>
          <w:bCs/>
        </w:rPr>
      </w:pPr>
      <w:r>
        <w:rPr>
          <w:bCs/>
        </w:rPr>
        <w:t>De igual manera, el Decreto establece las normas que deberán seguir los operadores de Telefonía Básica Conmutada para la construcción de equipamientos y la instalación de infraestructura.</w:t>
      </w:r>
    </w:p>
    <w:p w:rsidR="009D37E3" w:rsidRDefault="009D37E3" w:rsidP="001E295C">
      <w:r>
        <w:t xml:space="preserve">Mediante la </w:t>
      </w:r>
      <w:r w:rsidRPr="001D630D">
        <w:t>Resolución 4245 de 2013 “</w:t>
      </w:r>
      <w:r w:rsidRPr="001D630D">
        <w:rPr>
          <w:i/>
          <w:iCs/>
        </w:rPr>
        <w:t xml:space="preserve">Por medio de la cual se definen condiciones de acceso, uso y remuneración para la utilización de la infraestructura del sector de energía eléctrica en la prestación de servicios de comunicaciones y/o televisión, y se dictan otras </w:t>
      </w:r>
      <w:r>
        <w:rPr>
          <w:i/>
          <w:iCs/>
        </w:rPr>
        <w:t>disposiciones”</w:t>
      </w:r>
      <w:r>
        <w:rPr>
          <w:iCs/>
        </w:rPr>
        <w:t xml:space="preserve">, </w:t>
      </w:r>
      <w:r w:rsidRPr="001D630D">
        <w:t>la Comisión de Regulación de Comunicaciones</w:t>
      </w:r>
      <w:r>
        <w:t xml:space="preserve"> definió las condiciones de acceso, uso y remuneración de la infraestructura de energía eléctrica susceptible de ser compartida para el despliegue de infraestructura de telecomunicaciones. </w:t>
      </w:r>
    </w:p>
    <w:p w:rsidR="009D37E3" w:rsidRDefault="009D37E3" w:rsidP="001E295C">
      <w:r>
        <w:t>La Resolución 4245 propende por una utilización más eficiente de la infraestructura ya desplegada por el servicio público de energía, con el fin de optimizar los recursos y lograr una mayor cobertura en materia de telecomunicaciones. La Resolución se expidió en desarrollo de la iniciativa del Plan Vive Digital conforme a la cual se debe:</w:t>
      </w:r>
    </w:p>
    <w:p w:rsidR="009D37E3" w:rsidRPr="002A4D95" w:rsidRDefault="009D37E3" w:rsidP="001E295C">
      <w:pPr>
        <w:ind w:left="705"/>
        <w:rPr>
          <w:i/>
        </w:rPr>
      </w:pPr>
      <w:r w:rsidRPr="002A4D95">
        <w:rPr>
          <w:i/>
        </w:rPr>
        <w:lastRenderedPageBreak/>
        <w:t>Ajustar la normatividad territorial para permitir el uso de vías, postes y ductos para la infraestructura de telecomunicaciones.</w:t>
      </w:r>
    </w:p>
    <w:p w:rsidR="009D37E3" w:rsidRPr="00CD4DFE" w:rsidRDefault="009D37E3" w:rsidP="001E295C">
      <w:pPr>
        <w:pStyle w:val="Prrafodelista3"/>
        <w:numPr>
          <w:ilvl w:val="0"/>
          <w:numId w:val="14"/>
        </w:numPr>
      </w:pPr>
      <w:r w:rsidRPr="00624F48">
        <w:t>Numeral 8.1.7 Universalización del acceso al servicio de televisión pública.</w:t>
      </w:r>
    </w:p>
    <w:p w:rsidR="009D37E3" w:rsidRPr="00370096" w:rsidRDefault="009D37E3" w:rsidP="001E295C">
      <w:pPr>
        <w:rPr>
          <w:i/>
        </w:rPr>
      </w:pPr>
      <w:r w:rsidRPr="00370096">
        <w:t xml:space="preserve">Acuerdo 8 de 2010 de la Comisión Nacional de Televisión </w:t>
      </w:r>
      <w:r w:rsidRPr="00370096">
        <w:rPr>
          <w:i/>
        </w:rPr>
        <w:t>“Por el cual se adopta para Colombia el estándar de televisión digital terrestre DVB-T y se establecen las condiciones generales para su implementación.”</w:t>
      </w:r>
    </w:p>
    <w:p w:rsidR="009D37E3" w:rsidRPr="00370096" w:rsidRDefault="009D37E3" w:rsidP="001E295C">
      <w:pPr>
        <w:rPr>
          <w:i/>
        </w:rPr>
      </w:pPr>
      <w:r w:rsidRPr="00370096">
        <w:t>Acuerdo 4 de 2011 de la Comisión Nacional de Televisión “</w:t>
      </w:r>
      <w:r w:rsidRPr="00370096">
        <w:rPr>
          <w:i/>
        </w:rPr>
        <w:t>por el cual se modifican los artículos 1 y 7 del Acuerdo 8 de 2010 y se actualiza el estándar para televisión digital terrestre en Colombia”</w:t>
      </w:r>
    </w:p>
    <w:p w:rsidR="009D37E3" w:rsidRPr="00370096" w:rsidRDefault="009D37E3" w:rsidP="001E295C">
      <w:pPr>
        <w:rPr>
          <w:i/>
        </w:rPr>
      </w:pPr>
      <w:r w:rsidRPr="00370096">
        <w:t>Acuerdo 002 de 2012 de la Comisión Nacional de Televisión “</w:t>
      </w:r>
      <w:r w:rsidRPr="00370096">
        <w:rPr>
          <w:i/>
        </w:rPr>
        <w:t>por medio de la cual se establece y reglamenta la prestación del servicio público de televisión abierta radiodifundida digital terrestre –TDT-.”</w:t>
      </w:r>
    </w:p>
    <w:p w:rsidR="009D37E3" w:rsidRPr="00370096" w:rsidRDefault="009D37E3" w:rsidP="001E295C">
      <w:pPr>
        <w:rPr>
          <w:i/>
        </w:rPr>
      </w:pPr>
      <w:r w:rsidRPr="00370096">
        <w:t xml:space="preserve">Resolución 4047 de 2012 de la Comisión de Regulación de Comunicaciones </w:t>
      </w:r>
      <w:r w:rsidRPr="00370096">
        <w:rPr>
          <w:i/>
        </w:rPr>
        <w:t>“Por la cual se establecen especificaciones técnicas aplicables a la red y a los receptores del servicio de Televisión Digital Terrestre - TDT- en Colombia”</w:t>
      </w:r>
    </w:p>
    <w:p w:rsidR="009D37E3" w:rsidRDefault="009D37E3" w:rsidP="001E295C">
      <w:r w:rsidRPr="00370096">
        <w:t xml:space="preserve">Resolución 759 de 2013 de la Autoridad Nacional de Televisión </w:t>
      </w:r>
      <w:r w:rsidRPr="00370096">
        <w:rPr>
          <w:i/>
        </w:rPr>
        <w:t>“por la cual se adopta el procedimiento de asignación de frecuencias radioeléctricas para la prestación del servicio de televisión radiodifundida”</w:t>
      </w:r>
      <w:r w:rsidRPr="00370096">
        <w:t>.</w:t>
      </w:r>
    </w:p>
    <w:p w:rsidR="009D37E3" w:rsidRDefault="009D37E3" w:rsidP="001E295C">
      <w:pPr>
        <w:pStyle w:val="Prrafodelista3"/>
        <w:numPr>
          <w:ilvl w:val="0"/>
          <w:numId w:val="14"/>
        </w:numPr>
      </w:pPr>
      <w:r w:rsidRPr="00624F48">
        <w:t xml:space="preserve">Numeral 8.1.9 Red de telecomunicaciones para prevención y atención de desastres. </w:t>
      </w:r>
    </w:p>
    <w:p w:rsidR="009D37E3" w:rsidRDefault="009D37E3" w:rsidP="001E295C">
      <w:pPr>
        <w:pStyle w:val="Prrafodelista3"/>
        <w:ind w:left="0"/>
      </w:pPr>
      <w:r>
        <w:t xml:space="preserve">La iniciativa propuesta en el Plan Vive Digital pretende robustecer y modernizar el sistema de telecomunicaciones para la prevención y atención de desastres. </w:t>
      </w:r>
    </w:p>
    <w:p w:rsidR="009D37E3" w:rsidRDefault="009D37E3" w:rsidP="001E295C">
      <w:r>
        <w:rPr>
          <w:rFonts w:cs="ArialMT"/>
        </w:rPr>
        <w:t>En claro desarrollo de lo anterior, m</w:t>
      </w:r>
      <w:r w:rsidRPr="00627C5C">
        <w:rPr>
          <w:rFonts w:cs="ArialMT"/>
        </w:rPr>
        <w:t>ediante Resolución 13 de 2010 “</w:t>
      </w:r>
      <w:r w:rsidRPr="00627C5C">
        <w:rPr>
          <w:rFonts w:cs="ArialMT"/>
          <w:i/>
        </w:rPr>
        <w:t>p</w:t>
      </w:r>
      <w:r w:rsidRPr="00627C5C">
        <w:rPr>
          <w:i/>
          <w:iCs/>
        </w:rPr>
        <w:t>or la cual se dictan medidas en materia de comunicaciones para la prevención y mitigación de emergencias, relacionadas con la declaratoria de desastre por incendio forestal efectuada mediante Decreto 0023 de 2010”</w:t>
      </w:r>
      <w:r w:rsidRPr="00627C5C">
        <w:rPr>
          <w:iCs/>
        </w:rPr>
        <w:t xml:space="preserve">, el Ministerio estableció la obligación a cargo de los </w:t>
      </w:r>
      <w:r w:rsidRPr="00627C5C">
        <w:t>concesionarios de radiodifusión sonora y los proveedores</w:t>
      </w:r>
      <w:r>
        <w:t xml:space="preserve"> de servicios de telecomunicaciones -entre ellos telefonía móvil y de acceso </w:t>
      </w:r>
      <w:proofErr w:type="spellStart"/>
      <w:r>
        <w:t>troncalizado</w:t>
      </w:r>
      <w:proofErr w:type="spellEnd"/>
      <w:r>
        <w:t>- de transmitir de manera gratuita y oportuna mensajes y campañas que las autoridades consideren pertinentes para conocimiento y alerta pública, como la declaratoria de desastre provocada por los incendios forestales.</w:t>
      </w:r>
    </w:p>
    <w:p w:rsidR="009D37E3" w:rsidRPr="00624F48" w:rsidRDefault="009D37E3" w:rsidP="001E295C">
      <w:pPr>
        <w:pStyle w:val="Prrafodelista3"/>
        <w:numPr>
          <w:ilvl w:val="0"/>
          <w:numId w:val="11"/>
        </w:numPr>
        <w:outlineLvl w:val="2"/>
        <w:rPr>
          <w:rFonts w:ascii="Century Gothic" w:hAnsi="Century Gothic"/>
          <w:bCs/>
          <w:color w:val="404040"/>
          <w:lang w:eastAsia="es-ES"/>
        </w:rPr>
      </w:pPr>
      <w:r w:rsidRPr="00624F48">
        <w:rPr>
          <w:rFonts w:ascii="Century Gothic" w:hAnsi="Century Gothic"/>
          <w:bCs/>
          <w:color w:val="404040"/>
          <w:lang w:eastAsia="es-ES"/>
        </w:rPr>
        <w:t>Servicios</w:t>
      </w:r>
    </w:p>
    <w:p w:rsidR="009D37E3" w:rsidRDefault="009D37E3" w:rsidP="001E295C">
      <w:pPr>
        <w:pStyle w:val="Prrafodelista3"/>
        <w:ind w:left="0"/>
      </w:pPr>
      <w:r>
        <w:lastRenderedPageBreak/>
        <w:t>El Plan Vive Digital propone una serie de iniciativas con el fin de mejorar la asequibilidad a los servicios de telecomunicaciones y a los terminales necesarios para usarlos. Así mismo busca mitigar el impacto ambiental de los terminales que han terminado su vida útil.</w:t>
      </w:r>
    </w:p>
    <w:p w:rsidR="009D37E3" w:rsidRPr="00CD4DFE" w:rsidRDefault="009D37E3" w:rsidP="001E295C">
      <w:pPr>
        <w:pStyle w:val="Prrafodelista3"/>
        <w:numPr>
          <w:ilvl w:val="0"/>
          <w:numId w:val="14"/>
        </w:numPr>
      </w:pPr>
      <w:r w:rsidRPr="00624F48">
        <w:t xml:space="preserve">Numeral 8.2.1 Reducción de IVA para Internet. </w:t>
      </w:r>
    </w:p>
    <w:p w:rsidR="009D37E3" w:rsidRDefault="009D37E3" w:rsidP="001E295C">
      <w:r>
        <w:t>Las encuestas realizadas para la elaboración del Plan Vive Digital revelaron que uno de los principales motivos por los cuales las familias no contratan el servicio de Internet es el alto costo del servicio respecto de los ingresos de los habitantes.</w:t>
      </w:r>
    </w:p>
    <w:p w:rsidR="009D37E3" w:rsidRPr="001D630D" w:rsidRDefault="009D37E3" w:rsidP="001E295C">
      <w:pPr>
        <w:rPr>
          <w:b/>
        </w:rPr>
      </w:pPr>
      <w:r>
        <w:t xml:space="preserve">Con el fin de disminuir el costo del servicio y así hacerlos </w:t>
      </w:r>
      <w:proofErr w:type="spellStart"/>
      <w:r>
        <w:t>mas</w:t>
      </w:r>
      <w:proofErr w:type="spellEnd"/>
      <w:r>
        <w:t xml:space="preserve"> asequible a la población de más bajos recursos, la L</w:t>
      </w:r>
      <w:r w:rsidRPr="001D630D">
        <w:t>ey 1607 de 2012</w:t>
      </w:r>
      <w:r>
        <w:t>,</w:t>
      </w:r>
      <w:r w:rsidRPr="001D630D">
        <w:t xml:space="preserve"> a través de la cual s</w:t>
      </w:r>
      <w:r>
        <w:t>e expidió la reforma tributaria, crea una exención del impuesto sobre las ventas para l</w:t>
      </w:r>
      <w:r w:rsidRPr="001D630D">
        <w:t>os servicios de conexión y acceso a Internet desde redes fijas de los suscriptores residenciales de los estratos 1 y 2</w:t>
      </w:r>
      <w:r>
        <w:t xml:space="preserve">. </w:t>
      </w:r>
    </w:p>
    <w:p w:rsidR="009D37E3" w:rsidRPr="00CD4DFE" w:rsidRDefault="009D37E3" w:rsidP="001E295C">
      <w:pPr>
        <w:pStyle w:val="Prrafodelista3"/>
        <w:numPr>
          <w:ilvl w:val="0"/>
          <w:numId w:val="14"/>
        </w:numPr>
      </w:pPr>
      <w:r w:rsidRPr="00624F48">
        <w:t xml:space="preserve">Numeral 8.2.3 Esquema de subsidios a Internet para estratos 1 y 2 </w:t>
      </w:r>
    </w:p>
    <w:p w:rsidR="009D37E3" w:rsidRDefault="009D37E3" w:rsidP="001E295C">
      <w:r>
        <w:t xml:space="preserve">El Plan Vive Digital propone </w:t>
      </w:r>
      <w:proofErr w:type="spellStart"/>
      <w:r>
        <w:t>redireccionar</w:t>
      </w:r>
      <w:proofErr w:type="spellEnd"/>
      <w:r>
        <w:t xml:space="preserve"> los servicios que se otorgaban a telefonía fija para estratos 1 y 2 al servicio de Internet de banda ancha fija en los mismos estratos. </w:t>
      </w:r>
    </w:p>
    <w:p w:rsidR="009D37E3" w:rsidRPr="001D630D" w:rsidRDefault="009D37E3" w:rsidP="001E295C">
      <w:r>
        <w:t xml:space="preserve">Mediante la </w:t>
      </w:r>
      <w:r w:rsidRPr="001D630D">
        <w:t>Resolución 299 de 2010</w:t>
      </w:r>
      <w:r>
        <w:t>, e</w:t>
      </w:r>
      <w:r w:rsidRPr="001D630D">
        <w:t xml:space="preserve">l </w:t>
      </w:r>
      <w:r w:rsidR="000D499F" w:rsidRPr="000D499F">
        <w:rPr>
          <w:rFonts w:eastAsia="Times New Roman" w:cs="Times New Roman"/>
        </w:rPr>
        <w:t>MINTIC</w:t>
      </w:r>
      <w:r w:rsidR="000D499F" w:rsidRPr="00624F48">
        <w:t xml:space="preserve"> </w:t>
      </w:r>
      <w:r>
        <w:t xml:space="preserve">fijó los lineamientos generales del primer proyecto de masificación de accesos de banda ancha en estratos 1 y 2 sobre redes de TPBCL y TPBCLE. </w:t>
      </w:r>
    </w:p>
    <w:p w:rsidR="009D37E3" w:rsidRDefault="009D37E3" w:rsidP="001E295C">
      <w:pPr>
        <w:rPr>
          <w:iCs/>
        </w:rPr>
      </w:pPr>
      <w:r>
        <w:t xml:space="preserve">Mediante la </w:t>
      </w:r>
      <w:r w:rsidRPr="001D630D">
        <w:t xml:space="preserve">Resolución 1363 de 2012 </w:t>
      </w:r>
      <w:r w:rsidRPr="001D630D">
        <w:rPr>
          <w:i/>
        </w:rPr>
        <w:t>“</w:t>
      </w:r>
      <w:r w:rsidRPr="001D630D">
        <w:rPr>
          <w:i/>
          <w:iCs/>
        </w:rPr>
        <w:t>por la cual se establece el procedimiento de asignación y control para el otorgamiento de los subsidios para el acceso fijo a Internet a usuarios de estratos 1 y 2, de que trata el artículo 58 de la Ley 1450 de 2011 “Plan Nacional de Desarrollo 2011-2014”, y</w:t>
      </w:r>
      <w:r>
        <w:rPr>
          <w:i/>
          <w:iCs/>
        </w:rPr>
        <w:t xml:space="preserve"> se dictan otras disposiciones”</w:t>
      </w:r>
      <w:r>
        <w:rPr>
          <w:iCs/>
        </w:rPr>
        <w:t xml:space="preserve"> el Ministerio estableció un subsidio a favor de los usuarios del servicio de Internet de banda ancha de los estratos 1 y 2.</w:t>
      </w:r>
    </w:p>
    <w:p w:rsidR="009D37E3" w:rsidRPr="001D630D" w:rsidRDefault="009D37E3" w:rsidP="001E295C">
      <w:pPr>
        <w:rPr>
          <w:i/>
          <w:iCs/>
        </w:rPr>
      </w:pPr>
      <w:r>
        <w:t xml:space="preserve">La Resolución 1363 ha sido modificada por las Resoluciones </w:t>
      </w:r>
      <w:r w:rsidRPr="001D630D">
        <w:t>1703 de 2012</w:t>
      </w:r>
      <w:r>
        <w:t xml:space="preserve">, </w:t>
      </w:r>
      <w:r>
        <w:rPr>
          <w:iCs/>
        </w:rPr>
        <w:t>2775 de 2012 y 356 de 2013.</w:t>
      </w:r>
    </w:p>
    <w:p w:rsidR="009D37E3" w:rsidRPr="001D630D" w:rsidRDefault="009D37E3" w:rsidP="001E295C">
      <w:pPr>
        <w:rPr>
          <w:b/>
          <w:i/>
        </w:rPr>
      </w:pPr>
      <w:r>
        <w:rPr>
          <w:iCs/>
        </w:rPr>
        <w:t>En desarrollo de lo previsto en la Resolución 1363 y sus correspondientes modificaciones, m</w:t>
      </w:r>
      <w:r w:rsidRPr="001D630D">
        <w:rPr>
          <w:iCs/>
        </w:rPr>
        <w:t xml:space="preserve">ediante la Circular 002 del 30 de septiembre 2013, el </w:t>
      </w:r>
      <w:r w:rsidR="0008289E" w:rsidRPr="000D499F">
        <w:rPr>
          <w:rFonts w:eastAsia="Times New Roman" w:cs="Times New Roman"/>
        </w:rPr>
        <w:t>MINTIC</w:t>
      </w:r>
      <w:r w:rsidR="0008289E" w:rsidRPr="00624F48">
        <w:t xml:space="preserve"> </w:t>
      </w:r>
      <w:r w:rsidRPr="001D630D">
        <w:rPr>
          <w:iCs/>
        </w:rPr>
        <w:t>estableció los procedimientos para la entrega de reportes facturación comercial TPBCL 2012, 2013 y 2014 y complementación relativa a información relacionada con el esquema de subsidios de Internet.</w:t>
      </w:r>
      <w:r w:rsidRPr="001D630D">
        <w:rPr>
          <w:i/>
          <w:iCs/>
        </w:rPr>
        <w:t xml:space="preserve"> </w:t>
      </w:r>
    </w:p>
    <w:p w:rsidR="009D37E3" w:rsidRPr="00CD4DFE" w:rsidRDefault="009D37E3" w:rsidP="001E295C">
      <w:pPr>
        <w:pStyle w:val="Prrafodelista3"/>
        <w:numPr>
          <w:ilvl w:val="0"/>
          <w:numId w:val="14"/>
        </w:numPr>
      </w:pPr>
      <w:r w:rsidRPr="00624F48">
        <w:lastRenderedPageBreak/>
        <w:t>Numeral 8.2.5 Impacto de las TIC en el medio ambiente</w:t>
      </w:r>
    </w:p>
    <w:p w:rsidR="009D37E3" w:rsidRDefault="009D37E3" w:rsidP="001E295C">
      <w:pPr>
        <w:rPr>
          <w:rFonts w:cs="ArialMT"/>
        </w:rPr>
      </w:pPr>
      <w:r>
        <w:rPr>
          <w:rFonts w:cs="ArialMT"/>
        </w:rPr>
        <w:t xml:space="preserve">Con el fin de proteger el medio ambiente son necesarias políticas claras para el manejo de los residuos electrónicos. Por ello, una de las iniciativas del Plan Vive Digital era el trabajo conjunto con el </w:t>
      </w:r>
      <w:r w:rsidRPr="001D630D">
        <w:rPr>
          <w:rFonts w:cs="ArialMT"/>
        </w:rPr>
        <w:t>Ministerio de Ambiente, Vivienda y Desarrollo Territorial</w:t>
      </w:r>
      <w:r>
        <w:rPr>
          <w:rFonts w:cs="ArialMT"/>
        </w:rPr>
        <w:t xml:space="preserve"> para el reciclaje y manejo de los Residuos de Aparatos Eléctricos y Electrónicos.</w:t>
      </w:r>
    </w:p>
    <w:p w:rsidR="009D37E3" w:rsidRDefault="009D37E3" w:rsidP="001E295C">
      <w:pPr>
        <w:rPr>
          <w:rFonts w:cs="ArialMT"/>
        </w:rPr>
      </w:pPr>
      <w:r>
        <w:rPr>
          <w:rFonts w:cs="ArialMT"/>
        </w:rPr>
        <w:t xml:space="preserve">Con ocasión del trabajo conjunto de los dos Ministerios, el </w:t>
      </w:r>
      <w:r w:rsidRPr="001D630D">
        <w:rPr>
          <w:rFonts w:cs="ArialMT"/>
        </w:rPr>
        <w:t>Ministerio de Ambiente, Vivienda y Desarrollo Territorial</w:t>
      </w:r>
      <w:r>
        <w:rPr>
          <w:rFonts w:cs="ArialMT"/>
        </w:rPr>
        <w:t xml:space="preserve"> expidió la </w:t>
      </w:r>
      <w:r w:rsidRPr="001D630D">
        <w:rPr>
          <w:rFonts w:cs="ArialMT"/>
        </w:rPr>
        <w:t>Resolución 1512 de 2010</w:t>
      </w:r>
      <w:r>
        <w:rPr>
          <w:rFonts w:cs="ArialMT"/>
        </w:rPr>
        <w:t xml:space="preserve"> </w:t>
      </w:r>
      <w:r w:rsidRPr="001D630D">
        <w:rPr>
          <w:rFonts w:cs="ArialMT"/>
        </w:rPr>
        <w:t>“</w:t>
      </w:r>
      <w:r w:rsidRPr="001D630D">
        <w:rPr>
          <w:i/>
          <w:iCs/>
        </w:rPr>
        <w:t>por la cual se establecen los Sistemas de Recolección Selectiva y Gestión Ambiental de Residuos de Computadores y/o Periféricos y se adoptan otras disposiciones.”</w:t>
      </w:r>
      <w:r>
        <w:rPr>
          <w:rFonts w:cs="ArialMT"/>
        </w:rPr>
        <w:t>.</w:t>
      </w:r>
    </w:p>
    <w:p w:rsidR="009D37E3" w:rsidRDefault="009D37E3" w:rsidP="001E295C">
      <w:pPr>
        <w:rPr>
          <w:rFonts w:cs="ArialMT"/>
        </w:rPr>
      </w:pPr>
      <w:r>
        <w:rPr>
          <w:rFonts w:cs="ArialMT"/>
        </w:rPr>
        <w:t>La Resolución estableció, a cargo de los productores de computadores o periféricos comercializados en el país, la obligación de formular, presentar e implementar los Sistemas de Recolección Selectiva y Gestión Ambiental de Residuos de Computadores y/o Periféricos, con el fin de prevenir y controlar la degradación del ambiente.</w:t>
      </w:r>
    </w:p>
    <w:p w:rsidR="009D37E3" w:rsidRPr="00DB3542" w:rsidRDefault="009D37E3" w:rsidP="001E295C">
      <w:pPr>
        <w:pStyle w:val="Ttulo3"/>
        <w:numPr>
          <w:ilvl w:val="2"/>
          <w:numId w:val="2"/>
        </w:numPr>
        <w:rPr>
          <w:sz w:val="26"/>
          <w:szCs w:val="26"/>
        </w:rPr>
      </w:pPr>
      <w:r w:rsidRPr="00DB3542">
        <w:rPr>
          <w:sz w:val="26"/>
          <w:szCs w:val="26"/>
        </w:rPr>
        <w:t>Soluciones de demanda - Capítulo 9 Plan Vive Digital</w:t>
      </w:r>
    </w:p>
    <w:p w:rsidR="009D37E3" w:rsidRDefault="009D37E3" w:rsidP="001E295C">
      <w:r w:rsidRPr="001D630D">
        <w:t>Al igual que ocurre con la oferta, el Plan Vive Digital también pretende estimular la demanda del Ecosistema Digital. Para el efecto presenta iniciativas para estimular el desarrollo de aplicaciones y contenidos digitales locales y para facilitar la apropiación de las TIC por parte de la población. Por este motivo el capítulo se divide en aplicaciones y usuarios.</w:t>
      </w:r>
    </w:p>
    <w:p w:rsidR="009D37E3" w:rsidRPr="00624F48" w:rsidRDefault="009D37E3" w:rsidP="001E295C">
      <w:pPr>
        <w:pStyle w:val="Prrafodelista3"/>
        <w:numPr>
          <w:ilvl w:val="0"/>
          <w:numId w:val="11"/>
        </w:numPr>
        <w:outlineLvl w:val="2"/>
        <w:rPr>
          <w:rFonts w:ascii="Century Gothic" w:hAnsi="Century Gothic"/>
          <w:bCs/>
          <w:color w:val="404040"/>
          <w:lang w:eastAsia="es-ES"/>
        </w:rPr>
      </w:pPr>
      <w:r w:rsidRPr="00624F48">
        <w:rPr>
          <w:rFonts w:ascii="Century Gothic" w:hAnsi="Century Gothic"/>
          <w:bCs/>
          <w:color w:val="404040"/>
          <w:lang w:eastAsia="es-ES"/>
        </w:rPr>
        <w:t>Aplicaciones</w:t>
      </w:r>
    </w:p>
    <w:p w:rsidR="009D37E3" w:rsidRDefault="009D37E3" w:rsidP="001E295C">
      <w:pPr>
        <w:pStyle w:val="Prrafodelista3"/>
        <w:ind w:left="0"/>
      </w:pPr>
      <w:r>
        <w:t xml:space="preserve">El Plan Vive Digital identificó como uno de los motivos que llevan a que hogares y microempresas no contraten el servicio de Internet es la falta de aplicaciones que les sean de utilidad, por ello el Plan busca el desarrollo de este tipo de aplicaciones. </w:t>
      </w:r>
    </w:p>
    <w:p w:rsidR="009D37E3" w:rsidRDefault="009D37E3" w:rsidP="001E295C">
      <w:pPr>
        <w:pStyle w:val="Prrafodelista3"/>
        <w:numPr>
          <w:ilvl w:val="0"/>
          <w:numId w:val="14"/>
        </w:numPr>
      </w:pPr>
      <w:r w:rsidRPr="00624F48">
        <w:t xml:space="preserve">Numeral 9.1.1. Gobierno en Línea. </w:t>
      </w:r>
    </w:p>
    <w:p w:rsidR="009D37E3" w:rsidRDefault="009D37E3" w:rsidP="001E295C">
      <w:pPr>
        <w:pStyle w:val="Prrafodelista3"/>
        <w:ind w:left="0"/>
      </w:pPr>
      <w:r>
        <w:t>El Programa Gobierno en Línea es responsable de liderar la estrategia a través de la cual se viene implementando el Gobierno electrónico en el país. Ello con el fin de lograr un Estado más eficiente, transparente y participativo, que preste mejores servicios mediante el aprovechamiento de las TIC.</w:t>
      </w:r>
    </w:p>
    <w:p w:rsidR="009D37E3" w:rsidRPr="00657D2D" w:rsidRDefault="009D37E3" w:rsidP="001E295C">
      <w:pPr>
        <w:pStyle w:val="Prrafodelista3"/>
        <w:ind w:left="0"/>
      </w:pPr>
      <w:r>
        <w:t xml:space="preserve">En desarrollo de la iniciativa propuesta, el Ministerio, Mediante el </w:t>
      </w:r>
      <w:r w:rsidRPr="001D630D">
        <w:t>Decreto 2693 de 2012</w:t>
      </w:r>
      <w:r>
        <w:t xml:space="preserve"> </w:t>
      </w:r>
      <w:r w:rsidRPr="001D630D">
        <w:t>“</w:t>
      </w:r>
      <w:r w:rsidRPr="001D630D">
        <w:rPr>
          <w:i/>
          <w:iCs/>
          <w:color w:val="000000"/>
        </w:rPr>
        <w:t xml:space="preserve">por el cual se establecen los lineamientos generales de la Estrategia de Gobierno en Línea de la República de Colombia, se reglamentan parcialmente las Leyes </w:t>
      </w:r>
      <w:r w:rsidRPr="00657D2D">
        <w:rPr>
          <w:i/>
          <w:iCs/>
        </w:rPr>
        <w:t>1341 de 2009</w:t>
      </w:r>
      <w:r w:rsidRPr="001D630D">
        <w:rPr>
          <w:i/>
          <w:iCs/>
        </w:rPr>
        <w:t xml:space="preserve"> y </w:t>
      </w:r>
      <w:r w:rsidRPr="00657D2D">
        <w:rPr>
          <w:i/>
          <w:iCs/>
        </w:rPr>
        <w:t>1450 de 2011</w:t>
      </w:r>
      <w:r w:rsidRPr="001D630D">
        <w:rPr>
          <w:i/>
          <w:iCs/>
        </w:rPr>
        <w:t>,</w:t>
      </w:r>
      <w:r w:rsidRPr="001D630D">
        <w:rPr>
          <w:i/>
          <w:iCs/>
          <w:color w:val="000000"/>
        </w:rPr>
        <w:t xml:space="preserve"> y se </w:t>
      </w:r>
      <w:r w:rsidRPr="001D630D">
        <w:rPr>
          <w:i/>
          <w:iCs/>
          <w:color w:val="000000"/>
        </w:rPr>
        <w:lastRenderedPageBreak/>
        <w:t>dictan otras disposiciones”</w:t>
      </w:r>
      <w:r>
        <w:rPr>
          <w:iCs/>
          <w:color w:val="000000"/>
        </w:rPr>
        <w:t xml:space="preserve"> definió los plazos y lineamientos para garantizar el máximo aprovechamiento de las TIC con el fin de contribuir a la creación de un Estado más eficiente, transparente y participativo, que preste mejores servicios. </w:t>
      </w:r>
    </w:p>
    <w:p w:rsidR="009D37E3" w:rsidRDefault="009D37E3" w:rsidP="001E295C">
      <w:pPr>
        <w:pStyle w:val="Prrafodelista3"/>
        <w:numPr>
          <w:ilvl w:val="0"/>
          <w:numId w:val="14"/>
        </w:numPr>
      </w:pPr>
      <w:r w:rsidRPr="00624F48">
        <w:t>Numeral 9.1.7. Teletrabajo.</w:t>
      </w:r>
    </w:p>
    <w:p w:rsidR="009D37E3" w:rsidRDefault="009D37E3" w:rsidP="001E295C">
      <w:pPr>
        <w:rPr>
          <w:rFonts w:cs="ArialMT"/>
        </w:rPr>
      </w:pPr>
      <w:r>
        <w:rPr>
          <w:rFonts w:cs="ArialMT"/>
        </w:rPr>
        <w:t>Dentro del Plan Vive Digital, el Ministerio se propuso el objetivo de apoyar a las entidades del Gobierno correspondientes, en la implementación de la Ley 1221 de 2008 que establece normas para promover y regular el Teletrabajo, como un mecanismo de generación de empleo y autoempleo mediante la utilización de las TIC.</w:t>
      </w:r>
    </w:p>
    <w:p w:rsidR="009D37E3" w:rsidRPr="00D52C01" w:rsidRDefault="009D37E3" w:rsidP="001E295C">
      <w:pPr>
        <w:rPr>
          <w:rFonts w:cs="ArialMT"/>
        </w:rPr>
      </w:pPr>
      <w:r>
        <w:rPr>
          <w:rFonts w:cs="ArialMT"/>
        </w:rPr>
        <w:t xml:space="preserve">En desarrollo del objetivo propuesto, mediante la </w:t>
      </w:r>
      <w:r w:rsidRPr="001D630D">
        <w:rPr>
          <w:rFonts w:cs="ArialMT"/>
        </w:rPr>
        <w:t>Resolución 2999 de 2012</w:t>
      </w:r>
      <w:r>
        <w:rPr>
          <w:rFonts w:cs="ArialMT"/>
        </w:rPr>
        <w:t xml:space="preserve"> </w:t>
      </w:r>
      <w:r w:rsidRPr="001D630D">
        <w:rPr>
          <w:rFonts w:cs="ArialMT"/>
          <w:i/>
        </w:rPr>
        <w:t>“</w:t>
      </w:r>
      <w:r w:rsidRPr="001D630D">
        <w:rPr>
          <w:i/>
          <w:iCs/>
          <w:color w:val="000000"/>
        </w:rPr>
        <w:t>por la cual se define el plan de acción para implementar en el Ministerio de Tecnologías de la Información y las Comunicaciones el Teletrabajo”</w:t>
      </w:r>
      <w:r>
        <w:rPr>
          <w:iCs/>
          <w:color w:val="000000"/>
        </w:rPr>
        <w:t>, el Ministerio definió el plan de acción necesario para la implementación del teletrabajo al interior del mismo.</w:t>
      </w:r>
    </w:p>
    <w:p w:rsidR="009D37E3" w:rsidRDefault="009D37E3" w:rsidP="001E295C">
      <w:pPr>
        <w:rPr>
          <w:iCs/>
          <w:color w:val="000000"/>
        </w:rPr>
      </w:pPr>
      <w:r>
        <w:t>La Resolución 2999 fue derogada mediante Resolución 3559 de 2013 “</w:t>
      </w:r>
      <w:r w:rsidRPr="00ED32D6">
        <w:rPr>
          <w:i/>
        </w:rPr>
        <w:t>Por la cual se deroga la Resolución número 2999 del 5 de diciembre de 2012, se define el plan de acción para implementar el Teletrabajo en el Ministerio de Tecnologías de la Información y las Comunicaciones y se dictan otras disposiciones</w:t>
      </w:r>
      <w:r>
        <w:t xml:space="preserve">”. Ésta última establece las condiciones necesarias para implementar el teletrabajo en el </w:t>
      </w:r>
      <w:r w:rsidR="0008289E" w:rsidRPr="000D499F">
        <w:rPr>
          <w:rFonts w:eastAsia="Times New Roman" w:cs="Times New Roman"/>
        </w:rPr>
        <w:t>MINTIC</w:t>
      </w:r>
      <w:r w:rsidR="0008289E">
        <w:rPr>
          <w:rFonts w:eastAsia="Times New Roman" w:cs="Times New Roman"/>
        </w:rPr>
        <w:t>.</w:t>
      </w:r>
    </w:p>
    <w:p w:rsidR="009D37E3" w:rsidRPr="00624F48" w:rsidRDefault="009D37E3" w:rsidP="001E295C">
      <w:pPr>
        <w:pStyle w:val="Prrafodelista3"/>
        <w:numPr>
          <w:ilvl w:val="0"/>
          <w:numId w:val="11"/>
        </w:numPr>
        <w:outlineLvl w:val="2"/>
        <w:rPr>
          <w:rFonts w:ascii="Century Gothic" w:hAnsi="Century Gothic"/>
          <w:bCs/>
          <w:color w:val="404040"/>
          <w:lang w:eastAsia="es-ES"/>
        </w:rPr>
      </w:pPr>
      <w:r w:rsidRPr="00624F48">
        <w:rPr>
          <w:rFonts w:ascii="Century Gothic" w:hAnsi="Century Gothic"/>
          <w:bCs/>
          <w:color w:val="404040"/>
          <w:lang w:eastAsia="es-ES"/>
        </w:rPr>
        <w:t>Usuarios</w:t>
      </w:r>
    </w:p>
    <w:p w:rsidR="009D37E3" w:rsidRDefault="009D37E3" w:rsidP="001E295C">
      <w:pPr>
        <w:pStyle w:val="Prrafodelista3"/>
        <w:ind w:left="0"/>
      </w:pPr>
      <w:r>
        <w:t>El claro objetivo del Plan Vive Digital es lograr que los usuarios tengan acceso a las TIC. Para ello es necesario que aprendan a usarlas y se apropien de ellas. Entre más personas usen la tecnología, mayor será la demanda de aplicaciones y servicios, lo cual estimulará el ecosistema digital.</w:t>
      </w:r>
    </w:p>
    <w:p w:rsidR="009D37E3" w:rsidRPr="00CD4DFE" w:rsidRDefault="009D37E3" w:rsidP="001E295C">
      <w:pPr>
        <w:pStyle w:val="Prrafodelista3"/>
        <w:numPr>
          <w:ilvl w:val="0"/>
          <w:numId w:val="14"/>
        </w:numPr>
      </w:pPr>
      <w:r w:rsidRPr="00624F48">
        <w:t xml:space="preserve">Numeral 9.2.1 Régimen de calidad y protección al usuario. </w:t>
      </w:r>
    </w:p>
    <w:p w:rsidR="009D37E3" w:rsidRDefault="009D37E3" w:rsidP="001E295C">
      <w:r>
        <w:t>Parte de la estimulación al usuario para que acceda a las TIC, es proporcionarle un régimen de protección que le proporcione ciertas garantías. La regulación de la protección al usuario está en cabeza de la Comisión de Regulación de Comunicaciones. A continuación reseñamos las normas que ha expedido en ejercicio de esta facultad.</w:t>
      </w:r>
    </w:p>
    <w:p w:rsidR="009D37E3" w:rsidRPr="00135294" w:rsidRDefault="009D37E3" w:rsidP="001E295C">
      <w:r>
        <w:t xml:space="preserve">Mediante </w:t>
      </w:r>
      <w:r w:rsidRPr="001D630D">
        <w:t xml:space="preserve">Resolución 2347 de 2010 </w:t>
      </w:r>
      <w:r w:rsidRPr="001D630D">
        <w:rPr>
          <w:i/>
        </w:rPr>
        <w:t>“</w:t>
      </w:r>
      <w:r w:rsidRPr="001D630D">
        <w:rPr>
          <w:rFonts w:cs="Arial"/>
          <w:i/>
        </w:rPr>
        <w:t>Por la cual se establecen disposiciones en materia de protección de los derechos de los usuarios respecto de tarifas de telefonía pública básica conmutada con ocasión de la entrada en vigencia de la Ley 1341 de 2009 y se dictan otras disposiciones”</w:t>
      </w:r>
      <w:r>
        <w:rPr>
          <w:rFonts w:cs="Arial"/>
        </w:rPr>
        <w:t xml:space="preserve">, la </w:t>
      </w:r>
      <w:r w:rsidRPr="001D630D">
        <w:t xml:space="preserve">Comisión </w:t>
      </w:r>
      <w:r>
        <w:t xml:space="preserve">de Regulación de Comunicaciones obligó a los prestadores de los servicios de </w:t>
      </w:r>
      <w:r>
        <w:lastRenderedPageBreak/>
        <w:t>TPBCL y TPBCLE a respetar las condiciones de los planes tarifarios elegidos por los usuarios en vigencia del régimen tarifario TPBC que fue derogado por la Ley 1341.</w:t>
      </w:r>
    </w:p>
    <w:p w:rsidR="009D37E3" w:rsidRPr="001D630D" w:rsidRDefault="009D37E3" w:rsidP="001E295C">
      <w:pPr>
        <w:rPr>
          <w:i/>
        </w:rPr>
      </w:pPr>
      <w:r>
        <w:t xml:space="preserve">Mediante </w:t>
      </w:r>
      <w:r w:rsidRPr="001D630D">
        <w:t xml:space="preserve">Resolución 2563 de 2010 </w:t>
      </w:r>
      <w:r w:rsidRPr="001D630D">
        <w:rPr>
          <w:i/>
        </w:rPr>
        <w:t>“Por la cual se modifican las Resoluciones CRT 1740 de 2007 y 1940 de 2008 y se establecen obligaciones de reporte de información asociada a parámetros de calidad a los proveedores del servicio de acceso a Inte</w:t>
      </w:r>
      <w:r>
        <w:rPr>
          <w:i/>
        </w:rPr>
        <w:t>rnet a través de redes móviles”</w:t>
      </w:r>
      <w:r>
        <w:t xml:space="preserve">, </w:t>
      </w:r>
      <w:r w:rsidRPr="001D630D">
        <w:t xml:space="preserve"> la Comisión de Regulación de Comunicaciones</w:t>
      </w:r>
      <w:r>
        <w:t xml:space="preserve"> modificó los indicadores del servicio de acceso a Internet, entre otros, que habían sido establecidos en la Resolución 1740 de 2007.</w:t>
      </w:r>
    </w:p>
    <w:p w:rsidR="009D37E3" w:rsidRPr="00135294" w:rsidRDefault="009D37E3" w:rsidP="001E295C">
      <w:pPr>
        <w:rPr>
          <w:bCs/>
        </w:rPr>
      </w:pPr>
      <w:r>
        <w:t xml:space="preserve">Mediante </w:t>
      </w:r>
      <w:r w:rsidRPr="001D630D">
        <w:t>Resolución 2353 de 2010 “</w:t>
      </w:r>
      <w:r w:rsidRPr="001D630D">
        <w:rPr>
          <w:bCs/>
          <w:i/>
        </w:rPr>
        <w:t>Por la cual se establece la metodología para la medición del Nivel de Satisfacción del Usuario de los servicios de TPBCL y TPBCLE, se recoge el procedimiento para el cálculo del Factor de Calidad, y</w:t>
      </w:r>
      <w:r>
        <w:rPr>
          <w:bCs/>
          <w:i/>
        </w:rPr>
        <w:t xml:space="preserve"> se dictan otras disposiciones”</w:t>
      </w:r>
      <w:r>
        <w:rPr>
          <w:bCs/>
        </w:rPr>
        <w:t>, la Comisión estableció los indicadores de calidad para los servicios TPBC y el procedimiento para medirlos.</w:t>
      </w:r>
    </w:p>
    <w:p w:rsidR="009D37E3" w:rsidRDefault="009D37E3" w:rsidP="001E295C">
      <w:r>
        <w:t xml:space="preserve">Mediante </w:t>
      </w:r>
      <w:r w:rsidRPr="001D630D">
        <w:t>Resolución 306</w:t>
      </w:r>
      <w:r>
        <w:t xml:space="preserve">6 de 2011 </w:t>
      </w:r>
      <w:r w:rsidRPr="001D630D">
        <w:t>la Comisión de Regulación de Comunicaciones</w:t>
      </w:r>
      <w:r>
        <w:t xml:space="preserve"> expidió el régimen integral de protección a los usuarios de los servicios de comunicaciones. </w:t>
      </w:r>
    </w:p>
    <w:p w:rsidR="009D37E3" w:rsidRPr="00C02104" w:rsidRDefault="009D37E3" w:rsidP="001E295C">
      <w:r>
        <w:t>La Resolución 3066 ha sido modificada por las Resoluciones 4292 y 4295 de 2013.</w:t>
      </w:r>
    </w:p>
    <w:p w:rsidR="009D37E3" w:rsidRDefault="009D37E3" w:rsidP="001E295C">
      <w:r>
        <w:t xml:space="preserve">Mediante </w:t>
      </w:r>
      <w:r w:rsidRPr="001D630D">
        <w:t>Resolución 3067 de 2011</w:t>
      </w:r>
      <w:r>
        <w:t>,</w:t>
      </w:r>
      <w:r w:rsidRPr="001D630D">
        <w:t xml:space="preserve"> la Comisión de Regulación de Comunicaciones</w:t>
      </w:r>
      <w:r>
        <w:t xml:space="preserve"> definió los indicadores de calidad para los servicios de telecomunicaciones.</w:t>
      </w:r>
    </w:p>
    <w:p w:rsidR="009D37E3" w:rsidRPr="001D630D" w:rsidRDefault="009D37E3" w:rsidP="001E295C">
      <w:pPr>
        <w:rPr>
          <w:i/>
        </w:rPr>
      </w:pPr>
      <w:r>
        <w:t>Mediante Resolución 3496 de 2011, la Comisión expidió el Régimen de Reporte de Información Periódica de los Proveedores de Redes y Servicios de Telecomunicaciones a la Comisión de Regulación de Comunicaciones, con el fin de hacer el seguimiento adecuado al cumplimiento de las diversas normas expedidas por la CRC, entre ellas, las relacionadas con calidad del servicio y protección a los usuarios.</w:t>
      </w:r>
    </w:p>
    <w:p w:rsidR="009D37E3" w:rsidRDefault="009D37E3" w:rsidP="001E295C">
      <w:r>
        <w:t xml:space="preserve">Las Resoluciones 3067 y 3499 de 2011 fueron modificadas mediante </w:t>
      </w:r>
      <w:r w:rsidRPr="001D630D">
        <w:t>Resolución 3503 de 2011 de la Comisión de Regulación de Comunicaciones</w:t>
      </w:r>
      <w:r>
        <w:t>, por la cual se definieron las condiciones de calidad para el servicio de acceso a Internet.</w:t>
      </w:r>
      <w:r w:rsidRPr="001D630D">
        <w:t xml:space="preserve"> </w:t>
      </w:r>
    </w:p>
    <w:p w:rsidR="009D37E3" w:rsidRPr="001D630D" w:rsidRDefault="009D37E3" w:rsidP="001E295C">
      <w:pPr>
        <w:rPr>
          <w:i/>
        </w:rPr>
      </w:pPr>
      <w:r>
        <w:t>A su vez, la Resolución 3503 fue modificada por la Resolución 3731 de 2012, en relación con el plazo para el inicio de mediciones de indicadores de calidad para Internet Móvil.</w:t>
      </w:r>
    </w:p>
    <w:p w:rsidR="009D37E3" w:rsidRDefault="009D37E3" w:rsidP="001E295C">
      <w:r>
        <w:t xml:space="preserve">Mediante la </w:t>
      </w:r>
      <w:r w:rsidRPr="001D630D">
        <w:t xml:space="preserve">Circular externa 002 de 2011 de la Superintendencia de </w:t>
      </w:r>
      <w:r>
        <w:t xml:space="preserve">Industria y Comercio se modificó la Circular Única, con el propósito de implementar el Índice de Calidad en la Atención a los Usuarios de Telefonía Móvil. </w:t>
      </w:r>
    </w:p>
    <w:p w:rsidR="009D37E3" w:rsidRDefault="009D37E3" w:rsidP="001E295C">
      <w:r>
        <w:lastRenderedPageBreak/>
        <w:t xml:space="preserve">Así mismo, se encuentra que el Plan ha permitido el desarrollo armónico de normas necesarias en los diversos elementos del ecosistema digital, encontrando que las metas propuestas -relacionadas con el desarrollo de dicha normativa específica para cada una de las dimensiones del ecosistema digital- se han desarrollado adecuadamente. </w:t>
      </w:r>
    </w:p>
    <w:p w:rsidR="002E79AE" w:rsidRDefault="002E79AE">
      <w:pPr>
        <w:spacing w:before="0" w:after="120"/>
      </w:pPr>
      <w:r>
        <w:br w:type="page"/>
      </w:r>
    </w:p>
    <w:p w:rsidR="00B90989" w:rsidRDefault="00B90989" w:rsidP="0077266C">
      <w:pPr>
        <w:pStyle w:val="Ttulo1"/>
        <w:numPr>
          <w:ilvl w:val="0"/>
          <w:numId w:val="0"/>
        </w:numPr>
      </w:pPr>
    </w:p>
    <w:p w:rsidR="0077266C" w:rsidRPr="0077266C" w:rsidRDefault="0077266C" w:rsidP="0077266C">
      <w:pPr>
        <w:pStyle w:val="Ttulo1"/>
      </w:pPr>
      <w:bookmarkStart w:id="127" w:name="_Toc405992308"/>
      <w:bookmarkEnd w:id="127"/>
    </w:p>
    <w:p w:rsidR="007700A9" w:rsidRPr="007700A9" w:rsidRDefault="00214B00" w:rsidP="00FB3CA6">
      <w:pPr>
        <w:pStyle w:val="Titulocaptulo-Econometra"/>
        <w:rPr>
          <w:rFonts w:eastAsia="Times New Roman"/>
          <w:lang w:eastAsia="es-ES"/>
        </w:rPr>
      </w:pPr>
      <w:bookmarkStart w:id="128" w:name="_Toc405992309"/>
      <w:r>
        <w:rPr>
          <w:rFonts w:eastAsia="Times New Roman"/>
          <w:lang w:eastAsia="es-ES"/>
        </w:rPr>
        <w:t>Fortalezas y Debilidades del Plan Vive Digital</w:t>
      </w:r>
      <w:bookmarkEnd w:id="128"/>
    </w:p>
    <w:p w:rsidR="00A8719D" w:rsidRPr="007700A9" w:rsidRDefault="00A8719D" w:rsidP="001E295C">
      <w:r w:rsidRPr="007700A9">
        <w:t>Considerando los puntos d</w:t>
      </w:r>
      <w:r>
        <w:t>e anális</w:t>
      </w:r>
      <w:r w:rsidR="00A22F22">
        <w:t>is desarrollados</w:t>
      </w:r>
      <w:r w:rsidRPr="007700A9">
        <w:t xml:space="preserve"> y los resultados cuantitativos obtenidos en el presente informe, se presenta a continuación un análisis DOFA</w:t>
      </w:r>
      <w:r w:rsidR="00A22F22">
        <w:t xml:space="preserve"> (Debilidades, Oportunidades, Fortalezas y A</w:t>
      </w:r>
      <w:r w:rsidR="00C36732">
        <w:t>menazas) que permita evaluar ta</w:t>
      </w:r>
      <w:r w:rsidRPr="007700A9">
        <w:t>nto</w:t>
      </w:r>
      <w:r w:rsidR="00C36732">
        <w:t xml:space="preserve"> </w:t>
      </w:r>
      <w:r w:rsidRPr="007700A9">
        <w:t xml:space="preserve"> pun</w:t>
      </w:r>
      <w:r w:rsidR="00C36732">
        <w:t>tos fuertes y de oportunidad, co</w:t>
      </w:r>
      <w:r w:rsidRPr="007700A9">
        <w:t>mo puntos de potencial mejora del plan Vive Digital.</w:t>
      </w:r>
    </w:p>
    <w:p w:rsidR="00A8719D" w:rsidRPr="002F3BCD" w:rsidRDefault="00A8719D" w:rsidP="001E295C">
      <w:pPr>
        <w:pStyle w:val="Prrafodelista3"/>
        <w:keepNext/>
        <w:keepLines/>
        <w:numPr>
          <w:ilvl w:val="0"/>
          <w:numId w:val="2"/>
        </w:numPr>
        <w:tabs>
          <w:tab w:val="left" w:pos="0"/>
        </w:tabs>
        <w:jc w:val="left"/>
        <w:outlineLvl w:val="1"/>
        <w:rPr>
          <w:rFonts w:ascii="Century Gothic" w:hAnsi="Century Gothic"/>
          <w:bCs/>
          <w:smallCaps/>
          <w:vanish/>
          <w:color w:val="C00000"/>
          <w:sz w:val="30"/>
          <w:szCs w:val="30"/>
          <w:lang w:val="es-CO" w:eastAsia="es-ES"/>
        </w:rPr>
      </w:pPr>
      <w:bookmarkStart w:id="129" w:name="_Toc368057675"/>
      <w:bookmarkStart w:id="130" w:name="_Toc373251776"/>
      <w:bookmarkStart w:id="131" w:name="_Toc374781007"/>
      <w:bookmarkStart w:id="132" w:name="_Toc374781162"/>
      <w:bookmarkStart w:id="133" w:name="_Toc374822889"/>
      <w:bookmarkStart w:id="134" w:name="_Toc374828847"/>
      <w:bookmarkStart w:id="135" w:name="_Toc374847021"/>
      <w:bookmarkStart w:id="136" w:name="_Toc374973523"/>
      <w:bookmarkEnd w:id="129"/>
      <w:bookmarkEnd w:id="130"/>
      <w:bookmarkEnd w:id="131"/>
      <w:bookmarkEnd w:id="132"/>
      <w:bookmarkEnd w:id="133"/>
      <w:bookmarkEnd w:id="134"/>
      <w:bookmarkEnd w:id="135"/>
      <w:bookmarkEnd w:id="136"/>
    </w:p>
    <w:p w:rsidR="00A8719D" w:rsidRPr="002F3BCD" w:rsidRDefault="00A8719D" w:rsidP="001E295C">
      <w:pPr>
        <w:pStyle w:val="Prrafodelista3"/>
        <w:keepNext/>
        <w:keepLines/>
        <w:numPr>
          <w:ilvl w:val="0"/>
          <w:numId w:val="2"/>
        </w:numPr>
        <w:tabs>
          <w:tab w:val="left" w:pos="0"/>
        </w:tabs>
        <w:jc w:val="left"/>
        <w:outlineLvl w:val="1"/>
        <w:rPr>
          <w:rFonts w:ascii="Century Gothic" w:hAnsi="Century Gothic"/>
          <w:bCs/>
          <w:smallCaps/>
          <w:vanish/>
          <w:color w:val="C00000"/>
          <w:sz w:val="30"/>
          <w:szCs w:val="30"/>
          <w:lang w:val="es-CO" w:eastAsia="es-ES"/>
        </w:rPr>
      </w:pPr>
      <w:bookmarkStart w:id="137" w:name="_Toc374781008"/>
      <w:bookmarkStart w:id="138" w:name="_Toc374781163"/>
      <w:bookmarkStart w:id="139" w:name="_Toc374822890"/>
      <w:bookmarkStart w:id="140" w:name="_Toc374828848"/>
      <w:bookmarkStart w:id="141" w:name="_Toc374847022"/>
      <w:bookmarkStart w:id="142" w:name="_Toc374973524"/>
      <w:bookmarkEnd w:id="137"/>
      <w:bookmarkEnd w:id="138"/>
      <w:bookmarkEnd w:id="139"/>
      <w:bookmarkEnd w:id="140"/>
      <w:bookmarkEnd w:id="141"/>
      <w:bookmarkEnd w:id="142"/>
    </w:p>
    <w:p w:rsidR="00A8719D" w:rsidRPr="00CD4DFE" w:rsidRDefault="00A8719D" w:rsidP="001E295C">
      <w:pPr>
        <w:pStyle w:val="Prrafodelista3"/>
        <w:keepNext/>
        <w:keepLines/>
        <w:numPr>
          <w:ilvl w:val="0"/>
          <w:numId w:val="2"/>
        </w:numPr>
        <w:tabs>
          <w:tab w:val="left" w:pos="0"/>
        </w:tabs>
        <w:outlineLvl w:val="1"/>
        <w:rPr>
          <w:rFonts w:ascii="Century Gothic" w:hAnsi="Century Gothic"/>
          <w:bCs/>
          <w:smallCaps/>
          <w:vanish/>
          <w:color w:val="C00000"/>
          <w:sz w:val="30"/>
          <w:szCs w:val="30"/>
          <w:lang w:eastAsia="es-ES"/>
        </w:rPr>
      </w:pPr>
      <w:bookmarkStart w:id="143" w:name="_Toc374973525"/>
      <w:bookmarkEnd w:id="143"/>
    </w:p>
    <w:p w:rsidR="00A8719D" w:rsidRPr="009745F3" w:rsidRDefault="00A8719D" w:rsidP="001E295C">
      <w:pPr>
        <w:pStyle w:val="Ttulo2"/>
        <w:numPr>
          <w:ilvl w:val="1"/>
          <w:numId w:val="35"/>
        </w:numPr>
        <w:tabs>
          <w:tab w:val="left" w:pos="709"/>
        </w:tabs>
        <w:spacing w:after="0"/>
        <w:ind w:left="709"/>
      </w:pPr>
      <w:bookmarkStart w:id="144" w:name="_Toc405992310"/>
      <w:r w:rsidRPr="009745F3">
        <w:t>Debilidades</w:t>
      </w:r>
      <w:bookmarkEnd w:id="144"/>
      <w:r w:rsidRPr="009745F3">
        <w:t xml:space="preserve"> </w:t>
      </w:r>
    </w:p>
    <w:p w:rsidR="00A8719D" w:rsidRPr="007700A9" w:rsidRDefault="00A8719D" w:rsidP="001E295C">
      <w:r w:rsidRPr="00B740F3">
        <w:t>En el compendio de literatura especializada son fuertes las pruebas sobre la relación de causalidad que existe entre las TIC y el desarrollo socioeconómico. No obstante, la</w:t>
      </w:r>
      <w:r w:rsidR="005C633C">
        <w:t xml:space="preserve"> intensidad del efecto entre a</w:t>
      </w:r>
      <w:r w:rsidRPr="007700A9">
        <w:t>dopción de TIC y crecimiento está modulado por dos factores que pueden minimizar estos efectos positivos: (i) existencia de adecuadas políticas complementarias que permitan la adopción de las TIC tales como educación de la población en general y una política para desarrollo de personal especializado en estas tecnologías para dar adecuada capacitación y soporte en los procesos de apropiación; y (ii) posibles efectos de saturación en algunos mercados más desarrollados donde el impacto efectivo podría reducirse; lo anterior implica que los diversos elementos del ecosistema deben crecer armónicamente y deben ser distribuidos los recursos entre regiones con mayor énfasis en regiones menos desarrolladas donde se debiera obtener un impacto más que proporcional.</w:t>
      </w:r>
    </w:p>
    <w:p w:rsidR="00A8719D" w:rsidRPr="007700A9" w:rsidRDefault="00A8719D" w:rsidP="001E295C">
      <w:r w:rsidRPr="00B740F3">
        <w:t>Existen debilidades en la información a efe</w:t>
      </w:r>
      <w:r w:rsidR="009B3F09">
        <w:t>ctos de medir los impactos del P</w:t>
      </w:r>
      <w:r w:rsidRPr="00B740F3">
        <w:t>lan en el desarrollo socioeconómico del país. Con el fin de ab</w:t>
      </w:r>
      <w:r w:rsidR="00782291">
        <w:t>ordar adecuadamente este</w:t>
      </w:r>
      <w:r w:rsidRPr="007700A9">
        <w:t xml:space="preserve"> análisis, el proceso mismo de medición de impact</w:t>
      </w:r>
      <w:r w:rsidR="00782291">
        <w:t>o deberá focalizarse en</w:t>
      </w:r>
      <w:r w:rsidRPr="007700A9">
        <w:t xml:space="preserve"> las variables directas a medir, destacándose para ello la relación de penetración de suscriptores de Internet con el PIB. No obstante, existe siempre la posibilidad de que esta relación no se presente con la intensidad esperada si hubiera problemas con alguno de los factores exógenos necesarios para el armónico desarrollo del ecosistema.</w:t>
      </w:r>
    </w:p>
    <w:p w:rsidR="00A8719D" w:rsidRPr="007700A9" w:rsidRDefault="00A8719D" w:rsidP="001E295C">
      <w:r w:rsidRPr="007700A9">
        <w:t xml:space="preserve">Con lo anterior, es necesario a futuro coordinar con los responsables de la política pública de educación a efectos de “digitalizar” desde temprana edad a la población para </w:t>
      </w:r>
      <w:r w:rsidRPr="007700A9">
        <w:lastRenderedPageBreak/>
        <w:t>poder maximizar las bondades y potencialidades que las TIC pueden generar en el desarrollo económico y social de las diversas comunidades.</w:t>
      </w:r>
    </w:p>
    <w:p w:rsidR="00A8719D" w:rsidRPr="007700A9" w:rsidRDefault="00A8719D" w:rsidP="001E295C">
      <w:r w:rsidRPr="007700A9">
        <w:t>Considerando lo anterior, lo que hoy pudiera ser una debilidad estructural en la sociedad puede convertirse en fortaleza si se considera la incorporación de procesos de alfabetización digital desde temprana edad en los colegios y sistemas de educación tanto públicos como privados.</w:t>
      </w:r>
    </w:p>
    <w:p w:rsidR="00A8719D" w:rsidRPr="007700A9" w:rsidRDefault="00A8719D" w:rsidP="00A8719D">
      <w:pPr>
        <w:pStyle w:val="T-Figura"/>
      </w:pPr>
      <w:r w:rsidRPr="007700A9">
        <w:t xml:space="preserve">Figura </w:t>
      </w:r>
      <w:r>
        <w:t>5.</w:t>
      </w:r>
      <w:r w:rsidRPr="007700A9">
        <w:t xml:space="preserve">1 – Estructuración e impacto de procesos de alfabetización digital incorporados a </w:t>
      </w:r>
      <w:r>
        <w:t>los procesos educativos básicos</w:t>
      </w:r>
    </w:p>
    <w:p w:rsidR="00A8719D" w:rsidRPr="007700A9" w:rsidRDefault="00A8719D" w:rsidP="00A8719D">
      <w:pPr>
        <w:spacing w:line="360" w:lineRule="auto"/>
        <w:jc w:val="center"/>
        <w:rPr>
          <w:rFonts w:ascii="Calibri" w:hAnsi="Calibri"/>
        </w:rPr>
      </w:pPr>
      <w:r>
        <w:rPr>
          <w:rFonts w:ascii="Calibri" w:hAnsi="Calibri"/>
          <w:noProof/>
          <w:lang w:val="es-CO" w:eastAsia="es-CO"/>
        </w:rPr>
        <w:drawing>
          <wp:inline distT="0" distB="0" distL="0" distR="0">
            <wp:extent cx="4603898" cy="3249321"/>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7460" cy="3251835"/>
                    </a:xfrm>
                    <a:prstGeom prst="rect">
                      <a:avLst/>
                    </a:prstGeom>
                    <a:noFill/>
                    <a:ln>
                      <a:noFill/>
                    </a:ln>
                  </pic:spPr>
                </pic:pic>
              </a:graphicData>
            </a:graphic>
          </wp:inline>
        </w:drawing>
      </w:r>
    </w:p>
    <w:p w:rsidR="00A8719D" w:rsidRDefault="00A8719D" w:rsidP="00A8719D">
      <w:pPr>
        <w:jc w:val="center"/>
        <w:rPr>
          <w:rFonts w:ascii="Century Gothic" w:hAnsi="Century Gothic" w:cs="Arial"/>
          <w:color w:val="404040"/>
          <w:sz w:val="18"/>
          <w:szCs w:val="18"/>
        </w:rPr>
      </w:pPr>
      <w:r w:rsidRPr="009745F3">
        <w:rPr>
          <w:rFonts w:ascii="Century Gothic" w:hAnsi="Century Gothic" w:cs="Arial"/>
          <w:color w:val="404040"/>
          <w:sz w:val="18"/>
          <w:szCs w:val="18"/>
        </w:rPr>
        <w:t>Fuente SAI (2012)</w:t>
      </w:r>
    </w:p>
    <w:p w:rsidR="00A8719D" w:rsidRDefault="00A8719D" w:rsidP="001E295C">
      <w:r>
        <w:t>De otro lado, el Infor</w:t>
      </w:r>
      <w:r w:rsidR="00A66D9B">
        <w:t>me II</w:t>
      </w:r>
      <w:r>
        <w:t xml:space="preserve"> de la consultoría encontró como debilidad, que debería tornarse en una g</w:t>
      </w:r>
      <w:r w:rsidR="00A66D9B">
        <w:t xml:space="preserve">ran oportunidad de crecimiento y de </w:t>
      </w:r>
      <w:r>
        <w:t>aumentos en calidad y rentabilidad, los relativamente bajos niveles de velocidad de los accesos de Internet. A este respecto, según la UIT, la consultoría encontró que Colombia tenía a diciembre de 2011 el 39,8% en accesos con velocidades superiores a los 2 Mbps, hecho que implica que el país tiene 24 puntos porcentuales menos que Chile que tenía el 63,9% con accesos superiores a 2 Mbps. De la misma manera, Brasil tiene cerca de un 9% más de accesos con velocidades superiores a los 2 Mbps que Colombia, con cerca del 50% de sus accesos a Internet con velocidades superiores a los 2 Mbps.</w:t>
      </w:r>
    </w:p>
    <w:p w:rsidR="00A8719D" w:rsidRDefault="00A8719D" w:rsidP="001E295C">
      <w:r>
        <w:lastRenderedPageBreak/>
        <w:t>De lo anterior se concluye que, a pesar de que Colombia ha disminuido de manera muy significativa la brecha en materia de penetración de Internet frente a los restantes países de las Américas, es necesario realizar esfuerzos adicionales tendientes a aumentar las velocidades reales de los accesos fijos que se ofrecen a los suscriptores. A este respecto, normas regulatorias por parte de la CRC y del mismo Ministerio, que modifiquen el nivel mínimo real de velocidad para que un acceso se considere de banda ancha podría forzar a que el mencionado aumento en velocidades reales tenga lugar en la práctica</w:t>
      </w:r>
      <w:r w:rsidR="006E2592">
        <w:t>.</w:t>
      </w:r>
    </w:p>
    <w:p w:rsidR="006E2592" w:rsidRDefault="006E2592" w:rsidP="001E295C">
      <w:r>
        <w:t>Adicio</w:t>
      </w:r>
      <w:r w:rsidR="00A66D9B">
        <w:t xml:space="preserve">nalmente, en el </w:t>
      </w:r>
      <w:r w:rsidR="00470493">
        <w:t>t</w:t>
      </w:r>
      <w:r w:rsidR="00A66D9B">
        <w:t>aller Delphos con</w:t>
      </w:r>
      <w:r>
        <w:t xml:space="preserve"> autoridades del sector se encontró que la promoción de modelos de </w:t>
      </w:r>
      <w:proofErr w:type="spellStart"/>
      <w:r>
        <w:t>clusters</w:t>
      </w:r>
      <w:proofErr w:type="spellEnd"/>
      <w:r>
        <w:t xml:space="preserve"> es una opción adoptada por otros países como Isra</w:t>
      </w:r>
      <w:r w:rsidR="00782291">
        <w:t>el para cerrar brechas con terceros</w:t>
      </w:r>
      <w:r>
        <w:t xml:space="preserve"> países. </w:t>
      </w:r>
      <w:r w:rsidR="007F6035">
        <w:t xml:space="preserve">Otros asistentes señalaron que </w:t>
      </w:r>
      <w:r w:rsidR="007F6035" w:rsidRPr="00580918">
        <w:rPr>
          <w:lang w:val="es-MX" w:eastAsia="es-CO"/>
        </w:rPr>
        <w:t>fijar metas más agresivas</w:t>
      </w:r>
      <w:r w:rsidR="007F6035">
        <w:rPr>
          <w:lang w:val="es-MX" w:eastAsia="es-CO"/>
        </w:rPr>
        <w:t xml:space="preserve"> de velocidad de acceso a internet</w:t>
      </w:r>
      <w:r w:rsidR="007F6035" w:rsidRPr="00580918">
        <w:rPr>
          <w:lang w:val="es-MX" w:eastAsia="es-CO"/>
        </w:rPr>
        <w:t xml:space="preserve">, enfocar recursos a redes de banda ultra ancha y subsidiar el acceso a </w:t>
      </w:r>
      <w:r w:rsidR="007F6035">
        <w:rPr>
          <w:lang w:val="es-MX" w:eastAsia="es-CO"/>
        </w:rPr>
        <w:t xml:space="preserve">terminales son opciones para </w:t>
      </w:r>
      <w:r w:rsidR="007F6035" w:rsidRPr="007F6035">
        <w:rPr>
          <w:lang w:val="es-MX" w:eastAsia="es-CO"/>
        </w:rPr>
        <w:t>lograr el posicionamiento de Colombia a escala mundial, considerando el avance gradual que ha mostrado el país</w:t>
      </w:r>
      <w:r w:rsidR="007F6035">
        <w:rPr>
          <w:lang w:val="es-MX" w:eastAsia="es-CO"/>
        </w:rPr>
        <w:t>.</w:t>
      </w:r>
    </w:p>
    <w:p w:rsidR="00A8719D" w:rsidRPr="00B740F3" w:rsidRDefault="00A8719D" w:rsidP="001E295C">
      <w:pPr>
        <w:pStyle w:val="Ttulo2"/>
        <w:numPr>
          <w:ilvl w:val="1"/>
          <w:numId w:val="35"/>
        </w:numPr>
        <w:spacing w:after="0"/>
        <w:ind w:left="709"/>
      </w:pPr>
      <w:bookmarkStart w:id="145" w:name="_Toc405992311"/>
      <w:r w:rsidRPr="00B740F3">
        <w:t>Fortalezas</w:t>
      </w:r>
      <w:bookmarkEnd w:id="145"/>
    </w:p>
    <w:p w:rsidR="00A8719D" w:rsidRPr="006B3E1A" w:rsidRDefault="00A8719D" w:rsidP="001E295C">
      <w:r w:rsidRPr="00B740F3">
        <w:t>En el análisis sobre los diversos elementos y proyectos del Plan Vive Digital, se encuentra evidencia de un desarrollo armónico y adecuado en los componentes medulares del mismo</w:t>
      </w:r>
      <w:r w:rsidRPr="006B3E1A">
        <w:t xml:space="preserve">. </w:t>
      </w:r>
    </w:p>
    <w:p w:rsidR="00A8719D" w:rsidRDefault="00A8719D" w:rsidP="001E295C">
      <w:r w:rsidRPr="001A4086">
        <w:t xml:space="preserve">Si existen retrasos en algunos componentes, </w:t>
      </w:r>
      <w:r w:rsidRPr="00B740F3">
        <w:t>ellos no son críticos y responden a la</w:t>
      </w:r>
      <w:r w:rsidRPr="007700A9">
        <w:t xml:space="preserve"> natural dinámica de coordinación y desarrollo de diversos proyectos que en últimas terminarán completando todos los componentes necesarios dentro del ecosistema propuesto.</w:t>
      </w:r>
    </w:p>
    <w:p w:rsidR="00A8719D" w:rsidRDefault="00A8719D" w:rsidP="001E295C">
      <w:r>
        <w:t>Las fortalezas del Plan Vive Digital se evidencian en diferentes frentes, como se presenta a continuación en las siguientes secciones del documento:</w:t>
      </w:r>
    </w:p>
    <w:p w:rsidR="00A8719D" w:rsidRPr="00513C63" w:rsidRDefault="00A8719D" w:rsidP="001E295C">
      <w:pPr>
        <w:pStyle w:val="Ttulo3"/>
        <w:numPr>
          <w:ilvl w:val="2"/>
          <w:numId w:val="35"/>
        </w:numPr>
        <w:ind w:left="1134"/>
        <w:rPr>
          <w:sz w:val="26"/>
          <w:szCs w:val="26"/>
        </w:rPr>
      </w:pPr>
      <w:r w:rsidRPr="00513C63">
        <w:rPr>
          <w:sz w:val="26"/>
          <w:szCs w:val="26"/>
        </w:rPr>
        <w:t>Despliegue de infraestructura en frentes diversos</w:t>
      </w:r>
    </w:p>
    <w:p w:rsidR="00A8719D" w:rsidRDefault="00A8719D" w:rsidP="001E295C">
      <w:r w:rsidRPr="00555CAD">
        <w:t>En primera instancia se evidencia un gran desarrollo y avance muy significativo en el despliegue de infraestructura en todo el territorio</w:t>
      </w:r>
      <w:r w:rsidR="00782291">
        <w:t xml:space="preserve"> nacional,</w:t>
      </w:r>
      <w:r w:rsidRPr="004735C5">
        <w:t xml:space="preserve"> que es el componente más crítico en </w:t>
      </w:r>
      <w:r w:rsidR="00782291">
        <w:t>inversión y tiempo de ejecución</w:t>
      </w:r>
      <w:r w:rsidRPr="004735C5">
        <w:t>, con lo cual las bases de desarrollo del ecosistema se</w:t>
      </w:r>
      <w:r w:rsidRPr="007700A9">
        <w:t xml:space="preserve"> sugieren sólida</w:t>
      </w:r>
      <w:r w:rsidR="00782291">
        <w:t>s. S</w:t>
      </w:r>
      <w:r w:rsidRPr="007700A9">
        <w:t>e ev</w:t>
      </w:r>
      <w:r w:rsidR="00782291">
        <w:t>idencia una dinámica</w:t>
      </w:r>
      <w:r w:rsidRPr="007700A9">
        <w:t xml:space="preserve"> de aumento del acceso de los ciudada</w:t>
      </w:r>
      <w:r w:rsidR="00782291">
        <w:t>nos a los diversos servicios y una mejora en</w:t>
      </w:r>
      <w:r w:rsidRPr="007700A9">
        <w:t xml:space="preserve"> los indicadores técnicos de calidad y disponibilidad de los mismos, con lo cual se avanza adecuadamente en el ciclo planeado originalmente en el ecosistema de creación de demanda por parte de los usuarios</w:t>
      </w:r>
      <w:r w:rsidR="00A357FA">
        <w:t>,</w:t>
      </w:r>
      <w:r w:rsidRPr="007700A9">
        <w:t xml:space="preserve"> como parte del desarrollo integral del ecosistema digital propuesto. </w:t>
      </w:r>
    </w:p>
    <w:p w:rsidR="00A8719D" w:rsidRDefault="00A8719D" w:rsidP="001E295C">
      <w:r>
        <w:lastRenderedPageBreak/>
        <w:t>Ese despliegue de infraestructura se refleja en varios frentes:</w:t>
      </w:r>
    </w:p>
    <w:p w:rsidR="00A8719D" w:rsidRPr="007213C3" w:rsidRDefault="00A8719D" w:rsidP="001E295C">
      <w:pPr>
        <w:numPr>
          <w:ilvl w:val="0"/>
          <w:numId w:val="21"/>
        </w:numPr>
      </w:pPr>
      <w:r w:rsidRPr="007213C3">
        <w:t>Construcción y despliegue de cables submarinos que aumentó la cobertura de cable submarino:</w:t>
      </w:r>
    </w:p>
    <w:p w:rsidR="00A8719D" w:rsidRDefault="00A8719D" w:rsidP="001E295C">
      <w:r>
        <w:t>De ac</w:t>
      </w:r>
      <w:r w:rsidR="00324CE7">
        <w:t>uerdo con las conclusiones del C</w:t>
      </w:r>
      <w:r>
        <w:t>apítulo 5 del Informe 1 de la consultoría, se evidenció el despliegue de nuevos cables submarinos que tocaban territorio colombiano. Se constató en dicho capítulo el tendido por parte de América Móvil de un nuevo c</w:t>
      </w:r>
      <w:r w:rsidR="00324CE7">
        <w:t>able (cable AM-1). Igualmente, en el caso de la Costa P</w:t>
      </w:r>
      <w:r>
        <w:t xml:space="preserve">acífica, se encontró que el cable South American </w:t>
      </w:r>
      <w:proofErr w:type="spellStart"/>
      <w:r>
        <w:t>Crossing</w:t>
      </w:r>
      <w:proofErr w:type="spellEnd"/>
      <w:r>
        <w:t xml:space="preserve"> (SAC), propiedad del operador </w:t>
      </w:r>
      <w:proofErr w:type="spellStart"/>
      <w:r>
        <w:t>Level</w:t>
      </w:r>
      <w:proofErr w:type="spellEnd"/>
      <w:r>
        <w:t xml:space="preserve"> 3, tiene previsto un ramal en Buenaventura desde su construcción original el cual no había sido aún desarrollado para conectar directamente al país.</w:t>
      </w:r>
    </w:p>
    <w:p w:rsidR="00A8719D" w:rsidRDefault="00A8719D" w:rsidP="001E295C">
      <w:r>
        <w:t xml:space="preserve">Asimismo, en el mes de diciembre del presente año se inauguró por parte de </w:t>
      </w:r>
      <w:proofErr w:type="spellStart"/>
      <w:r>
        <w:t>Globenet</w:t>
      </w:r>
      <w:proofErr w:type="spellEnd"/>
      <w:r>
        <w:t>, empresa del grupo brasileño OI la entrada de un ramal de su cable submarino, a ser operador por el grupo UNE-EPM.</w:t>
      </w:r>
    </w:p>
    <w:p w:rsidR="00A8719D" w:rsidRDefault="00A8719D" w:rsidP="001E295C">
      <w:r>
        <w:t xml:space="preserve">Finalmente, </w:t>
      </w:r>
      <w:r>
        <w:rPr>
          <w:rFonts w:cs="Arial"/>
        </w:rPr>
        <w:t xml:space="preserve">se anunció para el año 2014 </w:t>
      </w:r>
      <w:r w:rsidRPr="001D23D7">
        <w:rPr>
          <w:rFonts w:cs="Arial"/>
        </w:rPr>
        <w:t xml:space="preserve">el cable </w:t>
      </w:r>
      <w:proofErr w:type="spellStart"/>
      <w:r w:rsidRPr="001D23D7">
        <w:rPr>
          <w:rFonts w:cs="Arial"/>
        </w:rPr>
        <w:t>Pacific</w:t>
      </w:r>
      <w:proofErr w:type="spellEnd"/>
      <w:r w:rsidRPr="001D23D7">
        <w:rPr>
          <w:rFonts w:cs="Arial"/>
        </w:rPr>
        <w:t xml:space="preserve"> </w:t>
      </w:r>
      <w:proofErr w:type="spellStart"/>
      <w:r w:rsidRPr="001D23D7">
        <w:rPr>
          <w:rFonts w:cs="Arial"/>
        </w:rPr>
        <w:t>Caribbean</w:t>
      </w:r>
      <w:proofErr w:type="spellEnd"/>
      <w:r w:rsidRPr="001D23D7">
        <w:rPr>
          <w:rFonts w:cs="Arial"/>
        </w:rPr>
        <w:t xml:space="preserve"> Cable </w:t>
      </w:r>
      <w:proofErr w:type="spellStart"/>
      <w:r w:rsidRPr="001D23D7">
        <w:rPr>
          <w:rFonts w:cs="Arial"/>
        </w:rPr>
        <w:t>System</w:t>
      </w:r>
      <w:proofErr w:type="spellEnd"/>
      <w:r w:rsidRPr="001D23D7">
        <w:rPr>
          <w:rFonts w:cs="Arial"/>
        </w:rPr>
        <w:t xml:space="preserve"> (PCCS) de Cable &amp; </w:t>
      </w:r>
      <w:proofErr w:type="spellStart"/>
      <w:r w:rsidRPr="001D23D7">
        <w:rPr>
          <w:rFonts w:cs="Arial"/>
        </w:rPr>
        <w:t>Wireless</w:t>
      </w:r>
      <w:proofErr w:type="spellEnd"/>
      <w:r w:rsidRPr="001D23D7">
        <w:rPr>
          <w:rFonts w:cs="Arial"/>
        </w:rPr>
        <w:t xml:space="preserve"> </w:t>
      </w:r>
      <w:proofErr w:type="spellStart"/>
      <w:r w:rsidRPr="001D23D7">
        <w:rPr>
          <w:rFonts w:cs="Arial"/>
        </w:rPr>
        <w:t>Communications</w:t>
      </w:r>
      <w:proofErr w:type="spellEnd"/>
      <w:r w:rsidRPr="001D23D7">
        <w:rPr>
          <w:rFonts w:cs="Arial"/>
        </w:rPr>
        <w:t xml:space="preserve">, </w:t>
      </w:r>
      <w:proofErr w:type="spellStart"/>
      <w:r w:rsidRPr="001D23D7">
        <w:rPr>
          <w:rFonts w:cs="Arial"/>
        </w:rPr>
        <w:t>Telconet</w:t>
      </w:r>
      <w:proofErr w:type="spellEnd"/>
      <w:r w:rsidRPr="001D23D7">
        <w:rPr>
          <w:rFonts w:cs="Arial"/>
        </w:rPr>
        <w:t xml:space="preserve">, </w:t>
      </w:r>
      <w:proofErr w:type="spellStart"/>
      <w:r w:rsidRPr="001D23D7">
        <w:rPr>
          <w:rFonts w:cs="Arial"/>
        </w:rPr>
        <w:t>Telefonica</w:t>
      </w:r>
      <w:proofErr w:type="spellEnd"/>
      <w:r w:rsidRPr="001D23D7">
        <w:rPr>
          <w:rFonts w:cs="Arial"/>
        </w:rPr>
        <w:t xml:space="preserve">, Setar, </w:t>
      </w:r>
      <w:proofErr w:type="spellStart"/>
      <w:r w:rsidRPr="001D23D7">
        <w:rPr>
          <w:rFonts w:cs="Arial"/>
        </w:rPr>
        <w:t>United</w:t>
      </w:r>
      <w:proofErr w:type="spellEnd"/>
      <w:r w:rsidRPr="001D23D7">
        <w:rPr>
          <w:rFonts w:cs="Arial"/>
        </w:rPr>
        <w:t xml:space="preserve"> </w:t>
      </w:r>
      <w:proofErr w:type="spellStart"/>
      <w:r w:rsidRPr="001D23D7">
        <w:rPr>
          <w:rFonts w:cs="Arial"/>
        </w:rPr>
        <w:t>Telecommunication</w:t>
      </w:r>
      <w:proofErr w:type="spellEnd"/>
      <w:r w:rsidRPr="001D23D7">
        <w:rPr>
          <w:rFonts w:cs="Arial"/>
        </w:rPr>
        <w:t xml:space="preserve"> </w:t>
      </w:r>
      <w:proofErr w:type="spellStart"/>
      <w:r w:rsidRPr="001D23D7">
        <w:rPr>
          <w:rFonts w:cs="Arial"/>
        </w:rPr>
        <w:t>Services</w:t>
      </w:r>
      <w:proofErr w:type="spellEnd"/>
      <w:r w:rsidRPr="001D23D7">
        <w:rPr>
          <w:rFonts w:cs="Arial"/>
        </w:rPr>
        <w:t xml:space="preserve"> (UTS) planeado para el semestre 3 de 2014, variando la conformación de cables (instalados y anunciados)</w:t>
      </w:r>
      <w:r>
        <w:rPr>
          <w:rFonts w:cs="Arial"/>
        </w:rPr>
        <w:t xml:space="preserve">. </w:t>
      </w:r>
      <w:r>
        <w:t>La ruta específica del sistema PCCS anunciado incluye el Ecuador, Panamá, Colombia, Araba, islas del caribe y Estados Unidos.</w:t>
      </w:r>
    </w:p>
    <w:p w:rsidR="00A8719D" w:rsidRDefault="00A8719D" w:rsidP="001E295C">
      <w:r>
        <w:t>Con lo anterior, se desconcentra y aumenta la capacidad del sistema de cables submarinos en Colombia que garantiza la conectividad a futuro del país, según una de las metas previstas en el Plan Vive Digital.</w:t>
      </w:r>
    </w:p>
    <w:p w:rsidR="00A8719D" w:rsidRPr="007213C3" w:rsidRDefault="00A8719D" w:rsidP="001E295C">
      <w:pPr>
        <w:numPr>
          <w:ilvl w:val="0"/>
          <w:numId w:val="21"/>
        </w:numPr>
      </w:pPr>
      <w:r w:rsidRPr="007213C3">
        <w:t xml:space="preserve">Expansión del </w:t>
      </w:r>
      <w:proofErr w:type="spellStart"/>
      <w:r w:rsidRPr="007213C3">
        <w:rPr>
          <w:i/>
        </w:rPr>
        <w:t>backbone</w:t>
      </w:r>
      <w:proofErr w:type="spellEnd"/>
      <w:r w:rsidRPr="007213C3">
        <w:t xml:space="preserve"> nacional de fibra óptica</w:t>
      </w:r>
    </w:p>
    <w:p w:rsidR="00A8719D" w:rsidRDefault="00B31895" w:rsidP="001E295C">
      <w:r>
        <w:t>El P</w:t>
      </w:r>
      <w:r w:rsidR="00A8719D">
        <w:t xml:space="preserve">lan Vive Digital se propuso triplicar el número de municipios conectados a la autopista de la información a través de redes de fibra óptica. Como lo plantea la sección 4.3 del Informe 2 de la consultoría, en desarrollo de este plan, el gobierno nacional a través del </w:t>
      </w:r>
      <w:r w:rsidR="0008289E" w:rsidRPr="000D499F">
        <w:rPr>
          <w:rFonts w:eastAsia="Times New Roman" w:cs="Times New Roman"/>
        </w:rPr>
        <w:t>MINTIC</w:t>
      </w:r>
      <w:r w:rsidR="0008289E" w:rsidRPr="00624F48">
        <w:t xml:space="preserve"> </w:t>
      </w:r>
      <w:r w:rsidR="00A8719D">
        <w:t>y el Fondo de las TIC llevó a cabo el desarrollo del denominado Proyecto Nacional de Fibra Óptica –PNFO-, con el objetivo principal de pasar de menos de 200 municipios conectados a la red troncal de fibra del país a no menos de 700 municipios al final del gobierno.</w:t>
      </w:r>
    </w:p>
    <w:p w:rsidR="00A8719D" w:rsidRDefault="00A8719D" w:rsidP="001E295C">
      <w:r w:rsidRPr="00364017">
        <w:t xml:space="preserve">Como parte del plan, </w:t>
      </w:r>
      <w:r>
        <w:t xml:space="preserve">la Unión Temporal conformado por </w:t>
      </w:r>
      <w:r w:rsidRPr="00364017">
        <w:t xml:space="preserve">las firmas </w:t>
      </w:r>
      <w:r>
        <w:t>mexicana</w:t>
      </w:r>
      <w:r w:rsidR="00E15683">
        <w:t>s</w:t>
      </w:r>
      <w:r w:rsidRPr="00364017">
        <w:t xml:space="preserve"> Total Play y Azteca</w:t>
      </w:r>
      <w:r>
        <w:t xml:space="preserve"> TV </w:t>
      </w:r>
      <w:r w:rsidR="00556153">
        <w:t>conectarán</w:t>
      </w:r>
      <w:r>
        <w:t xml:space="preserve"> </w:t>
      </w:r>
      <w:r w:rsidR="001F7FBB">
        <w:t>1.078</w:t>
      </w:r>
      <w:r>
        <w:t xml:space="preserve"> municipios</w:t>
      </w:r>
      <w:r w:rsidR="00556153">
        <w:t xml:space="preserve"> de 1.122</w:t>
      </w:r>
      <w:r>
        <w:t>.</w:t>
      </w:r>
      <w:r w:rsidRPr="00364017">
        <w:t xml:space="preserve"> </w:t>
      </w:r>
      <w:r>
        <w:t xml:space="preserve">El Informe 2 de la Consultoría </w:t>
      </w:r>
      <w:r>
        <w:lastRenderedPageBreak/>
        <w:t>encontró que</w:t>
      </w:r>
      <w:r w:rsidRPr="00364017">
        <w:t xml:space="preserve"> el PNFO avanza d</w:t>
      </w:r>
      <w:r>
        <w:t xml:space="preserve">e conformidad con lo planeado, habiéndose entregado </w:t>
      </w:r>
      <w:r w:rsidR="0084036A">
        <w:t>777</w:t>
      </w:r>
      <w:r>
        <w:t xml:space="preserve"> municipios conectados al </w:t>
      </w:r>
      <w:proofErr w:type="spellStart"/>
      <w:r w:rsidRPr="0084036A">
        <w:rPr>
          <w:i/>
        </w:rPr>
        <w:t>backbone</w:t>
      </w:r>
      <w:proofErr w:type="spellEnd"/>
      <w:r>
        <w:t xml:space="preserve"> de fibra</w:t>
      </w:r>
      <w:r w:rsidR="0084036A">
        <w:t xml:space="preserve"> para el cierre de 2013</w:t>
      </w:r>
      <w:r>
        <w:t>,</w:t>
      </w:r>
      <w:r w:rsidRPr="00364017">
        <w:t xml:space="preserve"> con los recursos financieros y acceso a derechos de vía disponibles, por lo que es previsible que se logre la meta propuesta dentro del cronograma planeado.</w:t>
      </w:r>
    </w:p>
    <w:p w:rsidR="00A8719D" w:rsidRPr="007213C3" w:rsidRDefault="00A8719D" w:rsidP="001E295C">
      <w:pPr>
        <w:numPr>
          <w:ilvl w:val="0"/>
          <w:numId w:val="21"/>
        </w:numPr>
      </w:pPr>
      <w:r w:rsidRPr="007213C3">
        <w:t>Aumentos significativos en la penetración de Internet en Colombia</w:t>
      </w:r>
    </w:p>
    <w:p w:rsidR="00A8719D" w:rsidRDefault="00A66D9B" w:rsidP="001E295C">
      <w:pPr>
        <w:rPr>
          <w:lang w:eastAsia="es-ES"/>
        </w:rPr>
      </w:pPr>
      <w:r>
        <w:rPr>
          <w:lang w:eastAsia="es-ES"/>
        </w:rPr>
        <w:t>El capítulo 6 del Informe II</w:t>
      </w:r>
      <w:r w:rsidR="00A8719D">
        <w:rPr>
          <w:lang w:eastAsia="es-ES"/>
        </w:rPr>
        <w:t xml:space="preserve"> de la consultoría concluyó </w:t>
      </w:r>
      <w:r w:rsidR="00A8719D" w:rsidRPr="004735C5">
        <w:rPr>
          <w:lang w:eastAsia="es-ES"/>
        </w:rPr>
        <w:t xml:space="preserve">que, por su volumen e importancia relativa, los estratos 2 y 3 </w:t>
      </w:r>
      <w:r w:rsidR="00A8719D">
        <w:rPr>
          <w:lang w:eastAsia="es-ES"/>
        </w:rPr>
        <w:t xml:space="preserve">fueron </w:t>
      </w:r>
      <w:r w:rsidR="00A8719D" w:rsidRPr="004735C5">
        <w:rPr>
          <w:lang w:eastAsia="es-ES"/>
        </w:rPr>
        <w:t>fundamentales para el crecimiento de los operadores tanto en los servicios de telefonía fija como en de Internet</w:t>
      </w:r>
      <w:r w:rsidR="00A8719D">
        <w:rPr>
          <w:lang w:eastAsia="es-ES"/>
        </w:rPr>
        <w:t>, como lo previó el Plan Vive Digital. A este respecto, el informe encontró varios hechos fundamentales:</w:t>
      </w:r>
    </w:p>
    <w:p w:rsidR="00A8719D" w:rsidRDefault="00A8719D" w:rsidP="001E295C">
      <w:pPr>
        <w:numPr>
          <w:ilvl w:val="1"/>
          <w:numId w:val="21"/>
        </w:numPr>
        <w:rPr>
          <w:lang w:eastAsia="es-ES"/>
        </w:rPr>
      </w:pPr>
      <w:r>
        <w:rPr>
          <w:lang w:eastAsia="es-ES"/>
        </w:rPr>
        <w:t>S</w:t>
      </w:r>
      <w:r w:rsidRPr="00302052">
        <w:rPr>
          <w:lang w:eastAsia="es-ES"/>
        </w:rPr>
        <w:t>egún cifras de la UIT, Colombia ha sido el país que ha mostrado el mayor crecimiento en las tasas de penetración de Internet en las Américas durante el período comprendido entre diciembre de 2009 y diciembre de 2012</w:t>
      </w:r>
      <w:r>
        <w:rPr>
          <w:lang w:eastAsia="es-ES"/>
        </w:rPr>
        <w:t xml:space="preserve">. En ese periodo </w:t>
      </w:r>
      <w:r w:rsidRPr="00302052">
        <w:rPr>
          <w:lang w:eastAsia="es-ES"/>
        </w:rPr>
        <w:t xml:space="preserve">el número de accesos de Internet creció </w:t>
      </w:r>
      <w:r>
        <w:rPr>
          <w:lang w:eastAsia="es-ES"/>
        </w:rPr>
        <w:t xml:space="preserve">a una tasa del </w:t>
      </w:r>
      <w:r w:rsidRPr="00302052">
        <w:rPr>
          <w:lang w:eastAsia="es-ES"/>
        </w:rPr>
        <w:t>24,6% promedio anual</w:t>
      </w:r>
      <w:r>
        <w:rPr>
          <w:lang w:eastAsia="es-ES"/>
        </w:rPr>
        <w:t>, porcentaje muy superior al resto de países de las Américas.</w:t>
      </w:r>
    </w:p>
    <w:p w:rsidR="00A8719D" w:rsidRDefault="00A8719D" w:rsidP="001E295C">
      <w:pPr>
        <w:numPr>
          <w:ilvl w:val="1"/>
          <w:numId w:val="21"/>
        </w:numPr>
        <w:rPr>
          <w:lang w:eastAsia="es-ES"/>
        </w:rPr>
      </w:pPr>
      <w:r>
        <w:rPr>
          <w:lang w:eastAsia="es-ES"/>
        </w:rPr>
        <w:t>De otro lado, al finalizar junio de 2013, se observó para el país</w:t>
      </w:r>
      <w:r w:rsidRPr="001F7F8E">
        <w:rPr>
          <w:lang w:eastAsia="es-ES"/>
        </w:rPr>
        <w:t xml:space="preserve"> una tasa de crecimiento vigorosa del 22% promedio anual durante el período, que, como se mencionó en </w:t>
      </w:r>
      <w:r>
        <w:rPr>
          <w:lang w:eastAsia="es-ES"/>
        </w:rPr>
        <w:t>informe</w:t>
      </w:r>
      <w:r w:rsidRPr="001F7F8E">
        <w:rPr>
          <w:lang w:eastAsia="es-ES"/>
        </w:rPr>
        <w:t>, superó las observadas para el resto de países de la región.</w:t>
      </w:r>
      <w:r>
        <w:rPr>
          <w:lang w:eastAsia="es-ES"/>
        </w:rPr>
        <w:t xml:space="preserve"> </w:t>
      </w:r>
    </w:p>
    <w:p w:rsidR="00A8719D" w:rsidRDefault="00A8719D" w:rsidP="001E295C">
      <w:pPr>
        <w:numPr>
          <w:ilvl w:val="1"/>
          <w:numId w:val="21"/>
        </w:numPr>
        <w:rPr>
          <w:lang w:eastAsia="es-ES"/>
        </w:rPr>
      </w:pPr>
      <w:r>
        <w:rPr>
          <w:lang w:eastAsia="es-ES"/>
        </w:rPr>
        <w:t>Como lo presentó la sección 6.1.5 del Informe 2, l</w:t>
      </w:r>
      <w:r w:rsidRPr="001F7F8E">
        <w:rPr>
          <w:lang w:eastAsia="es-ES"/>
        </w:rPr>
        <w:t xml:space="preserve">as velocidades de los accesos </w:t>
      </w:r>
      <w:r>
        <w:rPr>
          <w:lang w:eastAsia="es-ES"/>
        </w:rPr>
        <w:t xml:space="preserve">fijos </w:t>
      </w:r>
      <w:r w:rsidRPr="001F7F8E">
        <w:rPr>
          <w:lang w:eastAsia="es-ES"/>
        </w:rPr>
        <w:t>a</w:t>
      </w:r>
      <w:r>
        <w:rPr>
          <w:lang w:eastAsia="es-ES"/>
        </w:rPr>
        <w:t xml:space="preserve">umentaron de manera importante. </w:t>
      </w:r>
      <w:r w:rsidRPr="001F7F8E">
        <w:rPr>
          <w:lang w:eastAsia="es-ES"/>
        </w:rPr>
        <w:t>Como se comentó en capítulo</w:t>
      </w:r>
      <w:r>
        <w:rPr>
          <w:lang w:eastAsia="es-ES"/>
        </w:rPr>
        <w:t xml:space="preserve"> 6 del informe</w:t>
      </w:r>
      <w:r w:rsidRPr="001F7F8E">
        <w:rPr>
          <w:lang w:eastAsia="es-ES"/>
        </w:rPr>
        <w:t>, existe un espacio importante de mejora al comparar las velocidades ofrecidas por los operadores con respecto a las de firmas en otros países de la región.</w:t>
      </w:r>
    </w:p>
    <w:p w:rsidR="00A8719D" w:rsidRDefault="00A8719D" w:rsidP="001E295C">
      <w:pPr>
        <w:numPr>
          <w:ilvl w:val="1"/>
          <w:numId w:val="21"/>
        </w:numPr>
        <w:rPr>
          <w:lang w:eastAsia="es-ES"/>
        </w:rPr>
      </w:pPr>
      <w:r>
        <w:rPr>
          <w:lang w:eastAsia="es-ES"/>
        </w:rPr>
        <w:t xml:space="preserve">Se encontró como gran fortaleza en la ejecución del Plan, que fruto de los estímulos del mismo, se ha logrado un </w:t>
      </w:r>
      <w:r w:rsidRPr="001F7F8E">
        <w:rPr>
          <w:lang w:eastAsia="es-ES"/>
        </w:rPr>
        <w:t xml:space="preserve">mayor énfasis </w:t>
      </w:r>
      <w:r>
        <w:rPr>
          <w:lang w:eastAsia="es-ES"/>
        </w:rPr>
        <w:t>por parte de</w:t>
      </w:r>
      <w:r w:rsidRPr="001F7F8E">
        <w:rPr>
          <w:lang w:eastAsia="es-ES"/>
        </w:rPr>
        <w:t xml:space="preserve"> los operadores fijos a su crecimiento en los estratos más bajos. Los estratos 1 y 2 han logrado aumentar sus niveles de penetración de Internet</w:t>
      </w:r>
      <w:r>
        <w:rPr>
          <w:lang w:eastAsia="es-ES"/>
        </w:rPr>
        <w:t xml:space="preserve"> fijo</w:t>
      </w:r>
      <w:r w:rsidRPr="001F7F8E">
        <w:rPr>
          <w:lang w:eastAsia="es-ES"/>
        </w:rPr>
        <w:t>.</w:t>
      </w:r>
    </w:p>
    <w:p w:rsidR="00A8719D" w:rsidRDefault="00A8719D" w:rsidP="001E295C">
      <w:pPr>
        <w:numPr>
          <w:ilvl w:val="1"/>
          <w:numId w:val="21"/>
        </w:numPr>
        <w:rPr>
          <w:lang w:eastAsia="es-ES"/>
        </w:rPr>
      </w:pPr>
      <w:r>
        <w:rPr>
          <w:lang w:eastAsia="es-ES"/>
        </w:rPr>
        <w:t>A pesar de que la cobertura de</w:t>
      </w:r>
      <w:r w:rsidRPr="00BE5741">
        <w:rPr>
          <w:lang w:eastAsia="es-ES"/>
        </w:rPr>
        <w:t>l servicio de Internet en el hogar</w:t>
      </w:r>
      <w:r>
        <w:rPr>
          <w:lang w:eastAsia="es-ES"/>
        </w:rPr>
        <w:t xml:space="preserve"> ha crecido de manera rápida, sin</w:t>
      </w:r>
      <w:r w:rsidRPr="00BE5741">
        <w:rPr>
          <w:lang w:eastAsia="es-ES"/>
        </w:rPr>
        <w:t xml:space="preserve"> embargo todavía está muy baja, 29.2% a nivel nacional, aunque viene creciendo aceleradamente: 10 puntos porcentuales en los últimos tres años. Bogotá, Antioquia, Valle y Risaralda ha venido liderando este proceso, como lo muestra su crecimiento cercano a los 14 puntos porcentuales en los últimos tres años; aunque</w:t>
      </w:r>
      <w:r>
        <w:rPr>
          <w:lang w:eastAsia="es-ES"/>
        </w:rPr>
        <w:t>,</w:t>
      </w:r>
      <w:r w:rsidRPr="00BE5741">
        <w:rPr>
          <w:lang w:eastAsia="es-ES"/>
        </w:rPr>
        <w:t xml:space="preserve"> en general</w:t>
      </w:r>
      <w:r>
        <w:rPr>
          <w:lang w:eastAsia="es-ES"/>
        </w:rPr>
        <w:t>,</w:t>
      </w:r>
      <w:r w:rsidRPr="00BE5741">
        <w:rPr>
          <w:lang w:eastAsia="es-ES"/>
        </w:rPr>
        <w:t xml:space="preserve"> los departamentos </w:t>
      </w:r>
      <w:r w:rsidRPr="00BE5741">
        <w:rPr>
          <w:lang w:eastAsia="es-ES"/>
        </w:rPr>
        <w:lastRenderedPageBreak/>
        <w:t>con coberturas por debajo del promedio nacional, también vienen aumentando rápidamente, con excepción de los departamentos con las coberturas más bajas, como Chocó, Caquetá, Guajira, Boyacá y Sucre, donde los aumentos en el trienio están por debajo de 5 puntos porcentuales.</w:t>
      </w:r>
    </w:p>
    <w:p w:rsidR="00A8719D" w:rsidRPr="003F211F" w:rsidRDefault="00A8719D" w:rsidP="001E295C">
      <w:pPr>
        <w:numPr>
          <w:ilvl w:val="1"/>
          <w:numId w:val="21"/>
        </w:numPr>
        <w:rPr>
          <w:lang w:eastAsia="es-ES"/>
        </w:rPr>
      </w:pPr>
      <w:r w:rsidRPr="00302052">
        <w:rPr>
          <w:lang w:eastAsia="es-ES"/>
        </w:rPr>
        <w:t xml:space="preserve">El </w:t>
      </w:r>
      <w:r>
        <w:rPr>
          <w:lang w:eastAsia="es-ES"/>
        </w:rPr>
        <w:t xml:space="preserve">estudio encontró de igual manera que el </w:t>
      </w:r>
      <w:r w:rsidRPr="00302052">
        <w:rPr>
          <w:lang w:eastAsia="es-ES"/>
        </w:rPr>
        <w:t>sector ha alcanzado una penetración del orden del 8% en el número de suscriptores de Internet móvil, elevando en cerca de 6 puntos porcentuales la densidad observada en el primer trimestre del año 2010.</w:t>
      </w:r>
    </w:p>
    <w:p w:rsidR="00A8719D" w:rsidRPr="00513C63" w:rsidRDefault="00A8719D" w:rsidP="001E295C">
      <w:pPr>
        <w:pStyle w:val="Ttulo3"/>
        <w:numPr>
          <w:ilvl w:val="2"/>
          <w:numId w:val="35"/>
        </w:numPr>
        <w:ind w:left="1134"/>
        <w:jc w:val="both"/>
        <w:rPr>
          <w:sz w:val="26"/>
          <w:szCs w:val="26"/>
        </w:rPr>
      </w:pPr>
      <w:r w:rsidRPr="00513C63">
        <w:rPr>
          <w:sz w:val="26"/>
          <w:szCs w:val="26"/>
        </w:rPr>
        <w:t>Impacto del Plan Vive Digital sobre los agregados macro</w:t>
      </w:r>
      <w:r w:rsidR="008B40A0">
        <w:rPr>
          <w:sz w:val="26"/>
          <w:szCs w:val="26"/>
        </w:rPr>
        <w:t>-</w:t>
      </w:r>
      <w:r w:rsidRPr="00513C63">
        <w:rPr>
          <w:sz w:val="26"/>
          <w:szCs w:val="26"/>
        </w:rPr>
        <w:t>sectoriales</w:t>
      </w:r>
    </w:p>
    <w:p w:rsidR="00A8719D" w:rsidRDefault="00A8719D" w:rsidP="001E295C">
      <w:r>
        <w:t xml:space="preserve">De otro lado, en segundo lugar, el capítulo </w:t>
      </w:r>
      <w:r w:rsidR="008F2346">
        <w:t>2</w:t>
      </w:r>
      <w:r>
        <w:t xml:space="preserve"> del presente documento encontró un impacto muy fuerte en los niveles de penetración del Internet en los hogares fruto de la adopción del Plan Vive Digital. A este respecto, se hallaron varias experiencias significativas:</w:t>
      </w:r>
    </w:p>
    <w:p w:rsidR="00A8719D" w:rsidRPr="00AC2AC0" w:rsidRDefault="008F2346" w:rsidP="001E295C">
      <w:pPr>
        <w:numPr>
          <w:ilvl w:val="0"/>
          <w:numId w:val="20"/>
        </w:numPr>
        <w:rPr>
          <w:b/>
        </w:rPr>
      </w:pPr>
      <w:r>
        <w:t>S</w:t>
      </w:r>
      <w:r w:rsidR="00A66D9B">
        <w:t>e</w:t>
      </w:r>
      <w:r w:rsidR="00D963BF">
        <w:t xml:space="preserve"> encontró (ver Cuadros A 1.11 a 1.13</w:t>
      </w:r>
      <w:r w:rsidR="008B40A0">
        <w:t>)</w:t>
      </w:r>
      <w:r w:rsidR="00A8719D" w:rsidRPr="00623055">
        <w:t xml:space="preserve"> </w:t>
      </w:r>
      <w:r w:rsidR="00A66D9B">
        <w:t>que hubo</w:t>
      </w:r>
      <w:r w:rsidR="00A8719D">
        <w:t xml:space="preserve"> un </w:t>
      </w:r>
      <w:r w:rsidR="00A8719D" w:rsidRPr="00623055">
        <w:t xml:space="preserve">incremento </w:t>
      </w:r>
      <w:r w:rsidR="00A8719D">
        <w:t xml:space="preserve">muy significativo </w:t>
      </w:r>
      <w:r w:rsidR="00A8719D" w:rsidRPr="00623055">
        <w:t>entre el año 2010 y el año 2012</w:t>
      </w:r>
      <w:r w:rsidR="00A8719D">
        <w:t xml:space="preserve"> en la penetración del Internet en los </w:t>
      </w:r>
      <w:r w:rsidR="00A8719D" w:rsidRPr="009148D9">
        <w:t>hogares residentes en las cabeceras municipales del país del orden del 17,8%</w:t>
      </w:r>
      <w:r w:rsidR="00A66D9B" w:rsidRPr="009148D9">
        <w:t>, explicado por factores diferentes</w:t>
      </w:r>
      <w:r w:rsidR="00A8719D" w:rsidRPr="009148D9">
        <w:t xml:space="preserve"> a las variables de origen familiar. Se concluyó en dicha sección que en el caso de Internet</w:t>
      </w:r>
      <w:r w:rsidR="00EC21AA" w:rsidRPr="009148D9">
        <w:t>,</w:t>
      </w:r>
      <w:r w:rsidR="00A8719D" w:rsidRPr="009148D9">
        <w:t xml:space="preserve"> uno de los factores dominantes en esta expansión es el desarrollo de las acciones del Plan Vive Digital en este período</w:t>
      </w:r>
      <w:r w:rsidR="00EC21AA" w:rsidRPr="009148D9">
        <w:rPr>
          <w:rStyle w:val="Refdenotaalpie"/>
        </w:rPr>
        <w:footnoteReference w:id="32"/>
      </w:r>
      <w:r w:rsidR="00A8719D" w:rsidRPr="009148D9">
        <w:t>.</w:t>
      </w:r>
    </w:p>
    <w:p w:rsidR="00A8719D" w:rsidRDefault="00A8719D" w:rsidP="001E295C">
      <w:pPr>
        <w:numPr>
          <w:ilvl w:val="0"/>
          <w:numId w:val="20"/>
        </w:numPr>
      </w:pPr>
      <w:r w:rsidRPr="00A179BE">
        <w:t xml:space="preserve">En </w:t>
      </w:r>
      <w:r>
        <w:t>segundo lugar, se encontró como una fortaleza as</w:t>
      </w:r>
      <w:r w:rsidR="00A66D9B">
        <w:t>ociada al Plan Vive Digital que</w:t>
      </w:r>
      <w:r>
        <w:t xml:space="preserve"> los mayores niveles de educación se encuentran asociados a una mayor demanda por Internet, confirmando así la tesis de que el Plan fortalece la capacidad de generar acceso a la sociedad de la información, cuando se complementa con niveles moderados y relativos de educación. En este sentido, en </w:t>
      </w:r>
      <w:r w:rsidRPr="00A179BE">
        <w:t xml:space="preserve">términos de los niveles de educación alcanzados, los resultados muestran que el tener en el hogar personas con educación universitaria en este dominio, incrementa la demanda por Internet en 28%, y contar con personas con educación técnica la incrementa en 12,4%. </w:t>
      </w:r>
    </w:p>
    <w:p w:rsidR="00A8719D" w:rsidRDefault="00A8719D" w:rsidP="001E295C">
      <w:pPr>
        <w:numPr>
          <w:ilvl w:val="0"/>
          <w:numId w:val="20"/>
        </w:numPr>
      </w:pPr>
      <w:r>
        <w:lastRenderedPageBreak/>
        <w:t>Se concluye, por consiguiente que los efectos de la presencia de Internet se asimila mejor en niveles de mayor nivel de educación, constituyéndose en una herramienta que potencia el acceso de los ciudadanos al acceso al conocimiento.</w:t>
      </w:r>
    </w:p>
    <w:p w:rsidR="00A8719D" w:rsidRDefault="008F2346" w:rsidP="001E295C">
      <w:pPr>
        <w:numPr>
          <w:ilvl w:val="0"/>
          <w:numId w:val="20"/>
        </w:numPr>
      </w:pPr>
      <w:r>
        <w:t>También</w:t>
      </w:r>
      <w:r w:rsidR="00A8719D">
        <w:t xml:space="preserve"> se encontró un crecimiento de significativa importancia en </w:t>
      </w:r>
      <w:r w:rsidR="00A8719D" w:rsidRPr="006B3E1A">
        <w:t>los centros poblados menores o inspecciones de policía a nivel nacional, co</w:t>
      </w:r>
      <w:r w:rsidR="00A8719D">
        <w:t xml:space="preserve">n una muestra de 5.169 hogares. </w:t>
      </w:r>
      <w:r w:rsidR="00A8719D" w:rsidRPr="006B3E1A">
        <w:t xml:space="preserve">Por un lado, el aumento en la demanda de Internet entre el 2010 y el 2012, por razones exógenas a las variables de origen familiar es mayor en este dominio (26,7% versus 17,8% en cabeceras municipales). Este es un resultado muy importante para el Plan Vive Digital, porque este resultado puede ser en buena medida un impacto del </w:t>
      </w:r>
      <w:r w:rsidR="00FE2A41">
        <w:t>Plan</w:t>
      </w:r>
      <w:r w:rsidR="00A8719D" w:rsidRPr="006B3E1A">
        <w:t>.</w:t>
      </w:r>
    </w:p>
    <w:p w:rsidR="00A8719D" w:rsidRPr="00513C63" w:rsidRDefault="00A8719D" w:rsidP="001E295C">
      <w:pPr>
        <w:pStyle w:val="Ttulo3"/>
        <w:numPr>
          <w:ilvl w:val="2"/>
          <w:numId w:val="35"/>
        </w:numPr>
        <w:ind w:left="1134"/>
        <w:rPr>
          <w:sz w:val="26"/>
          <w:szCs w:val="26"/>
        </w:rPr>
      </w:pPr>
      <w:r w:rsidRPr="00513C63">
        <w:rPr>
          <w:sz w:val="26"/>
          <w:szCs w:val="26"/>
        </w:rPr>
        <w:t>Programas de formación en TIC</w:t>
      </w:r>
    </w:p>
    <w:p w:rsidR="00A8719D" w:rsidRPr="007B65F8" w:rsidRDefault="00A8719D" w:rsidP="001E295C">
      <w:pPr>
        <w:rPr>
          <w:highlight w:val="yellow"/>
        </w:rPr>
      </w:pPr>
      <w:r w:rsidRPr="00B740F3">
        <w:t>E</w:t>
      </w:r>
      <w:r w:rsidR="008B40A0">
        <w:t>l Informe II</w:t>
      </w:r>
      <w:r>
        <w:t xml:space="preserve"> encontró, de la misma manera</w:t>
      </w:r>
      <w:r w:rsidR="008B40A0">
        <w:t>,</w:t>
      </w:r>
      <w:r>
        <w:t xml:space="preserve"> que el Plan Vive Digital ha fortalecido el programa de apropiación y formación digital en TIC. E</w:t>
      </w:r>
      <w:r w:rsidRPr="00B740F3">
        <w:t>xisten varios programas de apropiación digital enfocados a las regiones</w:t>
      </w:r>
      <w:r>
        <w:t>,</w:t>
      </w:r>
      <w:r w:rsidRPr="00B740F3">
        <w:t xml:space="preserve"> en los cuales se ha logrado a la fecha del cierre de información de este informe capacitar en TIC a cerca de 711 mil personas. Esta capacitación ha requerido la aplicación de recursos cercanos a los </w:t>
      </w:r>
      <w:r>
        <w:t>$</w:t>
      </w:r>
      <w:r w:rsidRPr="00B740F3">
        <w:t>32 mil millones que resultan en un costo per cápita cercano a los 45 mil pesos por persona capacitada, costo que resulta bastante eficiente y razonable.</w:t>
      </w:r>
    </w:p>
    <w:p w:rsidR="00A8719D" w:rsidRPr="00513C63" w:rsidRDefault="00A66D9B" w:rsidP="001E295C">
      <w:pPr>
        <w:pStyle w:val="Ttulo3"/>
        <w:numPr>
          <w:ilvl w:val="2"/>
          <w:numId w:val="35"/>
        </w:numPr>
        <w:ind w:left="1134"/>
        <w:rPr>
          <w:sz w:val="26"/>
          <w:szCs w:val="26"/>
        </w:rPr>
      </w:pPr>
      <w:r>
        <w:rPr>
          <w:sz w:val="26"/>
          <w:szCs w:val="26"/>
        </w:rPr>
        <w:t>Coordinación y A</w:t>
      </w:r>
      <w:r w:rsidR="00A8719D" w:rsidRPr="00513C63">
        <w:rPr>
          <w:sz w:val="26"/>
          <w:szCs w:val="26"/>
        </w:rPr>
        <w:t>rmonización del Plan</w:t>
      </w:r>
    </w:p>
    <w:p w:rsidR="00A8719D" w:rsidRPr="007700A9" w:rsidRDefault="00A8719D" w:rsidP="001E295C">
      <w:r>
        <w:t>Se</w:t>
      </w:r>
      <w:r w:rsidRPr="007700A9">
        <w:t xml:space="preserve"> evidencia </w:t>
      </w:r>
      <w:r>
        <w:t>en el diseño del Plan</w:t>
      </w:r>
      <w:r w:rsidRPr="007700A9">
        <w:t xml:space="preserve"> un ecosistema con componentes adecuadamente coordinados que comprende múltiples facetas que interactúan apropiadamente entre sí.</w:t>
      </w:r>
    </w:p>
    <w:p w:rsidR="00A8719D" w:rsidRDefault="00A8719D" w:rsidP="001E295C">
      <w:r w:rsidRPr="007700A9">
        <w:t xml:space="preserve">El Plan Vive Digital </w:t>
      </w:r>
      <w:r>
        <w:t xml:space="preserve">se </w:t>
      </w:r>
      <w:r w:rsidRPr="007700A9">
        <w:t xml:space="preserve">destaca frente al contexto internacional en los siguientes aspectos: </w:t>
      </w:r>
    </w:p>
    <w:p w:rsidR="00A8719D" w:rsidRPr="001A4086" w:rsidRDefault="00A8719D" w:rsidP="001E295C">
      <w:pPr>
        <w:numPr>
          <w:ilvl w:val="0"/>
          <w:numId w:val="3"/>
        </w:numPr>
      </w:pPr>
      <w:r w:rsidRPr="001A4086">
        <w:t xml:space="preserve">El Estado como promotor del uso integral de las TIC, </w:t>
      </w:r>
    </w:p>
    <w:p w:rsidR="00A8719D" w:rsidRPr="001A4086" w:rsidRDefault="00A8719D" w:rsidP="001E295C">
      <w:pPr>
        <w:numPr>
          <w:ilvl w:val="0"/>
          <w:numId w:val="3"/>
        </w:numPr>
      </w:pPr>
      <w:r w:rsidRPr="001A4086">
        <w:t xml:space="preserve">un modelo moderno de Ecosistema Digital, que desde la oferta y la demanda tiene presente la dinámica y permanente evolución de la infraestructura, los servicios, las aplicaciones y los usuarios, </w:t>
      </w:r>
    </w:p>
    <w:p w:rsidR="00A8719D" w:rsidRPr="001A4086" w:rsidRDefault="00A8719D" w:rsidP="001E295C">
      <w:pPr>
        <w:numPr>
          <w:ilvl w:val="0"/>
          <w:numId w:val="3"/>
        </w:numPr>
      </w:pPr>
      <w:r w:rsidRPr="001A4086">
        <w:t xml:space="preserve">existe un adecuado detalle en la forma y los responsables de las políticas sectoriales de las TIC, </w:t>
      </w:r>
    </w:p>
    <w:p w:rsidR="00A8719D" w:rsidRPr="001A4086" w:rsidRDefault="00A8719D" w:rsidP="001E295C">
      <w:pPr>
        <w:numPr>
          <w:ilvl w:val="0"/>
          <w:numId w:val="3"/>
        </w:numPr>
      </w:pPr>
      <w:r w:rsidRPr="001A4086">
        <w:lastRenderedPageBreak/>
        <w:t xml:space="preserve">existe una fuerte política de masificación de terminales, lo cual se evidencia como el principal cuello de botella en inversión de la población de menores recursos para el acceso a las TIC, </w:t>
      </w:r>
    </w:p>
    <w:p w:rsidR="00A8719D" w:rsidRPr="003F211F" w:rsidRDefault="00A8719D" w:rsidP="001E295C">
      <w:pPr>
        <w:numPr>
          <w:ilvl w:val="0"/>
          <w:numId w:val="3"/>
        </w:numPr>
      </w:pPr>
      <w:r w:rsidRPr="003F211F">
        <w:t xml:space="preserve">se ha incorporado una política explícita de fortalecimiento de la industria TIC, </w:t>
      </w:r>
    </w:p>
    <w:p w:rsidR="00A8719D" w:rsidRDefault="00A8719D" w:rsidP="001E295C">
      <w:pPr>
        <w:numPr>
          <w:ilvl w:val="0"/>
          <w:numId w:val="3"/>
        </w:numPr>
      </w:pPr>
      <w:r w:rsidRPr="003F211F">
        <w:t xml:space="preserve">se ha visualizado el sector TIC como un sector transversal que soporta otros sectores de la economía, </w:t>
      </w:r>
    </w:p>
    <w:p w:rsidR="00A8719D" w:rsidRDefault="00A8719D" w:rsidP="001E295C">
      <w:pPr>
        <w:numPr>
          <w:ilvl w:val="0"/>
          <w:numId w:val="3"/>
        </w:numPr>
      </w:pPr>
      <w:r w:rsidRPr="001A4086">
        <w:t>existe una visión empresarial en la aproximación a la gestión de las TIC, y existen también políticas relacionadas con las TIC y la atención y prevención de desastres</w:t>
      </w:r>
    </w:p>
    <w:p w:rsidR="00A8719D" w:rsidRPr="009745F3" w:rsidRDefault="00A8719D" w:rsidP="001E295C">
      <w:pPr>
        <w:pStyle w:val="Ttulo2"/>
        <w:numPr>
          <w:ilvl w:val="1"/>
          <w:numId w:val="35"/>
        </w:numPr>
        <w:spacing w:after="0"/>
        <w:ind w:left="709"/>
      </w:pPr>
      <w:bookmarkStart w:id="146" w:name="_Toc405992312"/>
      <w:r w:rsidRPr="009745F3">
        <w:t>Amenazas</w:t>
      </w:r>
      <w:bookmarkEnd w:id="146"/>
    </w:p>
    <w:p w:rsidR="00A8719D" w:rsidRPr="007700A9" w:rsidRDefault="00A8719D" w:rsidP="001E295C">
      <w:r>
        <w:t>Con respecto a las amenazas del Plan, se debe considerar que v</w:t>
      </w:r>
      <w:r w:rsidRPr="007700A9">
        <w:t>arios proyectos se diseñaron bajo el concepto de recursos de fomento mediante aportes del FONTIC. En otros casos se previó la masificación de servicios mediante la aplicación de subsidios al usuario (estratos 1 y 2 en Internet principalmente).</w:t>
      </w:r>
    </w:p>
    <w:p w:rsidR="00A8719D" w:rsidRPr="007700A9" w:rsidRDefault="00A8719D" w:rsidP="001E295C">
      <w:r w:rsidRPr="007700A9">
        <w:t>En los sitios donde la capacidad de pago es reducida, la sostenibilidad y continuidad del servicio en el mediano y largo plazo puede verse comprometida en caso de retirar este tipo de recursos.</w:t>
      </w:r>
    </w:p>
    <w:p w:rsidR="00A8719D" w:rsidRPr="007700A9" w:rsidRDefault="00A8719D" w:rsidP="001E295C">
      <w:r w:rsidRPr="007700A9">
        <w:t xml:space="preserve">Así pues, una potencial amenaza que puede ralentizar o incluso devolver parcialmente los resultados es la sostenibilidad financiera en mercados de baja capacidad de pago. </w:t>
      </w:r>
    </w:p>
    <w:p w:rsidR="00A8719D" w:rsidRPr="007700A9" w:rsidRDefault="00A8719D" w:rsidP="001E295C">
      <w:r w:rsidRPr="007700A9">
        <w:t xml:space="preserve">Si bien en términos generales, una vez hechas las inversiones en despliegue de red y en última milla para un usuario, la mensualidad que percibe el PRST genera margen de contribución positivo si esta logra cubrir el OPEX, pueden existir grupos de usuarios que por razón a su dispersión y lejanía pudieran no ser </w:t>
      </w:r>
      <w:r>
        <w:t>auto-</w:t>
      </w:r>
      <w:r w:rsidRPr="007700A9">
        <w:t xml:space="preserve">sostenibles. </w:t>
      </w:r>
    </w:p>
    <w:p w:rsidR="00A8719D" w:rsidRPr="007700A9" w:rsidRDefault="00A8719D" w:rsidP="001E295C">
      <w:r w:rsidRPr="007700A9">
        <w:t xml:space="preserve">Conceptualmente los factores de dispersión geográfica, distancia y capacidad de pago combinados son los que harían la diferencia entre zonas sostenibles y zonas no sostenibles sin soporte del Estado, tal como se presenta en la siguiente </w:t>
      </w:r>
      <w:r>
        <w:t>figura</w:t>
      </w:r>
      <w:r w:rsidRPr="007700A9">
        <w:t>.</w:t>
      </w:r>
    </w:p>
    <w:p w:rsidR="00A8719D" w:rsidRPr="007700A9" w:rsidRDefault="00A8719D" w:rsidP="00A8719D">
      <w:pPr>
        <w:pStyle w:val="T-Figura"/>
      </w:pPr>
      <w:r>
        <w:lastRenderedPageBreak/>
        <w:t>Figura 5</w:t>
      </w:r>
      <w:r w:rsidRPr="007700A9">
        <w:t>.</w:t>
      </w:r>
      <w:r>
        <w:t>2</w:t>
      </w:r>
      <w:r w:rsidRPr="007700A9">
        <w:t xml:space="preserve"> – Factores diferenciales que determinan la sostenibilidad de las redes en el mediano y largo plazo</w:t>
      </w:r>
    </w:p>
    <w:p w:rsidR="00A8719D" w:rsidRPr="007700A9" w:rsidRDefault="00A8719D" w:rsidP="00A8719D">
      <w:pPr>
        <w:spacing w:before="120" w:after="120"/>
        <w:jc w:val="center"/>
        <w:rPr>
          <w:rFonts w:ascii="Calibri" w:hAnsi="Calibri"/>
        </w:rPr>
      </w:pPr>
      <w:r>
        <w:rPr>
          <w:rFonts w:ascii="Calibri" w:hAnsi="Calibri"/>
          <w:noProof/>
          <w:lang w:val="es-CO" w:eastAsia="es-CO"/>
        </w:rPr>
        <w:drawing>
          <wp:inline distT="0" distB="0" distL="0" distR="0">
            <wp:extent cx="4781550" cy="3648075"/>
            <wp:effectExtent l="0" t="0" r="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81550" cy="3648075"/>
                    </a:xfrm>
                    <a:prstGeom prst="rect">
                      <a:avLst/>
                    </a:prstGeom>
                    <a:noFill/>
                    <a:ln>
                      <a:noFill/>
                    </a:ln>
                  </pic:spPr>
                </pic:pic>
              </a:graphicData>
            </a:graphic>
          </wp:inline>
        </w:drawing>
      </w:r>
    </w:p>
    <w:p w:rsidR="00A8719D" w:rsidRPr="009745F3" w:rsidRDefault="00A8719D" w:rsidP="00A8719D">
      <w:pPr>
        <w:jc w:val="center"/>
        <w:rPr>
          <w:rFonts w:ascii="Century Gothic" w:hAnsi="Century Gothic" w:cs="Arial"/>
          <w:color w:val="404040"/>
          <w:sz w:val="18"/>
          <w:szCs w:val="18"/>
        </w:rPr>
      </w:pPr>
      <w:r w:rsidRPr="009745F3">
        <w:rPr>
          <w:rFonts w:ascii="Century Gothic" w:hAnsi="Century Gothic" w:cs="Arial"/>
          <w:color w:val="404040"/>
          <w:sz w:val="18"/>
          <w:szCs w:val="18"/>
        </w:rPr>
        <w:t>Fuente</w:t>
      </w:r>
      <w:r>
        <w:rPr>
          <w:rFonts w:ascii="Century Gothic" w:hAnsi="Century Gothic" w:cs="Arial"/>
          <w:color w:val="404040"/>
          <w:sz w:val="18"/>
          <w:szCs w:val="18"/>
        </w:rPr>
        <w:t>:</w:t>
      </w:r>
      <w:r w:rsidRPr="009745F3">
        <w:rPr>
          <w:rFonts w:ascii="Century Gothic" w:hAnsi="Century Gothic" w:cs="Arial"/>
          <w:color w:val="404040"/>
          <w:sz w:val="18"/>
          <w:szCs w:val="18"/>
        </w:rPr>
        <w:t xml:space="preserve"> SAI (2012)</w:t>
      </w:r>
    </w:p>
    <w:p w:rsidR="00A8719D" w:rsidRPr="007700A9" w:rsidRDefault="00A8719D" w:rsidP="001E295C">
      <w:r w:rsidRPr="007700A9">
        <w:t>Así, el asegurar la sostenibilidad mediante una política focalizada que pudiera reconocer los sitios de alto costo y soportar el déficit de OPEX de los mismos sería deseable para no perder terreno en los avances que se logren en este sentido.</w:t>
      </w:r>
    </w:p>
    <w:p w:rsidR="00A8719D" w:rsidRPr="007700A9" w:rsidRDefault="00A8719D" w:rsidP="001E295C">
      <w:r w:rsidRPr="007700A9">
        <w:t>No obstante, el modelo financiero a aplicar en este caso debe considerar la máxima eficiencia posible a efectos de no comprometer de manera significativa los recursos del FONTIC que se requieren para inversión y avance en el desarrollo del ecosistema digital.</w:t>
      </w:r>
    </w:p>
    <w:p w:rsidR="00A8719D" w:rsidRPr="001A4086" w:rsidRDefault="00A8719D" w:rsidP="001E295C">
      <w:pPr>
        <w:pStyle w:val="Ttulo2"/>
        <w:numPr>
          <w:ilvl w:val="1"/>
          <w:numId w:val="35"/>
        </w:numPr>
        <w:spacing w:after="0"/>
        <w:ind w:left="709"/>
      </w:pPr>
      <w:bookmarkStart w:id="147" w:name="_Toc405992313"/>
      <w:r w:rsidRPr="001A4086">
        <w:t>Oportunidades</w:t>
      </w:r>
      <w:bookmarkEnd w:id="147"/>
    </w:p>
    <w:p w:rsidR="00A8719D" w:rsidRPr="001A4086" w:rsidRDefault="00A8719D" w:rsidP="001E295C">
      <w:r w:rsidRPr="001A4086">
        <w:t>Existen oportunidades de mejora y de profundización de los efectos del Plan Vive Digital a través de una mayor penetración del acceso del servicio en hogares. Esta posibilidad está relacionada con el comportamiento histórico de la tecnología que es de esperar continúe en una senda de reducción de costos, que combinada con la senda de mejora de los ingresos de los hogares permitirá reducir las barreras de capacidad de pago relativa.</w:t>
      </w:r>
    </w:p>
    <w:p w:rsidR="00A8719D" w:rsidRPr="007700A9" w:rsidRDefault="00A8719D" w:rsidP="001E295C">
      <w:r w:rsidRPr="001A4086">
        <w:lastRenderedPageBreak/>
        <w:t>En cuanto al sentido mismo del plan, siguiendo ejemplos de otros países, es posible incorporar mayores elementos de identidad nacional en la medida en que los ciudadanos logren encontrar a través de las TIC una mayor posibilidad de interacción con el Estado, no solo a nivel central sino, adicionalmente, a nivel regional y local. Así mismo, los conceptos de nación inteligente o de sociedad digital presentes en planes similares del sureste asiático pueden convertirse, comunicados adecuadamente,</w:t>
      </w:r>
      <w:r w:rsidRPr="007700A9">
        <w:t xml:space="preserve"> en oportunidades no solo de masificación de servicios del sector TIC, sino además de desarrollo de nuevas fuentes de generación de riqueza económica. </w:t>
      </w:r>
    </w:p>
    <w:p w:rsidR="00A8719D" w:rsidRPr="007700A9" w:rsidRDefault="00A8719D" w:rsidP="001E295C">
      <w:r w:rsidRPr="007700A9">
        <w:t xml:space="preserve">En relación con lo anterior, iniciativas de complementación a través de estándares y normas para la interconexión electrónica e interoperabilidad entre entidades del Estado pueden generar eficiencias significativas en la prestación de sus servicios y reducción de costos de transacción para los ciudadanos. </w:t>
      </w:r>
    </w:p>
    <w:p w:rsidR="00A8719D" w:rsidRPr="007700A9" w:rsidRDefault="00A8719D" w:rsidP="001E295C">
      <w:r w:rsidRPr="007700A9">
        <w:t>Uno de los elementos presentes en los tratados de libre comercio que ha suscrito Colombia es el del comercio transfronterizo de productos y bienes digitales. Así mismo, en el actual estado de desarrollo de la economía mundial, el comercio electrónico que se sucede en la Internet y se complementa a través de operadores postales y logísticos es un generado</w:t>
      </w:r>
      <w:r>
        <w:t>r</w:t>
      </w:r>
      <w:r w:rsidRPr="007700A9">
        <w:t xml:space="preserve"> de riqueza que permite así mismo ganar eficiencias, economías de escala y reducción de costos de transacción que deben ser aprovechados por las unidades económicas productivas del país. En este sentido existe una oportunidad importante de utilizar el contexto del plan complementándol</w:t>
      </w:r>
      <w:r>
        <w:t>o</w:t>
      </w:r>
      <w:r w:rsidRPr="007700A9">
        <w:t xml:space="preserve"> hacia el desarrollo de actividad económica transfronteriza.</w:t>
      </w:r>
    </w:p>
    <w:p w:rsidR="00A8719D" w:rsidRPr="007700A9" w:rsidRDefault="00A8719D" w:rsidP="001E295C">
      <w:pPr>
        <w:rPr>
          <w:b/>
        </w:rPr>
      </w:pPr>
      <w:r w:rsidRPr="007700A9">
        <w:t>Un punto importante de mejora para el plan Vive Digital es el del establecimiento de metas de velocidad, principalmente para las zonas de mayor desarrollo económico. Esta estrategia complementaria podría presentarse como adecuada considerando que ya se han realizado importantes avances en penetración, con lo cual el foco en aumento del número de accesos puede abrirse un poco considerando ahora este factor de calidad crítico que empieza a presentarse como el gran diferenciador entre mercados y países. Así, desde la política misma y complementado con el actuar regulatorio, pueden implementarse conceptos como banda ancha básica, banda ancha rápida y banda ancha ultrarrápida que se adecuen a la realidad del país, y se establezcan metas para cada una de estas categorías.</w:t>
      </w:r>
    </w:p>
    <w:p w:rsidR="00A8719D" w:rsidRDefault="00A8719D" w:rsidP="001E295C">
      <w:r w:rsidRPr="007700A9">
        <w:t xml:space="preserve">En complemento a las iniciativas propuestas como oportunidades de mejora, es deseable considerar un mayor fortalecimiento de las industrias relacionadas con las TIC que tengan vocación exportadora, como pueden ser las de TI y BPO&amp;O. Así, es deseable un ejercicio coordinado del alto gobierno hacia determinar claramente las </w:t>
      </w:r>
      <w:r w:rsidRPr="007700A9">
        <w:lastRenderedPageBreak/>
        <w:t xml:space="preserve">fortalezas que caracterizan a los ciudadanos y empresas del país para enfocar recursos en el fomento de empresas productivas basadas en el ecosistema digital que aprovechen el talento individual con una visión de trabajo en equipo y capacidad de reinvención. </w:t>
      </w:r>
    </w:p>
    <w:p w:rsidR="00A8719D" w:rsidRDefault="00A8719D" w:rsidP="001E295C">
      <w:r>
        <w:t>El estudio encontró, de igual manera, que l</w:t>
      </w:r>
      <w:r w:rsidRPr="004735C5">
        <w:t xml:space="preserve">a existencia tanto de un número significativo de líneas no vendidas, </w:t>
      </w:r>
      <w:r>
        <w:t xml:space="preserve">así </w:t>
      </w:r>
      <w:r w:rsidRPr="004735C5">
        <w:t>como el importante número de líneas que no cuentan con Internet representan para los operadores fijos</w:t>
      </w:r>
      <w:r>
        <w:t xml:space="preserve"> y para el país una </w:t>
      </w:r>
      <w:r w:rsidRPr="004735C5">
        <w:t xml:space="preserve">fuente fundamental de crecimiento </w:t>
      </w:r>
      <w:r>
        <w:t xml:space="preserve">en los servicios de banda ancha </w:t>
      </w:r>
      <w:r w:rsidRPr="004735C5">
        <w:t>en el corto y mediano plazo. La manera como ello tenga lugar dependerá de la manera como se estructure su política comercial y la forma como promocionen tanto la venta de los servicios de Internet como los de voz.</w:t>
      </w:r>
      <w:r>
        <w:t xml:space="preserve"> De igual manera, dependerá de la manera como el Gobierno Nacional promueva la utilización de esta capacidad no utilizada que ya se encuentra tendida por parte de los operadores de telefonía fija. </w:t>
      </w:r>
    </w:p>
    <w:p w:rsidR="00A8719D" w:rsidRDefault="00A8719D" w:rsidP="001E295C">
      <w:r>
        <w:t>Esta evidencia hallada e</w:t>
      </w:r>
      <w:r w:rsidR="008B40A0">
        <w:t>n la sección 6.1.1 del Informe II</w:t>
      </w:r>
      <w:r>
        <w:t xml:space="preserve"> se fortalece cuando se encuentra que el número de accesos fijos ha venido, aunque a tasas relativamente bajas, creciendo en el último año cuando pasó de 6,8 a 7,1 millones de líneas y cuando se tiene en cuenta que la capacidad no vendida era del 32% a finales del segundo trimestre de 2013. Igualmente, se fortalece el planteamiento cuando se encuentra que el 32,5% de las líneas en servicio no cuentan en el momento con servicios de Internet. Lo anterior representa una gran oportunidad para los operadores y para el país en los principales centros urbanos, donde el crecimiento de los indicadores podrá potenciarse de mejor manera.</w:t>
      </w:r>
    </w:p>
    <w:p w:rsidR="00A8719D" w:rsidRDefault="00A8719D" w:rsidP="001E295C">
      <w:r>
        <w:t>Otra oportunidad que existe en Colombia, tanto para los operadores como para el país en general en el impulso y profundización de los indicadores lo constituye la posibilidad de aumentar los índices de velocidad de la banda ancha en el país. A este respecto, mientras Colombia tiene algo menos del 53% de sus accesos con velocidades inferiores a los 2 Mbps, para países como Chile el indicador de accesos con velocidades mayores a los 2 Mbps supera el 90%. Este hecho representa una gran oportunidad de crecimiento tanto en la calidad como en la penetración de Internet de banda ancha, así como para el aumento en sus niveles de rentabilidad y en su continuidad en la industria de las comunicaciones en el país.</w:t>
      </w:r>
    </w:p>
    <w:p w:rsidR="00A8719D" w:rsidRPr="007700A9" w:rsidRDefault="008B40A0" w:rsidP="001E295C">
      <w:r>
        <w:t>El Informe II</w:t>
      </w:r>
      <w:r w:rsidR="00A8719D">
        <w:t xml:space="preserve"> encontró que, c</w:t>
      </w:r>
      <w:r w:rsidR="00A8719D" w:rsidRPr="00302052">
        <w:t>on una política de precios razonable y una política comercial agresiva que induzca a que (i) el importante número de líneas en servicio que no cuentan aún hoy con banda ancha adquieran el servicio de Internet y que (ii) las empresas logren vender las aún significativas existencias de capacidad instalada que le restan rentabilidad y flujo de caja a las compañías.</w:t>
      </w:r>
    </w:p>
    <w:p w:rsidR="00A8719D" w:rsidRPr="009745F3" w:rsidRDefault="00A8719D" w:rsidP="001E295C">
      <w:pPr>
        <w:pStyle w:val="Ttulo2"/>
        <w:numPr>
          <w:ilvl w:val="1"/>
          <w:numId w:val="35"/>
        </w:numPr>
        <w:spacing w:after="0"/>
        <w:ind w:left="709"/>
      </w:pPr>
      <w:bookmarkStart w:id="148" w:name="_Toc405992314"/>
      <w:r w:rsidRPr="009745F3">
        <w:lastRenderedPageBreak/>
        <w:t>Análisis integrado</w:t>
      </w:r>
      <w:bookmarkEnd w:id="148"/>
    </w:p>
    <w:p w:rsidR="00A8719D" w:rsidRPr="007700A9" w:rsidRDefault="00A8719D" w:rsidP="001E295C">
      <w:r w:rsidRPr="007700A9">
        <w:t>Colombia ha logrado el desarrollo de un ecosistema armónico a través del despliegue de un plan que ha permitido relacionar diversos proyectos del sector  con un objetivo común de mejora general del acceso y uso de las TIC por parte de todos los ciudadanos, en desarrollo de los principios y objetivos en los que se fundamenta la Ley 1341 de 2009, marco legal básico del sector.</w:t>
      </w:r>
    </w:p>
    <w:p w:rsidR="00A8719D" w:rsidRPr="007700A9" w:rsidRDefault="00A8719D" w:rsidP="001E295C">
      <w:r w:rsidRPr="007700A9">
        <w:t>Gracias a ello, han existido avances importantes tanto en desarrollo de infraestructura y acceso a los servicios de telecomunicaciones, como en el despliegue de aplicaciones y contenidos, generando con ello una mayor demanda agregada de servicios, aplicaciones y contenidos por parte de los usuarios.</w:t>
      </w:r>
    </w:p>
    <w:p w:rsidR="00A8719D" w:rsidRDefault="00A8719D" w:rsidP="001E295C">
      <w:r w:rsidRPr="007700A9">
        <w:t xml:space="preserve">Lo anterior ha permitido que Colombia avance a la par del mundo que cada vez responde más a un modelo de globalización y de digitalización, conservando puestos importantes en el contexto internacional y dentro de la región de Latinoamérica. Ejemplo de ello es la posición que ocupa en el </w:t>
      </w:r>
      <w:r w:rsidRPr="00382F97">
        <w:rPr>
          <w:i/>
        </w:rPr>
        <w:t xml:space="preserve">Network </w:t>
      </w:r>
      <w:proofErr w:type="spellStart"/>
      <w:r w:rsidRPr="00382F97">
        <w:rPr>
          <w:i/>
        </w:rPr>
        <w:t>Readiness</w:t>
      </w:r>
      <w:proofErr w:type="spellEnd"/>
      <w:r w:rsidRPr="00382F97">
        <w:rPr>
          <w:i/>
        </w:rPr>
        <w:t xml:space="preserve"> </w:t>
      </w:r>
      <w:proofErr w:type="spellStart"/>
      <w:r w:rsidRPr="00382F97">
        <w:rPr>
          <w:i/>
        </w:rPr>
        <w:t>Index</w:t>
      </w:r>
      <w:proofErr w:type="spellEnd"/>
      <w:r w:rsidRPr="007700A9">
        <w:t xml:space="preserve"> muy cercano a Brasil y por encima de varios países con un volumen de población significativo como México, Perú, Argentina y Venezuela.</w:t>
      </w:r>
    </w:p>
    <w:p w:rsidR="00A8719D" w:rsidRPr="007700A9" w:rsidRDefault="008B40A0" w:rsidP="00A8719D">
      <w:pPr>
        <w:pStyle w:val="T-Figura"/>
      </w:pPr>
      <w:r>
        <w:t>Cuadro 5</w:t>
      </w:r>
      <w:r w:rsidR="00A8719D" w:rsidRPr="007700A9">
        <w:t xml:space="preserve">.1 – Evolución del </w:t>
      </w:r>
      <w:r w:rsidR="00A8719D" w:rsidRPr="007700A9">
        <w:rPr>
          <w:i/>
        </w:rPr>
        <w:t xml:space="preserve">Network </w:t>
      </w:r>
      <w:proofErr w:type="spellStart"/>
      <w:r w:rsidR="00A8719D" w:rsidRPr="007700A9">
        <w:rPr>
          <w:i/>
        </w:rPr>
        <w:t>Readiness</w:t>
      </w:r>
      <w:proofErr w:type="spellEnd"/>
      <w:r w:rsidR="00A8719D" w:rsidRPr="007700A9">
        <w:rPr>
          <w:i/>
        </w:rPr>
        <w:t xml:space="preserve"> </w:t>
      </w:r>
      <w:proofErr w:type="spellStart"/>
      <w:r w:rsidR="00A8719D" w:rsidRPr="007700A9">
        <w:rPr>
          <w:i/>
        </w:rPr>
        <w:t>Index</w:t>
      </w:r>
      <w:proofErr w:type="spellEnd"/>
      <w:r w:rsidR="00A8719D" w:rsidRPr="007700A9">
        <w:t xml:space="preserve"> (NRI) de países seleccionados de la región </w:t>
      </w:r>
    </w:p>
    <w:p w:rsidR="00A8719D" w:rsidRPr="007700A9" w:rsidRDefault="00A8719D" w:rsidP="00A8719D">
      <w:pPr>
        <w:spacing w:line="240" w:lineRule="auto"/>
        <w:jc w:val="center"/>
      </w:pPr>
      <w:r>
        <w:rPr>
          <w:noProof/>
          <w:lang w:val="es-CO" w:eastAsia="es-CO"/>
        </w:rPr>
        <w:drawing>
          <wp:inline distT="0" distB="0" distL="0" distR="0">
            <wp:extent cx="4229100" cy="1419225"/>
            <wp:effectExtent l="0" t="0" r="0" b="952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9100" cy="1419225"/>
                    </a:xfrm>
                    <a:prstGeom prst="rect">
                      <a:avLst/>
                    </a:prstGeom>
                    <a:noFill/>
                    <a:ln>
                      <a:noFill/>
                    </a:ln>
                  </pic:spPr>
                </pic:pic>
              </a:graphicData>
            </a:graphic>
          </wp:inline>
        </w:drawing>
      </w:r>
    </w:p>
    <w:p w:rsidR="00A8719D" w:rsidRPr="00AB5217" w:rsidRDefault="00A8719D" w:rsidP="00A8719D">
      <w:pPr>
        <w:jc w:val="center"/>
        <w:rPr>
          <w:rFonts w:ascii="Century Gothic" w:hAnsi="Century Gothic" w:cs="Arial"/>
          <w:color w:val="404040"/>
          <w:sz w:val="18"/>
          <w:szCs w:val="18"/>
        </w:rPr>
      </w:pPr>
      <w:r w:rsidRPr="00AB5217">
        <w:rPr>
          <w:rFonts w:ascii="Century Gothic" w:hAnsi="Century Gothic" w:cs="Arial"/>
          <w:color w:val="404040"/>
          <w:sz w:val="18"/>
          <w:szCs w:val="18"/>
        </w:rPr>
        <w:t>Fuente: Elaboración propia basada en datos del NRI</w:t>
      </w:r>
    </w:p>
    <w:p w:rsidR="00A8719D" w:rsidRPr="007700A9" w:rsidRDefault="00A8719D" w:rsidP="001E295C">
      <w:r w:rsidRPr="007700A9">
        <w:t xml:space="preserve">Si bien existen aspectos que deben ser cuidadosamente atendidos para no perder el ritmo de crecimiento del sector y de los efectos transversales de este desarrollo en la economía, donde se destaca la necesidad de capacitación de la población desde temprana edad como alfabetos digitales, y la solución a los problemas de sostenibilidad en el mediano y largo plazo del ecosistema en zonas de bajo ingreso, apartadas, dispersas y de difícil acceso, existen así mismo oportunidades para continuar avanzando y mejorando las iniciativas de Vive Digital de modo que se generen procesos de </w:t>
      </w:r>
      <w:r w:rsidRPr="007700A9">
        <w:lastRenderedPageBreak/>
        <w:t>transformación de productividad en la economía, soportando industrias exportadoras en un contexto cada vez más globalizado.</w:t>
      </w:r>
    </w:p>
    <w:p w:rsidR="00A8719D" w:rsidRPr="007700A9" w:rsidRDefault="00A8719D" w:rsidP="001E295C">
      <w:r w:rsidRPr="007700A9">
        <w:t>Así, el plan se ha mostrado como una iniciativa coherente y positiva para el desarrollo del país, susceptible de mejoras incrementales y de incorporación de elementos que son propios a la natural evolución positiva del sector que se ha logrado hasta el momento.</w:t>
      </w:r>
    </w:p>
    <w:p w:rsidR="00A8719D" w:rsidRDefault="00A8719D" w:rsidP="001E295C">
      <w:pPr>
        <w:rPr>
          <w:rFonts w:eastAsia="Calibri" w:cs="Times New Roman"/>
        </w:rPr>
      </w:pPr>
      <w:r w:rsidRPr="007700A9">
        <w:br w:type="page"/>
      </w:r>
    </w:p>
    <w:p w:rsidR="001E7DC8" w:rsidRDefault="001E7DC8" w:rsidP="00B90989">
      <w:pPr>
        <w:pStyle w:val="Ttulo1"/>
        <w:numPr>
          <w:ilvl w:val="0"/>
          <w:numId w:val="0"/>
        </w:numPr>
        <w:rPr>
          <w:rFonts w:eastAsia="Times New Roman"/>
          <w:lang w:eastAsia="es-ES"/>
        </w:rPr>
      </w:pPr>
    </w:p>
    <w:p w:rsidR="00B90989" w:rsidRPr="00B90989" w:rsidRDefault="00B90989" w:rsidP="00B90989">
      <w:pPr>
        <w:pStyle w:val="Ttulo1"/>
        <w:rPr>
          <w:lang w:eastAsia="es-ES"/>
        </w:rPr>
      </w:pPr>
      <w:bookmarkStart w:id="149" w:name="_Toc405992315"/>
      <w:bookmarkEnd w:id="149"/>
    </w:p>
    <w:p w:rsidR="001E7DC8" w:rsidRPr="007700A9" w:rsidRDefault="001E7DC8" w:rsidP="001E7DC8">
      <w:pPr>
        <w:pStyle w:val="Titulocaptulo-Econometra"/>
        <w:rPr>
          <w:rFonts w:eastAsia="Times New Roman"/>
          <w:lang w:eastAsia="es-ES"/>
        </w:rPr>
      </w:pPr>
      <w:bookmarkStart w:id="150" w:name="_Toc405992316"/>
      <w:r w:rsidRPr="007700A9">
        <w:rPr>
          <w:rFonts w:eastAsia="Times New Roman"/>
          <w:lang w:eastAsia="es-ES"/>
        </w:rPr>
        <w:t>Metodología para futuras evaluaciones</w:t>
      </w:r>
      <w:bookmarkEnd w:id="150"/>
    </w:p>
    <w:p w:rsidR="00AE3BA4" w:rsidRPr="00AE3BA4" w:rsidRDefault="001E7DC8" w:rsidP="00AE3BA4">
      <w:pPr>
        <w:widowControl w:val="0"/>
        <w:spacing w:before="120" w:after="120"/>
        <w:rPr>
          <w:rFonts w:eastAsia="Calibri" w:cs="Times New Roman"/>
        </w:rPr>
      </w:pPr>
      <w:bookmarkStart w:id="151" w:name="_Toc368057669"/>
      <w:bookmarkEnd w:id="151"/>
      <w:r w:rsidRPr="005F2C2C">
        <w:rPr>
          <w:rFonts w:eastAsia="Calibri" w:cs="Times New Roman"/>
        </w:rPr>
        <w:t xml:space="preserve">En este capítulo </w:t>
      </w:r>
      <w:r w:rsidR="00AE3BA4">
        <w:rPr>
          <w:rFonts w:eastAsia="Calibri" w:cs="Times New Roman"/>
        </w:rPr>
        <w:t xml:space="preserve">se </w:t>
      </w:r>
      <w:r>
        <w:rPr>
          <w:rFonts w:eastAsia="Calibri" w:cs="Times New Roman"/>
        </w:rPr>
        <w:t>adelantan</w:t>
      </w:r>
      <w:r w:rsidRPr="005F2C2C">
        <w:rPr>
          <w:rFonts w:eastAsia="Calibri" w:cs="Times New Roman"/>
        </w:rPr>
        <w:t xml:space="preserve"> algunas recomendaciones </w:t>
      </w:r>
      <w:r w:rsidR="00AE3BA4">
        <w:rPr>
          <w:rFonts w:eastAsia="Calibri" w:cs="Times New Roman"/>
        </w:rPr>
        <w:t>sobre la metodología sugerida para realizar</w:t>
      </w:r>
      <w:r>
        <w:rPr>
          <w:rFonts w:eastAsia="Calibri" w:cs="Times New Roman"/>
        </w:rPr>
        <w:t xml:space="preserve"> futuras evaluacio</w:t>
      </w:r>
      <w:r w:rsidR="00FE721A">
        <w:rPr>
          <w:rFonts w:eastAsia="Calibri" w:cs="Times New Roman"/>
        </w:rPr>
        <w:t xml:space="preserve">nes; a continuación se presentan las diferentes </w:t>
      </w:r>
      <w:r w:rsidR="00BA0C50">
        <w:rPr>
          <w:rFonts w:eastAsia="Calibri" w:cs="Times New Roman"/>
        </w:rPr>
        <w:t>alternativas</w:t>
      </w:r>
      <w:r w:rsidR="000F5231">
        <w:rPr>
          <w:rFonts w:eastAsia="Calibri" w:cs="Times New Roman"/>
        </w:rPr>
        <w:t>,</w:t>
      </w:r>
      <w:r w:rsidR="00FE721A">
        <w:rPr>
          <w:rFonts w:eastAsia="Calibri" w:cs="Times New Roman"/>
        </w:rPr>
        <w:t xml:space="preserve"> </w:t>
      </w:r>
      <w:r w:rsidR="00BA0C50">
        <w:rPr>
          <w:rFonts w:eastAsia="Calibri" w:cs="Times New Roman"/>
        </w:rPr>
        <w:t xml:space="preserve">que incluyen la réplica del ejercicio realizado en esta </w:t>
      </w:r>
      <w:r w:rsidR="00ED0AE1">
        <w:rPr>
          <w:rFonts w:eastAsia="Calibri" w:cs="Times New Roman"/>
        </w:rPr>
        <w:t>consultoría</w:t>
      </w:r>
      <w:r w:rsidR="000F5231">
        <w:rPr>
          <w:rFonts w:eastAsia="Calibri" w:cs="Times New Roman"/>
        </w:rPr>
        <w:t>,</w:t>
      </w:r>
      <w:r w:rsidR="00ED0AE1">
        <w:rPr>
          <w:rFonts w:eastAsia="Calibri" w:cs="Times New Roman"/>
        </w:rPr>
        <w:t xml:space="preserve"> </w:t>
      </w:r>
      <w:r w:rsidR="006B3DDF">
        <w:rPr>
          <w:rFonts w:eastAsia="Calibri" w:cs="Times New Roman"/>
        </w:rPr>
        <w:t xml:space="preserve">y las limitaciones </w:t>
      </w:r>
      <w:r w:rsidR="00FB6673">
        <w:rPr>
          <w:rFonts w:eastAsia="Calibri" w:cs="Times New Roman"/>
        </w:rPr>
        <w:t>que se presentan, en la mayoría de los casos, debido a restricciones de disponibilidad de información.</w:t>
      </w:r>
      <w:r w:rsidR="00FE721A">
        <w:rPr>
          <w:rFonts w:eastAsia="Calibri" w:cs="Times New Roman"/>
        </w:rPr>
        <w:t xml:space="preserve"> </w:t>
      </w:r>
    </w:p>
    <w:p w:rsidR="001D02C4" w:rsidRPr="001D02C4" w:rsidRDefault="001D02C4" w:rsidP="001D02C4">
      <w:pPr>
        <w:pStyle w:val="Prrafodelista"/>
        <w:keepNext/>
        <w:keepLines/>
        <w:numPr>
          <w:ilvl w:val="0"/>
          <w:numId w:val="1"/>
        </w:numPr>
        <w:tabs>
          <w:tab w:val="left" w:pos="0"/>
        </w:tabs>
        <w:spacing w:after="120"/>
        <w:contextualSpacing w:val="0"/>
        <w:outlineLvl w:val="1"/>
        <w:rPr>
          <w:rFonts w:ascii="Century Gothic" w:eastAsia="Times New Roman" w:hAnsi="Century Gothic" w:cs="Times New Roman"/>
          <w:bCs/>
          <w:smallCaps/>
          <w:vanish/>
          <w:color w:val="C00000"/>
          <w:sz w:val="30"/>
          <w:szCs w:val="30"/>
          <w:lang w:eastAsia="es-ES"/>
        </w:rPr>
      </w:pPr>
    </w:p>
    <w:p w:rsidR="001D02C4" w:rsidRPr="001D02C4" w:rsidRDefault="001D02C4" w:rsidP="001D02C4">
      <w:pPr>
        <w:pStyle w:val="Prrafodelista"/>
        <w:keepNext/>
        <w:keepLines/>
        <w:numPr>
          <w:ilvl w:val="0"/>
          <w:numId w:val="1"/>
        </w:numPr>
        <w:tabs>
          <w:tab w:val="left" w:pos="0"/>
        </w:tabs>
        <w:spacing w:after="120"/>
        <w:contextualSpacing w:val="0"/>
        <w:outlineLvl w:val="1"/>
        <w:rPr>
          <w:rFonts w:ascii="Century Gothic" w:eastAsia="Times New Roman" w:hAnsi="Century Gothic" w:cs="Times New Roman"/>
          <w:bCs/>
          <w:smallCaps/>
          <w:vanish/>
          <w:color w:val="C00000"/>
          <w:sz w:val="30"/>
          <w:szCs w:val="30"/>
          <w:lang w:eastAsia="es-ES"/>
        </w:rPr>
      </w:pPr>
    </w:p>
    <w:p w:rsidR="001D02C4" w:rsidRPr="001D02C4" w:rsidRDefault="001D02C4" w:rsidP="001D02C4">
      <w:pPr>
        <w:pStyle w:val="Prrafodelista"/>
        <w:keepNext/>
        <w:keepLines/>
        <w:numPr>
          <w:ilvl w:val="0"/>
          <w:numId w:val="1"/>
        </w:numPr>
        <w:tabs>
          <w:tab w:val="left" w:pos="0"/>
        </w:tabs>
        <w:spacing w:after="120"/>
        <w:contextualSpacing w:val="0"/>
        <w:outlineLvl w:val="1"/>
        <w:rPr>
          <w:rFonts w:ascii="Century Gothic" w:eastAsia="Times New Roman" w:hAnsi="Century Gothic" w:cs="Times New Roman"/>
          <w:bCs/>
          <w:smallCaps/>
          <w:vanish/>
          <w:color w:val="C00000"/>
          <w:sz w:val="30"/>
          <w:szCs w:val="30"/>
          <w:lang w:eastAsia="es-ES"/>
        </w:rPr>
      </w:pPr>
    </w:p>
    <w:p w:rsidR="001D02C4" w:rsidRPr="001D02C4" w:rsidRDefault="001D02C4" w:rsidP="001D02C4">
      <w:pPr>
        <w:pStyle w:val="Prrafodelista"/>
        <w:keepNext/>
        <w:keepLines/>
        <w:numPr>
          <w:ilvl w:val="0"/>
          <w:numId w:val="1"/>
        </w:numPr>
        <w:tabs>
          <w:tab w:val="left" w:pos="0"/>
        </w:tabs>
        <w:spacing w:after="120"/>
        <w:contextualSpacing w:val="0"/>
        <w:outlineLvl w:val="1"/>
        <w:rPr>
          <w:rFonts w:ascii="Century Gothic" w:eastAsia="Times New Roman" w:hAnsi="Century Gothic" w:cs="Times New Roman"/>
          <w:bCs/>
          <w:smallCaps/>
          <w:vanish/>
          <w:color w:val="C00000"/>
          <w:sz w:val="30"/>
          <w:szCs w:val="30"/>
          <w:lang w:eastAsia="es-ES"/>
        </w:rPr>
      </w:pPr>
    </w:p>
    <w:p w:rsidR="00FB6673" w:rsidRPr="00695BB5" w:rsidRDefault="00695BB5" w:rsidP="001D02C4">
      <w:pPr>
        <w:pStyle w:val="Ttulo2"/>
      </w:pPr>
      <w:bookmarkStart w:id="152" w:name="_Toc405992317"/>
      <w:r w:rsidRPr="00695BB5">
        <w:t>La cadena de valor</w:t>
      </w:r>
      <w:bookmarkEnd w:id="152"/>
    </w:p>
    <w:p w:rsidR="009905EB" w:rsidRPr="009905EB" w:rsidRDefault="009905EB" w:rsidP="00407A92">
      <w:pPr>
        <w:rPr>
          <w:lang w:eastAsia="es-ES"/>
        </w:rPr>
      </w:pPr>
      <w:r>
        <w:rPr>
          <w:lang w:eastAsia="es-ES"/>
        </w:rPr>
        <w:t xml:space="preserve">La cadena de valor es una herramienta que </w:t>
      </w:r>
      <w:r w:rsidR="00407A92">
        <w:rPr>
          <w:lang w:eastAsia="es-ES"/>
        </w:rPr>
        <w:t>se puede utilizar para</w:t>
      </w:r>
      <w:r>
        <w:rPr>
          <w:lang w:eastAsia="es-ES"/>
        </w:rPr>
        <w:t xml:space="preserve"> identificar la etapa del programa, proyecto, políti</w:t>
      </w:r>
      <w:r w:rsidR="00256314">
        <w:rPr>
          <w:lang w:eastAsia="es-ES"/>
        </w:rPr>
        <w:t xml:space="preserve">ca o plan que se quiere evaluar. La figura </w:t>
      </w:r>
      <w:r w:rsidR="00407A92">
        <w:rPr>
          <w:lang w:eastAsia="es-ES"/>
        </w:rPr>
        <w:t xml:space="preserve">6.1 </w:t>
      </w:r>
      <w:r w:rsidR="00256314">
        <w:rPr>
          <w:lang w:eastAsia="es-ES"/>
        </w:rPr>
        <w:t>muestra la lógica detr</w:t>
      </w:r>
      <w:r w:rsidR="00407A92">
        <w:rPr>
          <w:lang w:eastAsia="es-ES"/>
        </w:rPr>
        <w:t>ás de este instrumento que “</w:t>
      </w:r>
      <w:r w:rsidR="004D3326">
        <w:rPr>
          <w:lang w:eastAsia="es-ES"/>
        </w:rPr>
        <w:t xml:space="preserve">[…] </w:t>
      </w:r>
      <w:r w:rsidR="00407A92">
        <w:rPr>
          <w:lang w:eastAsia="es-ES"/>
        </w:rPr>
        <w:t>muestra la secuencia causal de los procesos que componen la intervención</w:t>
      </w:r>
      <w:r w:rsidR="004D3326">
        <w:rPr>
          <w:lang w:eastAsia="es-ES"/>
        </w:rPr>
        <w:t xml:space="preserve"> […]</w:t>
      </w:r>
      <w:r w:rsidR="00407A92">
        <w:rPr>
          <w:lang w:eastAsia="es-ES"/>
        </w:rPr>
        <w:t>”</w:t>
      </w:r>
      <w:r w:rsidR="00535C4E">
        <w:rPr>
          <w:rStyle w:val="Refdenotaalpie"/>
          <w:lang w:eastAsia="es-ES"/>
        </w:rPr>
        <w:footnoteReference w:id="33"/>
      </w:r>
      <w:r w:rsidR="00407A92">
        <w:rPr>
          <w:lang w:eastAsia="es-ES"/>
        </w:rPr>
        <w:t>:</w:t>
      </w:r>
    </w:p>
    <w:p w:rsidR="006C5D7C" w:rsidRPr="006C5D7C" w:rsidRDefault="00C94AA3" w:rsidP="00B46224">
      <w:pPr>
        <w:pStyle w:val="T-Figura"/>
        <w:ind w:left="0"/>
        <w:rPr>
          <w:lang w:eastAsia="es-ES"/>
        </w:rPr>
      </w:pPr>
      <w:r>
        <w:rPr>
          <w:noProof/>
          <w:lang w:eastAsia="es-CO"/>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052" type="#_x0000_t69" style="position:absolute;left:0;text-align:left;margin-left:181.95pt;margin-top:111.8pt;width:246pt;height:31.5pt;z-index:251682816" adj="2252,6446" fillcolor="#f79646 [3209]" stroked="f">
            <v:textbox style="mso-next-textbox:#_x0000_s1052">
              <w:txbxContent>
                <w:p w:rsidR="00845F87" w:rsidRPr="00A03016" w:rsidRDefault="00845F87" w:rsidP="00E51D52">
                  <w:pPr>
                    <w:spacing w:before="0"/>
                    <w:jc w:val="center"/>
                    <w:rPr>
                      <w:rFonts w:ascii="Arial Narrow" w:hAnsi="Arial Narrow"/>
                      <w:b/>
                      <w:sz w:val="20"/>
                      <w:lang w:val="es-CO"/>
                    </w:rPr>
                  </w:pPr>
                  <w:r>
                    <w:rPr>
                      <w:rFonts w:ascii="Arial Narrow" w:hAnsi="Arial Narrow"/>
                      <w:b/>
                      <w:sz w:val="20"/>
                      <w:lang w:val="es-CO"/>
                    </w:rPr>
                    <w:t>Efectos</w:t>
                  </w:r>
                </w:p>
              </w:txbxContent>
            </v:textbox>
          </v:shape>
        </w:pict>
      </w:r>
      <w:r>
        <w:rPr>
          <w:noProof/>
          <w:lang w:eastAsia="es-CO"/>
        </w:rPr>
        <w:pict>
          <v:shape id="_x0000_s1051" type="#_x0000_t69" style="position:absolute;left:0;text-align:left;margin-left:5.7pt;margin-top:111.05pt;width:157.5pt;height:31.5pt;z-index:251681792" adj="3394,5931" fillcolor="#92cddc [1944]" stroked="f">
            <v:textbox style="mso-next-textbox:#_x0000_s1051">
              <w:txbxContent>
                <w:p w:rsidR="00845F87" w:rsidRPr="00A03016" w:rsidRDefault="00845F87" w:rsidP="00E51D52">
                  <w:pPr>
                    <w:spacing w:before="0"/>
                    <w:jc w:val="center"/>
                    <w:rPr>
                      <w:rFonts w:ascii="Arial Narrow" w:hAnsi="Arial Narrow"/>
                      <w:b/>
                      <w:sz w:val="20"/>
                      <w:lang w:val="es-CO"/>
                    </w:rPr>
                  </w:pPr>
                  <w:r w:rsidRPr="00A03016">
                    <w:rPr>
                      <w:rFonts w:ascii="Arial Narrow" w:hAnsi="Arial Narrow"/>
                      <w:b/>
                      <w:sz w:val="20"/>
                      <w:lang w:val="es-CO"/>
                    </w:rPr>
                    <w:t>Recursos</w:t>
                  </w:r>
                </w:p>
              </w:txbxContent>
            </v:textbox>
          </v:shape>
        </w:pict>
      </w:r>
      <w:r w:rsidR="00256314">
        <w:rPr>
          <w:lang w:eastAsia="es-ES"/>
        </w:rPr>
        <w:t xml:space="preserve">Figura 6.1 - </w:t>
      </w:r>
      <w:r w:rsidR="00406DC0">
        <w:rPr>
          <w:lang w:eastAsia="es-ES"/>
        </w:rPr>
        <w:t>Cadena de valor</w:t>
      </w:r>
      <w:r w:rsidR="00D023D6">
        <w:rPr>
          <w:noProof/>
          <w:lang w:eastAsia="es-CO"/>
        </w:rPr>
        <w:drawing>
          <wp:inline distT="0" distB="0" distL="0" distR="0">
            <wp:extent cx="5486400" cy="1438382"/>
            <wp:effectExtent l="19050" t="0" r="19050" b="0"/>
            <wp:docPr id="2048" name="Diagrama 20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rsidR="007D2AB8" w:rsidRDefault="007D2AB8" w:rsidP="002927E0">
      <w:pPr>
        <w:pStyle w:val="PiedeCuadro"/>
        <w:rPr>
          <w:lang w:eastAsia="es-ES"/>
        </w:rPr>
      </w:pPr>
    </w:p>
    <w:p w:rsidR="00871EC6" w:rsidRDefault="00B46224" w:rsidP="002927E0">
      <w:pPr>
        <w:pStyle w:val="PiedeCuadro"/>
        <w:rPr>
          <w:lang w:eastAsia="es-ES"/>
        </w:rPr>
      </w:pPr>
      <w:r>
        <w:rPr>
          <w:lang w:eastAsia="es-ES"/>
        </w:rPr>
        <w:t xml:space="preserve">Fuente: </w:t>
      </w:r>
      <w:r w:rsidR="002927E0">
        <w:rPr>
          <w:lang w:eastAsia="es-ES"/>
        </w:rPr>
        <w:t>Adaptación con base en la “</w:t>
      </w:r>
      <w:r w:rsidR="002927E0" w:rsidRPr="002927E0">
        <w:rPr>
          <w:lang w:eastAsia="es-ES"/>
        </w:rPr>
        <w:t>Guía para la evaluación de políticas públicas</w:t>
      </w:r>
      <w:r w:rsidR="002927E0">
        <w:rPr>
          <w:lang w:eastAsia="es-ES"/>
        </w:rPr>
        <w:t xml:space="preserve"> DNP”</w:t>
      </w:r>
      <w:r w:rsidR="002927E0">
        <w:rPr>
          <w:rStyle w:val="Refdenotaalpie"/>
          <w:lang w:eastAsia="es-ES"/>
        </w:rPr>
        <w:footnoteReference w:id="34"/>
      </w:r>
      <w:r w:rsidR="002927E0">
        <w:rPr>
          <w:lang w:eastAsia="es-ES"/>
        </w:rPr>
        <w:t>.</w:t>
      </w:r>
    </w:p>
    <w:p w:rsidR="00665B32" w:rsidRDefault="007D2AB8" w:rsidP="00A91FDF">
      <w:pPr>
        <w:rPr>
          <w:rFonts w:eastAsia="Calibri" w:cs="Times New Roman"/>
        </w:rPr>
      </w:pPr>
      <w:r>
        <w:rPr>
          <w:lang w:eastAsia="es-ES"/>
        </w:rPr>
        <w:t xml:space="preserve">Con base en lo anterior se propone, para futuras </w:t>
      </w:r>
      <w:r w:rsidR="002940E5">
        <w:rPr>
          <w:lang w:eastAsia="es-ES"/>
        </w:rPr>
        <w:t>mediciones</w:t>
      </w:r>
      <w:r>
        <w:rPr>
          <w:lang w:eastAsia="es-ES"/>
        </w:rPr>
        <w:t>, adelantar dos tipos de evaluaci</w:t>
      </w:r>
      <w:r w:rsidR="008775DC">
        <w:rPr>
          <w:lang w:eastAsia="es-ES"/>
        </w:rPr>
        <w:t>ón, ambas en las fases de efectos del Plan Vive Digital</w:t>
      </w:r>
      <w:r w:rsidR="0096414A">
        <w:rPr>
          <w:lang w:eastAsia="es-ES"/>
        </w:rPr>
        <w:t xml:space="preserve"> (2010 – 2014)</w:t>
      </w:r>
      <w:r w:rsidR="008775DC">
        <w:rPr>
          <w:lang w:eastAsia="es-ES"/>
        </w:rPr>
        <w:t>.</w:t>
      </w:r>
      <w:r w:rsidR="003D2D60">
        <w:rPr>
          <w:lang w:eastAsia="es-ES"/>
        </w:rPr>
        <w:t xml:space="preserve"> Por un lado, </w:t>
      </w:r>
      <w:r w:rsidR="000D1595">
        <w:rPr>
          <w:lang w:eastAsia="es-ES"/>
        </w:rPr>
        <w:t xml:space="preserve">se recomienda </w:t>
      </w:r>
      <w:r w:rsidR="003D2D60">
        <w:rPr>
          <w:rFonts w:eastAsia="Calibri" w:cs="Times New Roman"/>
        </w:rPr>
        <w:t>realizar un</w:t>
      </w:r>
      <w:r w:rsidR="000562FE">
        <w:rPr>
          <w:rFonts w:eastAsia="Calibri" w:cs="Times New Roman"/>
        </w:rPr>
        <w:t>a</w:t>
      </w:r>
      <w:r w:rsidR="000E633D">
        <w:rPr>
          <w:rFonts w:eastAsia="Calibri" w:cs="Times New Roman"/>
        </w:rPr>
        <w:t xml:space="preserve"> segunda</w:t>
      </w:r>
      <w:r w:rsidR="000562FE">
        <w:rPr>
          <w:rFonts w:eastAsia="Calibri" w:cs="Times New Roman"/>
        </w:rPr>
        <w:t xml:space="preserve"> </w:t>
      </w:r>
      <w:r w:rsidR="000562FE" w:rsidRPr="00437A59">
        <w:rPr>
          <w:rFonts w:eastAsia="Calibri" w:cs="Times New Roman"/>
          <w:b/>
        </w:rPr>
        <w:t>evaluación de resultados</w:t>
      </w:r>
      <w:r w:rsidR="003D2D60">
        <w:rPr>
          <w:rFonts w:eastAsia="Calibri" w:cs="Times New Roman"/>
        </w:rPr>
        <w:t xml:space="preserve"> con la metodología </w:t>
      </w:r>
      <w:r w:rsidR="003D2D60">
        <w:rPr>
          <w:rFonts w:eastAsia="Calibri" w:cs="Times New Roman"/>
        </w:rPr>
        <w:lastRenderedPageBreak/>
        <w:t>propuesta y desarrollada</w:t>
      </w:r>
      <w:r w:rsidR="001638A9">
        <w:rPr>
          <w:rFonts w:eastAsia="Calibri" w:cs="Times New Roman"/>
        </w:rPr>
        <w:t xml:space="preserve"> en esta consultoría</w:t>
      </w:r>
      <w:r w:rsidR="003D2D60">
        <w:rPr>
          <w:rFonts w:eastAsia="Calibri" w:cs="Times New Roman"/>
        </w:rPr>
        <w:t xml:space="preserve">, que permita una </w:t>
      </w:r>
      <w:r w:rsidR="00437A59">
        <w:rPr>
          <w:rFonts w:eastAsia="Calibri" w:cs="Times New Roman"/>
        </w:rPr>
        <w:t>estimación</w:t>
      </w:r>
      <w:r w:rsidR="003D2D60">
        <w:rPr>
          <w:rFonts w:eastAsia="Calibri" w:cs="Times New Roman"/>
        </w:rPr>
        <w:t xml:space="preserve"> de los efectos finales de</w:t>
      </w:r>
      <w:r w:rsidR="00E64866">
        <w:rPr>
          <w:rFonts w:eastAsia="Calibri" w:cs="Times New Roman"/>
        </w:rPr>
        <w:t xml:space="preserve"> la primera </w:t>
      </w:r>
      <w:r w:rsidR="0096414A">
        <w:rPr>
          <w:rFonts w:eastAsia="Calibri" w:cs="Times New Roman"/>
        </w:rPr>
        <w:t>parte</w:t>
      </w:r>
      <w:r w:rsidR="00E64866">
        <w:rPr>
          <w:rFonts w:eastAsia="Calibri" w:cs="Times New Roman"/>
        </w:rPr>
        <w:t xml:space="preserve"> del Plan</w:t>
      </w:r>
      <w:r w:rsidR="003D2D60">
        <w:rPr>
          <w:rFonts w:eastAsia="Calibri" w:cs="Times New Roman"/>
        </w:rPr>
        <w:t>, con info</w:t>
      </w:r>
      <w:r w:rsidR="00E64866">
        <w:rPr>
          <w:rFonts w:eastAsia="Calibri" w:cs="Times New Roman"/>
        </w:rPr>
        <w:t>rmación de cierre del año 2015.</w:t>
      </w:r>
      <w:r w:rsidR="00C47FF0">
        <w:rPr>
          <w:rFonts w:eastAsia="Calibri" w:cs="Times New Roman"/>
        </w:rPr>
        <w:t xml:space="preserve"> </w:t>
      </w:r>
      <w:r w:rsidR="00FC2ABC">
        <w:rPr>
          <w:rFonts w:eastAsia="Calibri" w:cs="Times New Roman"/>
        </w:rPr>
        <w:t xml:space="preserve">Adicionalmente, se recomienda realizar una </w:t>
      </w:r>
      <w:r w:rsidR="00FC2ABC" w:rsidRPr="00FC2ABC">
        <w:rPr>
          <w:rFonts w:eastAsia="Calibri" w:cs="Times New Roman"/>
          <w:b/>
        </w:rPr>
        <w:t>evaluación de impacto</w:t>
      </w:r>
      <w:r w:rsidR="00FC2ABC">
        <w:rPr>
          <w:rFonts w:eastAsia="Calibri" w:cs="Times New Roman"/>
        </w:rPr>
        <w:t xml:space="preserve"> de los programas que hacen parte del Plan Vive Digital que permita </w:t>
      </w:r>
      <w:r w:rsidR="00A91FDF">
        <w:rPr>
          <w:rFonts w:eastAsia="Calibri" w:cs="Times New Roman"/>
        </w:rPr>
        <w:t xml:space="preserve">determinar si el programa produjo los efectos deseados </w:t>
      </w:r>
      <w:r w:rsidR="00A91FDF" w:rsidRPr="00A91FDF">
        <w:rPr>
          <w:rFonts w:eastAsia="Calibri" w:cs="Times New Roman"/>
        </w:rPr>
        <w:t>en las pers</w:t>
      </w:r>
      <w:r w:rsidR="00A91FDF">
        <w:rPr>
          <w:rFonts w:eastAsia="Calibri" w:cs="Times New Roman"/>
        </w:rPr>
        <w:t xml:space="preserve">onas, hogares e instituciones y si esos efectos son atribuibles a la </w:t>
      </w:r>
      <w:r w:rsidR="00A91FDF" w:rsidRPr="00A91FDF">
        <w:rPr>
          <w:rFonts w:eastAsia="Calibri" w:cs="Times New Roman"/>
        </w:rPr>
        <w:t>intervención del programa</w:t>
      </w:r>
      <w:r w:rsidR="00A91FDF">
        <w:rPr>
          <w:rStyle w:val="Refdenotaalpie"/>
          <w:rFonts w:eastAsia="Calibri" w:cs="Times New Roman"/>
        </w:rPr>
        <w:footnoteReference w:id="35"/>
      </w:r>
      <w:r w:rsidR="00A91FDF">
        <w:rPr>
          <w:rFonts w:eastAsia="Calibri" w:cs="Times New Roman"/>
        </w:rPr>
        <w:t>.</w:t>
      </w:r>
      <w:r w:rsidR="00985B7B">
        <w:rPr>
          <w:rFonts w:eastAsia="Calibri" w:cs="Times New Roman"/>
        </w:rPr>
        <w:t xml:space="preserve"> La figura 6.2 muestra</w:t>
      </w:r>
      <w:r w:rsidR="00665B32">
        <w:rPr>
          <w:rFonts w:eastAsia="Calibri" w:cs="Times New Roman"/>
        </w:rPr>
        <w:t xml:space="preserve"> los dos tipos de evaluación propuestos así como el procedimiento de selección </w:t>
      </w:r>
      <w:r w:rsidR="008243C7">
        <w:rPr>
          <w:rFonts w:eastAsia="Calibri" w:cs="Times New Roman"/>
        </w:rPr>
        <w:t xml:space="preserve">da éstos </w:t>
      </w:r>
      <w:r w:rsidR="00EC50CA">
        <w:rPr>
          <w:rFonts w:eastAsia="Calibri" w:cs="Times New Roman"/>
        </w:rPr>
        <w:t>(resultados vs. impacto)</w:t>
      </w:r>
      <w:r w:rsidR="00665B32">
        <w:rPr>
          <w:rFonts w:eastAsia="Calibri" w:cs="Times New Roman"/>
        </w:rPr>
        <w:t>.</w:t>
      </w:r>
    </w:p>
    <w:p w:rsidR="00BC2F07" w:rsidRDefault="00C416F5" w:rsidP="00665B32">
      <w:pPr>
        <w:pStyle w:val="T-Figura"/>
        <w:keepNext w:val="0"/>
        <w:keepLines w:val="0"/>
        <w:widowControl w:val="0"/>
        <w:ind w:left="0"/>
        <w:rPr>
          <w:lang w:eastAsia="es-ES"/>
        </w:rPr>
      </w:pPr>
      <w:r>
        <w:rPr>
          <w:lang w:eastAsia="es-ES"/>
        </w:rPr>
        <w:t>Figura 6.2 – Procedimiento para la selección del tipo de evaluación</w:t>
      </w:r>
    </w:p>
    <w:p w:rsidR="00371E48" w:rsidRDefault="00C94AA3" w:rsidP="00871EC6">
      <w:pPr>
        <w:jc w:val="center"/>
        <w:rPr>
          <w:lang w:eastAsia="es-ES"/>
        </w:rPr>
      </w:pPr>
      <w:r>
        <w:rPr>
          <w:noProof/>
          <w:lang w:val="es-CO" w:eastAsia="es-CO"/>
        </w:rPr>
        <w:pict>
          <v:rect id="_x0000_s1059" style="position:absolute;left:0;text-align:left;margin-left:165.4pt;margin-top:112.45pt;width:15.8pt;height:16.4pt;z-index:251686912" fillcolor="#dbe5f1 [660]" stroked="f"/>
        </w:pict>
      </w:r>
      <w:r w:rsidR="004E7EC3">
        <w:rPr>
          <w:noProof/>
          <w:lang w:val="es-CO" w:eastAsia="es-CO"/>
        </w:rPr>
        <w:drawing>
          <wp:inline distT="0" distB="0" distL="0" distR="0">
            <wp:extent cx="5486400" cy="1397286"/>
            <wp:effectExtent l="0" t="0" r="0" b="0"/>
            <wp:docPr id="2049" name="Diagrama 204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inline>
        </w:drawing>
      </w:r>
    </w:p>
    <w:p w:rsidR="00DE5F99" w:rsidRDefault="00C94AA3" w:rsidP="00871EC6">
      <w:pPr>
        <w:jc w:val="center"/>
        <w:rPr>
          <w:lang w:eastAsia="es-ES"/>
        </w:rPr>
      </w:pPr>
      <w:r>
        <w:rPr>
          <w:noProof/>
          <w:lang w:val="es-CO" w:eastAsia="es-CO"/>
        </w:rPr>
        <w:pict>
          <v:group id="_x0000_s1058" style="position:absolute;left:0;text-align:left;margin-left:28.55pt;margin-top:10.65pt;width:318.35pt;height:28.35pt;z-index:251685888" coordorigin="2476,7123" coordsize="6367,567">
            <v:shapetype id="_x0000_t90" coordsize="21600,21600" o:spt="90" adj="9257,18514,7200" path="m@4,l@0@2@5@2@5@12,0@12,,21600@1,21600@1@2,21600@2xe">
              <v:stroke joinstyle="miter"/>
              <v:formulas>
                <v:f eqn="val #0"/>
                <v:f eqn="val #1"/>
                <v:f eqn="val #2"/>
                <v:f eqn="prod #0 1 2"/>
                <v:f eqn="sum @3 10800 0"/>
                <v:f eqn="sum 21600 #0 #1"/>
                <v:f eqn="sum #1 #2 0"/>
                <v:f eqn="prod @6 1 2"/>
                <v:f eqn="prod #1 2 1"/>
                <v:f eqn="sum @8 0 21600"/>
                <v:f eqn="prod 21600 @0 @1"/>
                <v:f eqn="prod 21600 @4 @1"/>
                <v:f eqn="prod 21600 @5 @1"/>
                <v:f eqn="prod 21600 @7 @1"/>
                <v:f eqn="prod #1 1 2"/>
                <v:f eqn="sum @5 0 @4"/>
                <v:f eqn="sum @0 0 @4"/>
                <v:f eqn="prod @2 @15 @16"/>
              </v:formulas>
              <v:path o:connecttype="custom" o:connectlocs="@4,0;@0,@2;0,@11;@14,21600;@1,@13;21600,@2" o:connectangles="270,180,180,90,0,0" textboxrect="0,@12,@1,21600;@5,@17,@1,21600"/>
              <v:handles>
                <v:h position="#0,topLeft" xrange="@2,@9"/>
                <v:h position="#1,#2" xrange="@4,21600" yrange="0,@0"/>
              </v:handles>
            </v:shapetype>
            <v:shape id="_x0000_s1056" type="#_x0000_t90" style="position:absolute;left:2476;top:7123;width:3969;height:567;rotation:180" adj="12409" fillcolor="#dbe5f1 [660]" stroked="f"/>
            <v:shape id="_x0000_s1057" type="#_x0000_t90" style="position:absolute;left:4874;top:7123;width:3969;height:567;rotation:180;flip:x" adj="12409" fillcolor="#dbe5f1 [660]" stroked="f"/>
          </v:group>
        </w:pict>
      </w:r>
      <w:r>
        <w:rPr>
          <w:noProof/>
          <w:lang w:val="es-CO" w:eastAsia="es-CO"/>
        </w:rPr>
        <w:pict>
          <v:group id="_x0000_s1046" style="position:absolute;left:0;text-align:left;margin-left:127.3pt;margin-top:28.8pt;width:80.25pt;height:160.95pt;z-index:251676672" coordorigin="3286,4859" coordsize="2339,4763">
            <v:shape id="Flecha circular 3" o:spid="_x0000_s1042" style="position:absolute;left:3805;top:4859;width:1820;height:1820;visibility:visible;mso-wrap-style:square;mso-wrap-distance-left:9pt;mso-wrap-distance-top:0;mso-wrap-distance-right:9pt;mso-wrap-distance-bottom:0;mso-position-horizontal-relative:text;mso-position-vertical-relative:text;v-text-anchor:top" coordsize="1155679,1155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" path="m81013,577898v,-260420,201041,-476659,460742,-495573c801463,63411,1031710,248249,1069426,505929v37714,257668,-129882,500744,-384098,557085l679846,1140664,547312,1010259,700195,852462r-5398,76449c874079,869156,979508,683861,939304,499183,899096,314487,726157,189803,538249,210032,350350,230261,207907,388884,207907,577898r-126894,xe" fillcolor="#f79646" strokecolor="white" strokeweight="2pt">
              <v:path arrowok="t" o:connecttype="custom" o:connectlocs="81013,577898;541755,82325;1069426,505929;685328,1063014;679846,1140664;547312,1010259;700195,852462;694797,928911;939304,499183;538249,210032;207907,577898;81013,577898" o:connectangles="0,0,0,0,0,0,0,0,0,0,0,0"/>
            </v:shape>
            <v:shape id="Forma 3" o:spid="_x0000_s1043" style="position:absolute;left:3286;top:5878;width:1820;height:1820;visibility:visible;mso-wrap-style:square;mso-wrap-distance-left:9pt;mso-wrap-distance-top:0;mso-wrap-distance-right:9pt;mso-wrap-distance-bottom:0;mso-position-horizontal-relative:text;mso-position-vertical-relative:text;v-text-anchor:top" coordsize="1155679,1155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" path="m929169,226568r-89727,89727c731378,208197,567972,177694,428197,239529,288447,301353,201086,442755,208322,595418v7236,152667,107585,285171,252560,333492l455484,852462r152883,157797l475833,1140664r-5483,-77650c263839,1017246,108946,845727,84376,635613,59808,425508,170940,222881,361307,130687,551701,38479,779595,76958,929169,226568xe" fillcolor="#f79646" strokecolor="white" strokeweight="2pt">
              <v:path arrowok="t" o:connecttype="custom" o:connectlocs="929169,226568;839442,316295;428197,239529;208322,595418;460882,928910;455484,852462;608367,1010259;475833,1140664;470350,1063014;84376,635613;361307,130687;929169,226568" o:connectangles="0,0,0,0,0,0,0,0,0,0,0,0"/>
            </v:shape>
            <v:shape id="Flecha circular 3" o:spid="_x0000_s1044" style="position:absolute;left:3805;top:6891;width:1820;height:1820;visibility:visible;mso-wrap-style:square;mso-wrap-distance-left:9pt;mso-wrap-distance-top:0;mso-wrap-distance-right:9pt;mso-wrap-distance-bottom:0;mso-position-horizontal-relative:text;mso-position-vertical-relative:text;v-text-anchor:top" coordsize="1155679,1155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" path="m226510,226568c376084,76958,603978,38480,794372,130687v190367,92195,301499,294821,276931,504927c1046734,845728,891840,1017246,685329,1063015r-5483,77649l547312,1010259,700195,852462r-5398,76449c839773,880590,940121,748086,947357,595419,954593,442756,867232,301354,727482,239530,587707,177695,424301,208198,316237,316296l226510,226568xe" fillcolor="#f79646" strokecolor="white" strokeweight="2pt">
              <v:path arrowok="t" o:connecttype="custom" o:connectlocs="226510,226568;794372,130687;1071303,635614;685329,1063015;679846,1140664;547312,1010259;700195,852462;694797,928911;947357,595419;727482,239530;316237,316296;226510,226568" o:connectangles="0,0,0,0,0,0,0,0,0,0,0,0"/>
            </v:shape>
            <v:shape id="Arco de bloque 3" o:spid="_x0000_s1045" style="position:absolute;left:3449;top:8058;width:1564;height:1564;visibility:visible;mso-wrap-style:square;mso-wrap-distance-left:9pt;mso-wrap-distance-top:0;mso-wrap-distance-right:9pt;mso-wrap-distance-bottom:0;mso-position-horizontal-relative:text;mso-position-vertical-relative:text;v-text-anchor:top" coordsize="992873,993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" path="m992873,496677v,236935,-167277,440879,-399542,487125c361000,1030060,128371,905645,37755,686669,-52813,467807,23705,215414,220538,83767,417504,-47969,680064,-22094,847555,145558r-89443,89443c633293,110020,437605,90732,290815,188941,144159,287061,87146,475152,154621,638261v67522,163223,240890,255962,414034,221477c741733,825266,866381,673264,866381,496676r126492,1xe" fillcolor="#f79646" strokecolor="white" strokeweight="2pt">
              <v:path arrowok="t" o:connecttype="custom" o:connectlocs="992873,496677;593331,983802;37755,686669;220538,83767;847555,145558;758112,235001;290815,188941;154621,638261;568655,859738;866381,496676;992873,496677" o:connectangles="0,0,0,0,0,0,0,0,0,0,0"/>
            </v:shape>
          </v:group>
        </w:pict>
      </w:r>
    </w:p>
    <w:p w:rsidR="009166C8" w:rsidRDefault="00C94AA3" w:rsidP="00871EC6">
      <w:pPr>
        <w:jc w:val="center"/>
        <w:rPr>
          <w:lang w:eastAsia="es-ES"/>
        </w:rPr>
      </w:pPr>
      <w:r>
        <w:rPr>
          <w:noProof/>
          <w:lang w:val="es-CO" w:eastAsia="es-CO"/>
        </w:rPr>
        <w:pict>
          <v:shape id="_x0000_s1050" type="#_x0000_t202" style="position:absolute;left:0;text-align:left;margin-left:133.7pt;margin-top:122.5pt;width:52.4pt;height:25.05pt;z-index:251680768" filled="f" stroked="f">
            <v:textbox style="mso-next-textbox:#_x0000_s1050">
              <w:txbxContent>
                <w:p w:rsidR="00845F87" w:rsidRPr="006C39BA" w:rsidRDefault="00845F87" w:rsidP="007740B0">
                  <w:pPr>
                    <w:spacing w:before="0"/>
                    <w:jc w:val="center"/>
                    <w:rPr>
                      <w:rFonts w:ascii="Arial Narrow" w:hAnsi="Arial Narrow"/>
                      <w:b/>
                      <w:sz w:val="14"/>
                      <w:szCs w:val="16"/>
                      <w:lang w:val="es-CO"/>
                    </w:rPr>
                  </w:pPr>
                  <w:r>
                    <w:rPr>
                      <w:rFonts w:ascii="Arial Narrow" w:hAnsi="Arial Narrow"/>
                      <w:b/>
                      <w:sz w:val="14"/>
                      <w:szCs w:val="16"/>
                      <w:lang w:val="es-CO"/>
                    </w:rPr>
                    <w:t>Análisis de resultados</w:t>
                  </w:r>
                </w:p>
              </w:txbxContent>
            </v:textbox>
          </v:shape>
        </w:pict>
      </w:r>
      <w:r>
        <w:rPr>
          <w:noProof/>
          <w:lang w:val="es-CO" w:eastAsia="es-CO"/>
        </w:rPr>
        <w:pict>
          <v:shape id="_x0000_s1047" type="#_x0000_t202" style="position:absolute;left:0;text-align:left;margin-left:143.3pt;margin-top:16.9pt;width:67.15pt;height:24.9pt;z-index:251677696" filled="f" stroked="f">
            <v:textbox style="mso-next-textbox:#_x0000_s1047">
              <w:txbxContent>
                <w:p w:rsidR="00845F87" w:rsidRPr="006C39BA" w:rsidRDefault="00845F87" w:rsidP="006C39BA">
                  <w:pPr>
                    <w:spacing w:before="0"/>
                    <w:jc w:val="center"/>
                    <w:rPr>
                      <w:rFonts w:ascii="Arial Narrow" w:hAnsi="Arial Narrow"/>
                      <w:b/>
                      <w:sz w:val="14"/>
                      <w:szCs w:val="16"/>
                      <w:lang w:val="es-CO"/>
                    </w:rPr>
                  </w:pPr>
                  <w:r w:rsidRPr="006C39BA">
                    <w:rPr>
                      <w:rFonts w:ascii="Arial Narrow" w:hAnsi="Arial Narrow"/>
                      <w:b/>
                      <w:sz w:val="14"/>
                      <w:szCs w:val="16"/>
                      <w:lang w:val="es-CO"/>
                    </w:rPr>
                    <w:t>Elaboración de instrumentos</w:t>
                  </w:r>
                </w:p>
              </w:txbxContent>
            </v:textbox>
          </v:shape>
        </w:pict>
      </w:r>
      <w:r>
        <w:rPr>
          <w:noProof/>
          <w:lang w:val="es-CO" w:eastAsia="es-CO"/>
        </w:rPr>
        <w:pict>
          <v:shape id="_x0000_s1049" type="#_x0000_t202" style="position:absolute;left:0;text-align:left;margin-left:149.7pt;margin-top:86.5pt;width:52.4pt;height:25.05pt;z-index:251679744" filled="f" stroked="f">
            <v:textbox style="mso-next-textbox:#_x0000_s1049">
              <w:txbxContent>
                <w:p w:rsidR="00845F87" w:rsidRPr="006C39BA" w:rsidRDefault="00845F87" w:rsidP="007740B0">
                  <w:pPr>
                    <w:spacing w:before="0"/>
                    <w:jc w:val="center"/>
                    <w:rPr>
                      <w:rFonts w:ascii="Arial Narrow" w:hAnsi="Arial Narrow"/>
                      <w:b/>
                      <w:sz w:val="14"/>
                      <w:szCs w:val="16"/>
                      <w:lang w:val="es-CO"/>
                    </w:rPr>
                  </w:pPr>
                  <w:r>
                    <w:rPr>
                      <w:rFonts w:ascii="Arial Narrow" w:hAnsi="Arial Narrow"/>
                      <w:b/>
                      <w:sz w:val="14"/>
                      <w:szCs w:val="16"/>
                      <w:lang w:val="es-CO"/>
                    </w:rPr>
                    <w:t>Estimación del modelo</w:t>
                  </w:r>
                </w:p>
              </w:txbxContent>
            </v:textbox>
          </v:shape>
        </w:pict>
      </w:r>
      <w:r>
        <w:rPr>
          <w:noProof/>
          <w:lang w:val="es-CO" w:eastAsia="es-CO"/>
        </w:rPr>
        <w:pict>
          <v:shape id="_x0000_s1048" type="#_x0000_t202" style="position:absolute;left:0;text-align:left;margin-left:122.5pt;margin-top:43.3pt;width:78.35pt;height:41.55pt;z-index:251678720" filled="f" stroked="f">
            <v:textbox style="mso-next-textbox:#_x0000_s1048">
              <w:txbxContent>
                <w:p w:rsidR="00845F87" w:rsidRPr="006C39BA" w:rsidRDefault="00845F87" w:rsidP="006C39BA">
                  <w:pPr>
                    <w:spacing w:before="0"/>
                    <w:jc w:val="center"/>
                    <w:rPr>
                      <w:rFonts w:ascii="Arial Narrow" w:hAnsi="Arial Narrow"/>
                      <w:b/>
                      <w:sz w:val="14"/>
                      <w:szCs w:val="16"/>
                      <w:lang w:val="es-CO"/>
                    </w:rPr>
                  </w:pPr>
                  <w:r>
                    <w:rPr>
                      <w:rFonts w:ascii="Arial Narrow" w:hAnsi="Arial Narrow"/>
                      <w:b/>
                      <w:sz w:val="14"/>
                      <w:szCs w:val="16"/>
                      <w:lang w:val="es-CO"/>
                    </w:rPr>
                    <w:t>Prueba piloto, recolección y depuración de información</w:t>
                  </w:r>
                </w:p>
              </w:txbxContent>
            </v:textbox>
          </v:shape>
        </w:pict>
      </w:r>
      <w:r w:rsidR="00DA6FE1">
        <w:rPr>
          <w:noProof/>
          <w:lang w:val="es-CO" w:eastAsia="es-CO"/>
        </w:rPr>
        <w:drawing>
          <wp:inline distT="0" distB="0" distL="0" distR="0">
            <wp:extent cx="5774076" cy="1643865"/>
            <wp:effectExtent l="19050" t="0" r="17124" b="0"/>
            <wp:docPr id="2051" name="Diagrama 205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rsidR="00406DC0" w:rsidRDefault="00406DC0" w:rsidP="00871EC6">
      <w:pPr>
        <w:jc w:val="center"/>
        <w:rPr>
          <w:lang w:eastAsia="es-ES"/>
        </w:rPr>
      </w:pPr>
    </w:p>
    <w:p w:rsidR="00BE263F" w:rsidRDefault="00DC53A5" w:rsidP="00F85562">
      <w:pPr>
        <w:pStyle w:val="PiedeCuadro"/>
        <w:spacing w:before="0"/>
        <w:rPr>
          <w:lang w:eastAsia="es-ES"/>
        </w:rPr>
      </w:pPr>
      <w:r>
        <w:rPr>
          <w:lang w:eastAsia="es-ES"/>
        </w:rPr>
        <w:t>F</w:t>
      </w:r>
      <w:r w:rsidR="000E27D3">
        <w:rPr>
          <w:lang w:eastAsia="es-ES"/>
        </w:rPr>
        <w:t>uente: Adaptación Econometría con base en Guía de evaluación del DNP</w:t>
      </w:r>
    </w:p>
    <w:p w:rsidR="00665B32" w:rsidRDefault="008243C7" w:rsidP="00665B32">
      <w:pPr>
        <w:rPr>
          <w:rFonts w:eastAsia="Calibri" w:cs="Times New Roman"/>
        </w:rPr>
      </w:pPr>
      <w:r w:rsidRPr="009959F6">
        <w:rPr>
          <w:rFonts w:eastAsia="Calibri" w:cs="Times New Roman"/>
        </w:rPr>
        <w:t xml:space="preserve">En el caso de una evaluación de resultados, como se mencionaba, se </w:t>
      </w:r>
      <w:r w:rsidR="009959F6" w:rsidRPr="009959F6">
        <w:rPr>
          <w:rFonts w:eastAsia="Calibri" w:cs="Times New Roman"/>
        </w:rPr>
        <w:t>recomienda replicar el ejercicio desarrollado en esta consultoría, con la salvedad de las limitaciones enfrentadas dada la disponibilidad de información. A</w:t>
      </w:r>
      <w:r w:rsidR="00665B32" w:rsidRPr="009959F6">
        <w:rPr>
          <w:rFonts w:eastAsia="Calibri" w:cs="Times New Roman"/>
        </w:rPr>
        <w:t xml:space="preserve"> continuación se desglosa el procedimiento.</w:t>
      </w:r>
    </w:p>
    <w:p w:rsidR="00AE3BA4" w:rsidRPr="00A11D6D" w:rsidRDefault="005E06DB" w:rsidP="00EF4106">
      <w:pPr>
        <w:pStyle w:val="Ttulo2"/>
        <w:spacing w:after="0"/>
        <w:jc w:val="left"/>
      </w:pPr>
      <w:bookmarkStart w:id="153" w:name="_Toc405992318"/>
      <w:r>
        <w:lastRenderedPageBreak/>
        <w:t>Evaluación de resultados: i</w:t>
      </w:r>
      <w:r w:rsidR="00AE3BA4" w:rsidRPr="007F5CDE">
        <w:t>nformación</w:t>
      </w:r>
      <w:r w:rsidR="00AE3BA4" w:rsidRPr="00A11D6D">
        <w:t xml:space="preserve"> necesaria </w:t>
      </w:r>
      <w:r w:rsidR="004C1088">
        <w:t>y procedimiento</w:t>
      </w:r>
      <w:bookmarkEnd w:id="153"/>
    </w:p>
    <w:p w:rsidR="00AE3BA4" w:rsidRDefault="00AE3BA4" w:rsidP="00EF4106">
      <w:pPr>
        <w:widowControl w:val="0"/>
        <w:rPr>
          <w:rFonts w:eastAsia="Calibri" w:cs="Times New Roman"/>
        </w:rPr>
      </w:pPr>
      <w:r w:rsidRPr="007700A9">
        <w:rPr>
          <w:rFonts w:eastAsia="Calibri" w:cs="Times New Roman"/>
        </w:rPr>
        <w:t>Considerando el ejercicio efectuado y la focalización en las variables de penetración de Internet como variables independientes en la evaluación de la intensidad de la correlación entre indicadores del sector TIC y desar</w:t>
      </w:r>
      <w:r>
        <w:rPr>
          <w:rFonts w:eastAsia="Calibri" w:cs="Times New Roman"/>
        </w:rPr>
        <w:t>rollo socioeconómico a través del ejercicio presentado en el Capítulo 2</w:t>
      </w:r>
      <w:r w:rsidRPr="007700A9">
        <w:rPr>
          <w:rFonts w:eastAsia="Calibri" w:cs="Times New Roman"/>
        </w:rPr>
        <w:t xml:space="preserve">, se encuentra que las series existentes </w:t>
      </w:r>
      <w:r>
        <w:rPr>
          <w:rFonts w:eastAsia="Calibri" w:cs="Times New Roman"/>
        </w:rPr>
        <w:t xml:space="preserve">de la ECV y de la GEIH </w:t>
      </w:r>
      <w:r w:rsidRPr="007700A9">
        <w:rPr>
          <w:rFonts w:eastAsia="Calibri" w:cs="Times New Roman"/>
        </w:rPr>
        <w:t xml:space="preserve">son adecuadas para replicar a futuro el ejercicio </w:t>
      </w:r>
      <w:r>
        <w:rPr>
          <w:rFonts w:eastAsia="Calibri" w:cs="Times New Roman"/>
        </w:rPr>
        <w:t xml:space="preserve">econométrico </w:t>
      </w:r>
      <w:r w:rsidRPr="007700A9">
        <w:rPr>
          <w:rFonts w:eastAsia="Calibri" w:cs="Times New Roman"/>
        </w:rPr>
        <w:t>aquí desarrollado.</w:t>
      </w:r>
    </w:p>
    <w:p w:rsidR="00CE11ED" w:rsidRDefault="005D5198" w:rsidP="00EF4106">
      <w:pPr>
        <w:widowControl w:val="0"/>
        <w:rPr>
          <w:rFonts w:eastAsia="Calibri" w:cs="Times New Roman"/>
        </w:rPr>
      </w:pPr>
      <w:r>
        <w:rPr>
          <w:rFonts w:eastAsia="Calibri" w:cs="Times New Roman"/>
        </w:rPr>
        <w:t>La figura</w:t>
      </w:r>
      <w:r w:rsidR="00D547DF">
        <w:rPr>
          <w:rFonts w:eastAsia="Calibri" w:cs="Times New Roman"/>
        </w:rPr>
        <w:t xml:space="preserve"> 6.</w:t>
      </w:r>
      <w:r w:rsidR="001F12EC">
        <w:rPr>
          <w:rFonts w:eastAsia="Calibri" w:cs="Times New Roman"/>
        </w:rPr>
        <w:t>3</w:t>
      </w:r>
      <w:r>
        <w:rPr>
          <w:rFonts w:eastAsia="Calibri" w:cs="Times New Roman"/>
        </w:rPr>
        <w:t xml:space="preserve"> muestra </w:t>
      </w:r>
      <w:r w:rsidR="00386E4C">
        <w:rPr>
          <w:rFonts w:eastAsia="Calibri" w:cs="Times New Roman"/>
        </w:rPr>
        <w:t xml:space="preserve">las variables necesarias para </w:t>
      </w:r>
      <w:r w:rsidR="006F2FAD">
        <w:rPr>
          <w:rFonts w:eastAsia="Calibri" w:cs="Times New Roman"/>
        </w:rPr>
        <w:t>estimar las relaciones de causalidad entre el uso de las TIC y sus determinantes</w:t>
      </w:r>
      <w:r w:rsidR="00CE1F98">
        <w:rPr>
          <w:rFonts w:eastAsia="Calibri" w:cs="Times New Roman"/>
        </w:rPr>
        <w:t>.</w:t>
      </w:r>
      <w:r w:rsidR="00D547DF" w:rsidRPr="00D547DF">
        <w:rPr>
          <w:rFonts w:eastAsia="Calibri" w:cs="Times New Roman"/>
        </w:rPr>
        <w:t xml:space="preserve"> </w:t>
      </w:r>
    </w:p>
    <w:p w:rsidR="005D5198" w:rsidRDefault="005D5198" w:rsidP="00A273C9">
      <w:pPr>
        <w:pStyle w:val="T-Figura"/>
        <w:spacing w:after="0"/>
        <w:rPr>
          <w:rFonts w:eastAsia="Calibri"/>
        </w:rPr>
      </w:pPr>
      <w:r>
        <w:rPr>
          <w:rFonts w:eastAsia="Calibri"/>
        </w:rPr>
        <w:t>Figura 6.</w:t>
      </w:r>
      <w:r w:rsidR="001F12EC">
        <w:rPr>
          <w:rFonts w:eastAsia="Calibri"/>
        </w:rPr>
        <w:t>3</w:t>
      </w:r>
      <w:r>
        <w:rPr>
          <w:rFonts w:eastAsia="Calibri"/>
        </w:rPr>
        <w:t xml:space="preserve"> - </w:t>
      </w:r>
      <w:r w:rsidRPr="0090397C">
        <w:rPr>
          <w:rFonts w:eastAsia="Calibri"/>
        </w:rPr>
        <w:t>Variables relevantes</w:t>
      </w:r>
    </w:p>
    <w:p w:rsidR="00CF60F1" w:rsidRPr="00CF60F1" w:rsidRDefault="00C94AA3" w:rsidP="00A273C9">
      <w:pPr>
        <w:widowControl w:val="0"/>
        <w:spacing w:before="120" w:after="120"/>
        <w:jc w:val="right"/>
        <w:rPr>
          <w:rFonts w:eastAsia="Calibri" w:cs="Times New Roman"/>
        </w:rPr>
      </w:pPr>
      <w:r>
        <w:rPr>
          <w:rFonts w:eastAsia="Calibri" w:cs="Times New Roman"/>
          <w:noProof/>
          <w:lang w:val="es-CO" w:eastAsia="es-CO"/>
        </w:rPr>
        <w:pict>
          <v:group id="_x0000_s1069" style="position:absolute;left:0;text-align:left;margin-left:-.45pt;margin-top:7.1pt;width:56.95pt;height:161.45pt;z-index:251695104" coordorigin="1692,6098" coordsize="1139,3229">
            <v:shape id="_x0000_s1062" type="#_x0000_t202" style="position:absolute;left:1715;top:6098;width:335;height:2894" filled="f" stroked="f">
              <v:textbox>
                <w:txbxContent>
                  <w:p w:rsidR="00845F87" w:rsidRPr="002C3ECD" w:rsidRDefault="00845F87" w:rsidP="00526490">
                    <w:pPr>
                      <w:spacing w:before="0" w:line="240" w:lineRule="auto"/>
                      <w:rPr>
                        <w:rFonts w:ascii="Impact" w:hAnsi="Impact"/>
                        <w:color w:val="365F91" w:themeColor="accent1" w:themeShade="BF"/>
                        <w:sz w:val="16"/>
                        <w:szCs w:val="20"/>
                        <w:lang w:val="es-CO"/>
                      </w:rPr>
                    </w:pPr>
                    <w:r w:rsidRPr="002C3ECD">
                      <w:rPr>
                        <w:rFonts w:ascii="Impact" w:hAnsi="Impact"/>
                        <w:color w:val="365F91" w:themeColor="accent1" w:themeShade="BF"/>
                        <w:sz w:val="16"/>
                        <w:szCs w:val="20"/>
                        <w:lang w:val="es-CO"/>
                      </w:rPr>
                      <w:t>INDEPENDIENTES</w:t>
                    </w:r>
                  </w:p>
                </w:txbxContent>
              </v:textbox>
            </v:shape>
            <v:shape id="_x0000_s1063" type="#_x0000_t202" style="position:absolute;left:1692;top:8992;width:1139;height:335" filled="f" stroked="f">
              <v:textbox style="mso-next-textbox:#_x0000_s1063">
                <w:txbxContent>
                  <w:p w:rsidR="00845F87" w:rsidRPr="00A273C9" w:rsidRDefault="00845F87" w:rsidP="00A43193">
                    <w:pPr>
                      <w:spacing w:before="0" w:line="240" w:lineRule="auto"/>
                      <w:rPr>
                        <w:rFonts w:ascii="Impact" w:hAnsi="Impact"/>
                        <w:color w:val="31849B" w:themeColor="accent5" w:themeShade="BF"/>
                        <w:sz w:val="16"/>
                        <w:szCs w:val="20"/>
                        <w:lang w:val="es-CO"/>
                      </w:rPr>
                    </w:pPr>
                    <w:r>
                      <w:rPr>
                        <w:rFonts w:ascii="Impact" w:hAnsi="Impact"/>
                        <w:color w:val="31849B" w:themeColor="accent5" w:themeShade="BF"/>
                        <w:sz w:val="16"/>
                        <w:szCs w:val="20"/>
                        <w:lang w:val="es-CO"/>
                      </w:rPr>
                      <w:t>DEPENDIENTE</w:t>
                    </w:r>
                  </w:p>
                </w:txbxContent>
              </v:textbox>
            </v:shape>
            <v:group id="_x0000_s1068" style="position:absolute;left:2178;top:6277;width:513;height:2330" coordorigin="2178,6277" coordsize="513,2330">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_x0000_s1064" type="#_x0000_t94" style="position:absolute;left:2178;top:6277;width:512;height:254" fillcolor="#b8cce4 [1300]" stroked="f"/>
              <v:shape id="_x0000_s1065" type="#_x0000_t94" style="position:absolute;left:2179;top:7001;width:512;height:254" fillcolor="#b8cce4 [1300]" stroked="f"/>
              <v:shape id="_x0000_s1066" type="#_x0000_t94" style="position:absolute;left:2178;top:7660;width:512;height:254" fillcolor="#b8cce4 [1300]" stroked="f"/>
              <v:shape id="_x0000_s1067" type="#_x0000_t94" style="position:absolute;left:2179;top:8353;width:512;height:254" fillcolor="#b8cce4 [1300]" stroked="f"/>
            </v:group>
          </v:group>
        </w:pict>
      </w:r>
      <w:r w:rsidR="00C71FFE">
        <w:rPr>
          <w:rFonts w:eastAsia="Calibri" w:cs="Times New Roman"/>
          <w:noProof/>
          <w:lang w:val="es-CO" w:eastAsia="es-CO"/>
        </w:rPr>
        <w:drawing>
          <wp:inline distT="0" distB="0" distL="0" distR="0">
            <wp:extent cx="4837814" cy="2115879"/>
            <wp:effectExtent l="19050" t="0" r="19936" b="0"/>
            <wp:docPr id="59" name="Diagrama 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rsidR="005D5198" w:rsidRDefault="00B45352" w:rsidP="00A273C9">
      <w:pPr>
        <w:pStyle w:val="PiedeCuadro"/>
        <w:rPr>
          <w:rFonts w:eastAsia="Calibri"/>
        </w:rPr>
      </w:pPr>
      <w:r>
        <w:rPr>
          <w:rFonts w:eastAsia="Calibri"/>
        </w:rPr>
        <w:t>Fuente: Elaboración propia</w:t>
      </w:r>
    </w:p>
    <w:p w:rsidR="00A179AE" w:rsidRPr="001D02C4" w:rsidRDefault="00A179AE" w:rsidP="00A179AE">
      <w:pPr>
        <w:pStyle w:val="Ttulo3"/>
        <w:rPr>
          <w:rFonts w:eastAsia="Calibri"/>
          <w:sz w:val="26"/>
          <w:szCs w:val="26"/>
        </w:rPr>
      </w:pPr>
      <w:r w:rsidRPr="001D02C4">
        <w:rPr>
          <w:rFonts w:eastAsia="Calibri"/>
          <w:sz w:val="26"/>
          <w:szCs w:val="26"/>
        </w:rPr>
        <w:t>Relaciones de causalidad por el lado de la demanda</w:t>
      </w:r>
    </w:p>
    <w:p w:rsidR="00423E9A" w:rsidRDefault="00423E9A" w:rsidP="00EF4106">
      <w:pPr>
        <w:widowControl w:val="0"/>
        <w:rPr>
          <w:rFonts w:eastAsia="Calibri" w:cs="Times New Roman"/>
        </w:rPr>
      </w:pPr>
      <w:r w:rsidRPr="00423E9A">
        <w:rPr>
          <w:rFonts w:eastAsia="Calibri" w:cs="Times New Roman"/>
        </w:rPr>
        <w:t xml:space="preserve">Para probar la posible influencia del Plan Vive Digital sobre la demanda de bienes o servicios de las TIC (servicios de Internet Fijo, Televisión por Suscripción, Telefonía Móvil y Telefonía Fija) se </w:t>
      </w:r>
      <w:r w:rsidR="005B79DF">
        <w:rPr>
          <w:rFonts w:eastAsia="Calibri" w:cs="Times New Roman"/>
        </w:rPr>
        <w:t>toma un año base</w:t>
      </w:r>
      <w:r w:rsidRPr="00423E9A">
        <w:rPr>
          <w:rFonts w:eastAsia="Calibri" w:cs="Times New Roman"/>
        </w:rPr>
        <w:t>,</w:t>
      </w:r>
      <w:r w:rsidR="005B79DF">
        <w:rPr>
          <w:rFonts w:eastAsia="Calibri" w:cs="Times New Roman"/>
        </w:rPr>
        <w:t xml:space="preserve"> siendo ésta </w:t>
      </w:r>
      <w:r w:rsidRPr="00423E9A">
        <w:rPr>
          <w:rFonts w:eastAsia="Calibri" w:cs="Times New Roman"/>
        </w:rPr>
        <w:t xml:space="preserve">la situación </w:t>
      </w:r>
      <w:r w:rsidR="005B79DF">
        <w:rPr>
          <w:rFonts w:eastAsia="Calibri" w:cs="Times New Roman"/>
        </w:rPr>
        <w:t>“</w:t>
      </w:r>
      <w:r w:rsidRPr="00423E9A">
        <w:rPr>
          <w:rFonts w:eastAsia="Calibri" w:cs="Times New Roman"/>
        </w:rPr>
        <w:t>antes del P</w:t>
      </w:r>
      <w:r w:rsidR="005B79DF">
        <w:rPr>
          <w:rFonts w:eastAsia="Calibri" w:cs="Times New Roman"/>
        </w:rPr>
        <w:t>lan”</w:t>
      </w:r>
      <w:r w:rsidRPr="00423E9A">
        <w:rPr>
          <w:rFonts w:eastAsia="Calibri" w:cs="Times New Roman"/>
        </w:rPr>
        <w:t xml:space="preserve"> y la situación en el año </w:t>
      </w:r>
      <w:r w:rsidR="005B79DF">
        <w:rPr>
          <w:rFonts w:eastAsia="Calibri" w:cs="Times New Roman"/>
        </w:rPr>
        <w:t>final</w:t>
      </w:r>
      <w:r w:rsidRPr="00423E9A">
        <w:rPr>
          <w:rFonts w:eastAsia="Calibri" w:cs="Times New Roman"/>
        </w:rPr>
        <w:t xml:space="preserve"> como la situación </w:t>
      </w:r>
      <w:r w:rsidR="005B79DF">
        <w:rPr>
          <w:rFonts w:eastAsia="Calibri" w:cs="Times New Roman"/>
        </w:rPr>
        <w:t>“</w:t>
      </w:r>
      <w:r w:rsidRPr="00423E9A">
        <w:rPr>
          <w:rFonts w:eastAsia="Calibri" w:cs="Times New Roman"/>
        </w:rPr>
        <w:t xml:space="preserve">después del </w:t>
      </w:r>
      <w:r w:rsidR="005B79DF">
        <w:rPr>
          <w:rFonts w:eastAsia="Calibri" w:cs="Times New Roman"/>
        </w:rPr>
        <w:t>Plan”</w:t>
      </w:r>
      <w:r w:rsidRPr="00423E9A">
        <w:rPr>
          <w:rFonts w:eastAsia="Calibri" w:cs="Times New Roman"/>
        </w:rPr>
        <w:t xml:space="preserve">. </w:t>
      </w:r>
      <w:r w:rsidR="00C5620B">
        <w:rPr>
          <w:rFonts w:eastAsia="Calibri" w:cs="Times New Roman"/>
        </w:rPr>
        <w:t>Para operacionalizar lo anterior, s</w:t>
      </w:r>
      <w:r w:rsidR="004D7A89">
        <w:rPr>
          <w:rFonts w:eastAsia="Calibri" w:cs="Times New Roman"/>
        </w:rPr>
        <w:t>e incluye una variable T</w:t>
      </w:r>
      <w:r w:rsidR="00C5620B">
        <w:rPr>
          <w:rStyle w:val="Refdenotaalpie"/>
          <w:rFonts w:eastAsia="Calibri" w:cs="Times New Roman"/>
        </w:rPr>
        <w:footnoteReference w:id="36"/>
      </w:r>
      <w:r w:rsidR="004D7A89" w:rsidRPr="004D7A89">
        <w:rPr>
          <w:rFonts w:eastAsia="Calibri" w:cs="Times New Roman"/>
        </w:rPr>
        <w:t xml:space="preserve"> que vale 1 en </w:t>
      </w:r>
      <w:r w:rsidR="00C5620B">
        <w:rPr>
          <w:rFonts w:eastAsia="Calibri" w:cs="Times New Roman"/>
        </w:rPr>
        <w:t>el año final</w:t>
      </w:r>
      <w:r w:rsidR="004D7A89" w:rsidRPr="004D7A89">
        <w:rPr>
          <w:rFonts w:eastAsia="Calibri" w:cs="Times New Roman"/>
        </w:rPr>
        <w:t xml:space="preserve"> y 0 en </w:t>
      </w:r>
      <w:r w:rsidR="00C5620B">
        <w:rPr>
          <w:rFonts w:eastAsia="Calibri" w:cs="Times New Roman"/>
        </w:rPr>
        <w:t>el inicial;</w:t>
      </w:r>
      <w:r w:rsidR="004D7A89" w:rsidRPr="004D7A89">
        <w:rPr>
          <w:rFonts w:eastAsia="Calibri" w:cs="Times New Roman"/>
        </w:rPr>
        <w:t xml:space="preserve"> esta variable mide el % de incremento de la demanda del servicio en cuestión, que se podría imputar a los efectos del Plan Vive Digital.</w:t>
      </w:r>
      <w:r w:rsidR="004D7A89">
        <w:rPr>
          <w:rFonts w:eastAsia="Calibri" w:cs="Times New Roman"/>
        </w:rPr>
        <w:t xml:space="preserve"> </w:t>
      </w:r>
      <w:r w:rsidRPr="00423E9A">
        <w:rPr>
          <w:rFonts w:eastAsia="Calibri" w:cs="Times New Roman"/>
        </w:rPr>
        <w:t>La unidad de observación es el hogar.</w:t>
      </w:r>
    </w:p>
    <w:p w:rsidR="005B79DF" w:rsidRPr="005B79DF" w:rsidRDefault="005B79DF" w:rsidP="005B79DF">
      <w:pPr>
        <w:widowControl w:val="0"/>
        <w:rPr>
          <w:rFonts w:eastAsia="Calibri" w:cs="Times New Roman"/>
        </w:rPr>
      </w:pPr>
      <w:r>
        <w:rPr>
          <w:rFonts w:eastAsia="Calibri" w:cs="Times New Roman"/>
        </w:rPr>
        <w:lastRenderedPageBreak/>
        <w:t>En esta consultoría</w:t>
      </w:r>
      <w:r w:rsidR="0038078C">
        <w:rPr>
          <w:rFonts w:eastAsia="Calibri" w:cs="Times New Roman"/>
        </w:rPr>
        <w:t>, el u</w:t>
      </w:r>
      <w:r w:rsidRPr="005B79DF">
        <w:rPr>
          <w:rFonts w:eastAsia="Calibri" w:cs="Times New Roman"/>
        </w:rPr>
        <w:t>niverso de hogares demandantes se desagreg</w:t>
      </w:r>
      <w:r w:rsidR="0038078C">
        <w:rPr>
          <w:rFonts w:eastAsia="Calibri" w:cs="Times New Roman"/>
        </w:rPr>
        <w:t>ó</w:t>
      </w:r>
      <w:r w:rsidRPr="005B79DF">
        <w:rPr>
          <w:rFonts w:eastAsia="Calibri" w:cs="Times New Roman"/>
        </w:rPr>
        <w:t xml:space="preserve"> en tres </w:t>
      </w:r>
      <w:r w:rsidR="0038078C">
        <w:rPr>
          <w:rFonts w:eastAsia="Calibri" w:cs="Times New Roman"/>
        </w:rPr>
        <w:t>d</w:t>
      </w:r>
      <w:r w:rsidRPr="005B79DF">
        <w:rPr>
          <w:rFonts w:eastAsia="Calibri" w:cs="Times New Roman"/>
        </w:rPr>
        <w:t>ominios</w:t>
      </w:r>
      <w:r w:rsidR="008542D2">
        <w:rPr>
          <w:rFonts w:eastAsia="Calibri" w:cs="Times New Roman"/>
        </w:rPr>
        <w:t xml:space="preserve"> con el fin de </w:t>
      </w:r>
      <w:r w:rsidR="008542D2" w:rsidRPr="008542D2">
        <w:rPr>
          <w:rFonts w:eastAsia="Calibri" w:cs="Times New Roman"/>
        </w:rPr>
        <w:t xml:space="preserve">examinar el </w:t>
      </w:r>
      <w:r w:rsidR="008542D2">
        <w:rPr>
          <w:rFonts w:eastAsia="Calibri" w:cs="Times New Roman"/>
        </w:rPr>
        <w:t>efecto</w:t>
      </w:r>
      <w:r w:rsidR="008542D2" w:rsidRPr="008542D2">
        <w:rPr>
          <w:rFonts w:eastAsia="Calibri" w:cs="Times New Roman"/>
        </w:rPr>
        <w:t xml:space="preserve"> en estos tres dominios del universo, como un indicador de concentración/dispersión de la demanda</w:t>
      </w:r>
      <w:r w:rsidRPr="005B79DF">
        <w:rPr>
          <w:rFonts w:eastAsia="Calibri" w:cs="Times New Roman"/>
        </w:rPr>
        <w:t>:</w:t>
      </w:r>
    </w:p>
    <w:p w:rsidR="0038078C" w:rsidRDefault="0038078C" w:rsidP="00613C5C">
      <w:pPr>
        <w:pStyle w:val="Prrafodelista"/>
        <w:widowControl w:val="0"/>
        <w:numPr>
          <w:ilvl w:val="0"/>
          <w:numId w:val="52"/>
        </w:numPr>
        <w:rPr>
          <w:rFonts w:eastAsia="Calibri" w:cs="Times New Roman"/>
        </w:rPr>
      </w:pPr>
      <w:r w:rsidRPr="0038078C">
        <w:rPr>
          <w:rFonts w:eastAsia="Calibri" w:cs="Times New Roman"/>
        </w:rPr>
        <w:t>Cabeceras Municipales</w:t>
      </w:r>
    </w:p>
    <w:p w:rsidR="0038078C" w:rsidRDefault="005B79DF" w:rsidP="00613C5C">
      <w:pPr>
        <w:pStyle w:val="Prrafodelista"/>
        <w:widowControl w:val="0"/>
        <w:numPr>
          <w:ilvl w:val="0"/>
          <w:numId w:val="52"/>
        </w:numPr>
        <w:rPr>
          <w:rFonts w:eastAsia="Calibri" w:cs="Times New Roman"/>
        </w:rPr>
      </w:pPr>
      <w:r w:rsidRPr="0038078C">
        <w:rPr>
          <w:rFonts w:eastAsia="Calibri" w:cs="Times New Roman"/>
        </w:rPr>
        <w:t xml:space="preserve">Centros poblados menores o inspecciones de </w:t>
      </w:r>
      <w:r w:rsidR="0038078C" w:rsidRPr="0038078C">
        <w:rPr>
          <w:rFonts w:eastAsia="Calibri" w:cs="Times New Roman"/>
        </w:rPr>
        <w:t>policía</w:t>
      </w:r>
    </w:p>
    <w:p w:rsidR="005B79DF" w:rsidRPr="0038078C" w:rsidRDefault="005B79DF" w:rsidP="00613C5C">
      <w:pPr>
        <w:pStyle w:val="Prrafodelista"/>
        <w:widowControl w:val="0"/>
        <w:numPr>
          <w:ilvl w:val="0"/>
          <w:numId w:val="52"/>
        </w:numPr>
        <w:rPr>
          <w:rFonts w:eastAsia="Calibri" w:cs="Times New Roman"/>
        </w:rPr>
      </w:pPr>
      <w:r w:rsidRPr="0038078C">
        <w:rPr>
          <w:rFonts w:eastAsia="Calibri" w:cs="Times New Roman"/>
        </w:rPr>
        <w:t>Área rural dispersa.</w:t>
      </w:r>
    </w:p>
    <w:p w:rsidR="00BC5850" w:rsidRPr="00BC5850" w:rsidRDefault="00C652B3" w:rsidP="00EF4106">
      <w:pPr>
        <w:widowControl w:val="0"/>
        <w:rPr>
          <w:rFonts w:eastAsia="Calibri" w:cs="Times New Roman"/>
        </w:rPr>
      </w:pPr>
      <w:r>
        <w:rPr>
          <w:rFonts w:eastAsia="Calibri" w:cs="Times New Roman"/>
        </w:rPr>
        <w:t xml:space="preserve">El modelo econométrico </w:t>
      </w:r>
      <w:r w:rsidR="0038078C">
        <w:rPr>
          <w:rFonts w:eastAsia="Calibri" w:cs="Times New Roman"/>
        </w:rPr>
        <w:t>a emplea</w:t>
      </w:r>
      <w:r w:rsidR="0014198B">
        <w:rPr>
          <w:rFonts w:eastAsia="Calibri" w:cs="Times New Roman"/>
        </w:rPr>
        <w:t>do</w:t>
      </w:r>
      <w:r>
        <w:rPr>
          <w:rFonts w:eastAsia="Calibri" w:cs="Times New Roman"/>
        </w:rPr>
        <w:t xml:space="preserve"> es un </w:t>
      </w:r>
      <w:proofErr w:type="spellStart"/>
      <w:r>
        <w:rPr>
          <w:rFonts w:eastAsia="Calibri" w:cs="Times New Roman"/>
        </w:rPr>
        <w:t>Logit</w:t>
      </w:r>
      <w:proofErr w:type="spellEnd"/>
      <w:r>
        <w:rPr>
          <w:rFonts w:eastAsia="Calibri" w:cs="Times New Roman"/>
        </w:rPr>
        <w:t xml:space="preserve"> ya que el uso de las TIC se estimó como una variable binaria (se usa (1) o no se usa (0))</w:t>
      </w:r>
      <w:r w:rsidR="00E86EE5">
        <w:rPr>
          <w:rFonts w:eastAsia="Calibri" w:cs="Times New Roman"/>
        </w:rPr>
        <w:t xml:space="preserve">. </w:t>
      </w:r>
      <w:r w:rsidR="00BC5850" w:rsidRPr="00BC5850">
        <w:rPr>
          <w:rFonts w:eastAsia="Calibri" w:cs="Times New Roman"/>
        </w:rPr>
        <w:t xml:space="preserve">La demanda o uso de un bien o servicio particular de las TIC por parte de un agente de demanda se puede estimar </w:t>
      </w:r>
      <w:r w:rsidR="00663B2F">
        <w:rPr>
          <w:rFonts w:eastAsia="Calibri" w:cs="Times New Roman"/>
        </w:rPr>
        <w:t>siguiendo este</w:t>
      </w:r>
      <w:r w:rsidR="00BC5850" w:rsidRPr="00BC5850">
        <w:rPr>
          <w:rFonts w:eastAsia="Calibri" w:cs="Times New Roman"/>
        </w:rPr>
        <w:t xml:space="preserve"> tipo de regresión:</w:t>
      </w:r>
    </w:p>
    <w:p w:rsidR="00BC5850" w:rsidRPr="00BC5850" w:rsidRDefault="00BC5850" w:rsidP="00EF4106">
      <w:pPr>
        <w:jc w:val="center"/>
        <w:rPr>
          <w:rFonts w:ascii="Cambria Math" w:eastAsia="Calibri" w:hAnsi="Cambria Math" w:cs="Times New Roman"/>
        </w:rPr>
      </w:pPr>
      <w:r>
        <w:rPr>
          <w:rFonts w:ascii="Cambria Math" w:eastAsia="Calibri" w:hAnsi="Cambria Math" w:cs="Times New Roman"/>
        </w:rPr>
        <w:t xml:space="preserve">P </w:t>
      </w:r>
      <w:r w:rsidRPr="00BC5850">
        <w:rPr>
          <w:rFonts w:ascii="Cambria Math" w:eastAsia="Calibri" w:hAnsi="Cambria Math" w:cs="Times New Roman"/>
        </w:rPr>
        <w:t>(Y=1/X) = F(X, b) y P</w:t>
      </w:r>
      <w:r>
        <w:rPr>
          <w:rFonts w:ascii="Cambria Math" w:eastAsia="Calibri" w:hAnsi="Cambria Math" w:cs="Times New Roman"/>
        </w:rPr>
        <w:t xml:space="preserve"> </w:t>
      </w:r>
      <w:r w:rsidRPr="00BC5850">
        <w:rPr>
          <w:rFonts w:ascii="Cambria Math" w:eastAsia="Calibri" w:hAnsi="Cambria Math" w:cs="Times New Roman"/>
        </w:rPr>
        <w:t>(Y=0/X) = 1 - F(x, b)</w:t>
      </w:r>
    </w:p>
    <w:p w:rsidR="00BC5850" w:rsidRDefault="00BC5850" w:rsidP="00EF4106">
      <w:pPr>
        <w:widowControl w:val="0"/>
        <w:rPr>
          <w:rFonts w:eastAsia="Calibri" w:cs="Times New Roman"/>
        </w:rPr>
      </w:pPr>
      <w:r w:rsidRPr="00BC5850">
        <w:rPr>
          <w:rFonts w:eastAsia="Calibri" w:cs="Times New Roman"/>
        </w:rPr>
        <w:t xml:space="preserve">Donde </w:t>
      </w:r>
      <w:r w:rsidRPr="00663B2F">
        <w:rPr>
          <w:rFonts w:eastAsia="Calibri" w:cs="Times New Roman"/>
          <w:i/>
        </w:rPr>
        <w:t>Y</w:t>
      </w:r>
      <w:r w:rsidRPr="00BC5850">
        <w:rPr>
          <w:rFonts w:eastAsia="Calibri" w:cs="Times New Roman"/>
        </w:rPr>
        <w:t xml:space="preserve"> es la variable dependiente (que puede tomar los valores “si” o “no”), </w:t>
      </w:r>
      <w:r w:rsidRPr="00663B2F">
        <w:rPr>
          <w:rFonts w:eastAsia="Calibri" w:cs="Times New Roman"/>
          <w:i/>
        </w:rPr>
        <w:t xml:space="preserve">X </w:t>
      </w:r>
      <w:r w:rsidRPr="00BC5850">
        <w:rPr>
          <w:rFonts w:eastAsia="Calibri" w:cs="Times New Roman"/>
        </w:rPr>
        <w:t xml:space="preserve">es el vector de variables independientes </w:t>
      </w:r>
      <w:r w:rsidR="00663B2F" w:rsidRPr="00F95998">
        <w:rPr>
          <w:rFonts w:eastAsia="Calibri" w:cs="Times New Roman"/>
        </w:rPr>
        <w:t>explica</w:t>
      </w:r>
      <w:r w:rsidR="00663B2F">
        <w:rPr>
          <w:rFonts w:eastAsia="Calibri" w:cs="Times New Roman"/>
        </w:rPr>
        <w:t>tivas</w:t>
      </w:r>
      <w:r w:rsidR="00663B2F" w:rsidRPr="00F95998">
        <w:rPr>
          <w:rFonts w:eastAsia="Calibri" w:cs="Times New Roman"/>
        </w:rPr>
        <w:t xml:space="preserve"> </w:t>
      </w:r>
      <w:r w:rsidRPr="00BC5850">
        <w:rPr>
          <w:rFonts w:eastAsia="Calibri" w:cs="Times New Roman"/>
        </w:rPr>
        <w:t xml:space="preserve">y </w:t>
      </w:r>
      <w:r w:rsidRPr="00663B2F">
        <w:rPr>
          <w:rFonts w:eastAsia="Calibri" w:cs="Times New Roman"/>
          <w:i/>
        </w:rPr>
        <w:t>b</w:t>
      </w:r>
      <w:r w:rsidRPr="00BC5850">
        <w:rPr>
          <w:rFonts w:eastAsia="Calibri" w:cs="Times New Roman"/>
        </w:rPr>
        <w:t xml:space="preserve"> son los coeficientes que miden el impacto de las variables del vector </w:t>
      </w:r>
      <w:r w:rsidRPr="00663B2F">
        <w:rPr>
          <w:rFonts w:eastAsia="Calibri" w:cs="Times New Roman"/>
          <w:i/>
        </w:rPr>
        <w:t>X</w:t>
      </w:r>
      <w:r w:rsidRPr="00BC5850">
        <w:rPr>
          <w:rFonts w:eastAsia="Calibri" w:cs="Times New Roman"/>
        </w:rPr>
        <w:t xml:space="preserve"> sobre la variable dependiente </w:t>
      </w:r>
      <w:r w:rsidRPr="00663B2F">
        <w:rPr>
          <w:rFonts w:eastAsia="Calibri" w:cs="Times New Roman"/>
          <w:i/>
        </w:rPr>
        <w:t>Y</w:t>
      </w:r>
      <w:r w:rsidRPr="00BC5850">
        <w:rPr>
          <w:rFonts w:eastAsia="Calibri" w:cs="Times New Roman"/>
        </w:rPr>
        <w:t>.</w:t>
      </w:r>
    </w:p>
    <w:p w:rsidR="00463AFA" w:rsidRDefault="00463AFA" w:rsidP="00EF4106">
      <w:pPr>
        <w:widowControl w:val="0"/>
        <w:rPr>
          <w:rFonts w:eastAsia="Calibri" w:cs="Times New Roman"/>
        </w:rPr>
      </w:pPr>
      <w:r w:rsidRPr="00463AFA">
        <w:rPr>
          <w:rFonts w:eastAsia="Calibri" w:cs="Times New Roman"/>
        </w:rPr>
        <w:t xml:space="preserve">En el modelo </w:t>
      </w:r>
      <w:proofErr w:type="spellStart"/>
      <w:r w:rsidRPr="00463AFA">
        <w:rPr>
          <w:rFonts w:eastAsia="Calibri" w:cs="Times New Roman"/>
        </w:rPr>
        <w:t>Logit</w:t>
      </w:r>
      <w:proofErr w:type="spellEnd"/>
      <w:r w:rsidRPr="00463AFA">
        <w:rPr>
          <w:rFonts w:eastAsia="Calibri" w:cs="Times New Roman"/>
        </w:rPr>
        <w:t xml:space="preserve"> se supone que la variable dependiente sigue una distribución logística:</w:t>
      </w:r>
    </w:p>
    <w:p w:rsidR="00463AFA" w:rsidRDefault="00463AFA" w:rsidP="00463AFA">
      <w:pPr>
        <w:jc w:val="center"/>
        <w:rPr>
          <w:rFonts w:ascii="Cambria Math" w:eastAsia="Calibri" w:hAnsi="Cambria Math" w:cs="Times New Roman"/>
        </w:rPr>
      </w:pPr>
      <w:proofErr w:type="spellStart"/>
      <w:r w:rsidRPr="00463AFA">
        <w:rPr>
          <w:rFonts w:ascii="Cambria Math" w:eastAsia="Calibri" w:hAnsi="Cambria Math" w:cs="Times New Roman"/>
        </w:rPr>
        <w:t>Prob</w:t>
      </w:r>
      <w:proofErr w:type="spellEnd"/>
      <w:r w:rsidRPr="00463AFA">
        <w:rPr>
          <w:rFonts w:ascii="Cambria Math" w:eastAsia="Calibri" w:hAnsi="Cambria Math" w:cs="Times New Roman"/>
        </w:rPr>
        <w:t xml:space="preserve"> </w:t>
      </w:r>
      <w:proofErr w:type="gramStart"/>
      <w:r w:rsidRPr="00463AFA">
        <w:rPr>
          <w:rFonts w:ascii="Cambria Math" w:eastAsia="Calibri" w:hAnsi="Cambria Math" w:cs="Times New Roman"/>
        </w:rPr>
        <w:t>( Y</w:t>
      </w:r>
      <w:proofErr w:type="gramEnd"/>
      <w:r w:rsidRPr="00463AFA">
        <w:rPr>
          <w:rFonts w:ascii="Cambria Math" w:eastAsia="Calibri" w:hAnsi="Cambria Math" w:cs="Times New Roman"/>
        </w:rPr>
        <w:t xml:space="preserve">=1/X ) = </w:t>
      </w:r>
      <w:proofErr w:type="spellStart"/>
      <w:r w:rsidRPr="00463AFA">
        <w:rPr>
          <w:rFonts w:ascii="Cambria Math" w:eastAsia="Calibri" w:hAnsi="Cambria Math" w:cs="Times New Roman"/>
        </w:rPr>
        <w:t>e</w:t>
      </w:r>
      <w:r>
        <w:rPr>
          <w:rFonts w:ascii="Cambria Math" w:eastAsia="Calibri" w:hAnsi="Cambria Math" w:cs="Times New Roman"/>
        </w:rPr>
        <w:t>xp</w:t>
      </w:r>
      <w:proofErr w:type="spellEnd"/>
      <w:r>
        <w:rPr>
          <w:rFonts w:ascii="Cambria Math" w:eastAsia="Calibri" w:hAnsi="Cambria Math" w:cs="Times New Roman"/>
        </w:rPr>
        <w:t xml:space="preserve"> (</w:t>
      </w:r>
      <w:proofErr w:type="spellStart"/>
      <w:r w:rsidRPr="00463AFA">
        <w:rPr>
          <w:rFonts w:ascii="Cambria Math" w:eastAsia="Calibri" w:hAnsi="Cambria Math" w:cs="Times New Roman"/>
        </w:rPr>
        <w:t>xb</w:t>
      </w:r>
      <w:proofErr w:type="spellEnd"/>
      <w:r>
        <w:rPr>
          <w:rFonts w:ascii="Cambria Math" w:eastAsia="Calibri" w:hAnsi="Cambria Math" w:cs="Times New Roman"/>
        </w:rPr>
        <w:t>)</w:t>
      </w:r>
      <w:r w:rsidRPr="00463AFA">
        <w:rPr>
          <w:rFonts w:ascii="Cambria Math" w:eastAsia="Calibri" w:hAnsi="Cambria Math" w:cs="Times New Roman"/>
        </w:rPr>
        <w:t xml:space="preserve"> / (1 + </w:t>
      </w:r>
      <w:proofErr w:type="spellStart"/>
      <w:r w:rsidRPr="00463AFA">
        <w:rPr>
          <w:rFonts w:ascii="Cambria Math" w:eastAsia="Calibri" w:hAnsi="Cambria Math" w:cs="Times New Roman"/>
        </w:rPr>
        <w:t>e</w:t>
      </w:r>
      <w:r w:rsidR="00C076F2">
        <w:rPr>
          <w:rFonts w:ascii="Cambria Math" w:eastAsia="Calibri" w:hAnsi="Cambria Math" w:cs="Times New Roman"/>
        </w:rPr>
        <w:t>xp</w:t>
      </w:r>
      <w:proofErr w:type="spellEnd"/>
      <w:r w:rsidR="00C076F2">
        <w:rPr>
          <w:rFonts w:ascii="Cambria Math" w:eastAsia="Calibri" w:hAnsi="Cambria Math" w:cs="Times New Roman"/>
        </w:rPr>
        <w:t xml:space="preserve"> </w:t>
      </w:r>
      <w:r>
        <w:rPr>
          <w:rFonts w:ascii="Cambria Math" w:eastAsia="Calibri" w:hAnsi="Cambria Math" w:cs="Times New Roman"/>
        </w:rPr>
        <w:t>(</w:t>
      </w:r>
      <w:proofErr w:type="spellStart"/>
      <w:r w:rsidRPr="00463AFA">
        <w:rPr>
          <w:rFonts w:ascii="Cambria Math" w:eastAsia="Calibri" w:hAnsi="Cambria Math" w:cs="Times New Roman"/>
        </w:rPr>
        <w:t>xb</w:t>
      </w:r>
      <w:proofErr w:type="spellEnd"/>
      <w:r>
        <w:rPr>
          <w:rFonts w:ascii="Cambria Math" w:eastAsia="Calibri" w:hAnsi="Cambria Math" w:cs="Times New Roman"/>
        </w:rPr>
        <w:t>))</w:t>
      </w:r>
    </w:p>
    <w:p w:rsidR="00463AFA" w:rsidRPr="00463AFA" w:rsidRDefault="00463AFA" w:rsidP="00463AFA">
      <w:pPr>
        <w:jc w:val="left"/>
        <w:rPr>
          <w:rFonts w:eastAsia="Calibri" w:cs="Times New Roman"/>
        </w:rPr>
      </w:pPr>
      <w:r w:rsidRPr="00463AFA">
        <w:rPr>
          <w:rFonts w:eastAsia="Calibri" w:cs="Times New Roman"/>
        </w:rPr>
        <w:t>En particular, para la especificación logística se cumple que:</w:t>
      </w:r>
    </w:p>
    <w:p w:rsidR="00463AFA" w:rsidRPr="00463AFA" w:rsidRDefault="00C076F2" w:rsidP="00463AFA">
      <w:pPr>
        <w:jc w:val="center"/>
        <w:rPr>
          <w:rFonts w:ascii="Cambria Math" w:eastAsia="Calibri" w:hAnsi="Cambria Math" w:cs="Times New Roman"/>
        </w:rPr>
      </w:pPr>
      <w:proofErr w:type="gramStart"/>
      <w:r>
        <w:rPr>
          <w:rFonts w:ascii="Cambria Math" w:eastAsia="Calibri" w:hAnsi="Cambria Math" w:cs="Times New Roman"/>
        </w:rPr>
        <w:t>P(</w:t>
      </w:r>
      <w:proofErr w:type="gramEnd"/>
      <w:r>
        <w:rPr>
          <w:rFonts w:ascii="Cambria Math" w:eastAsia="Calibri" w:hAnsi="Cambria Math" w:cs="Times New Roman"/>
        </w:rPr>
        <w:t xml:space="preserve">si) = </w:t>
      </w:r>
      <w:proofErr w:type="spellStart"/>
      <w:r>
        <w:rPr>
          <w:rFonts w:ascii="Cambria Math" w:eastAsia="Calibri" w:hAnsi="Cambria Math" w:cs="Times New Roman"/>
        </w:rPr>
        <w:t>exp</w:t>
      </w:r>
      <w:proofErr w:type="spellEnd"/>
      <w:r>
        <w:rPr>
          <w:rFonts w:ascii="Cambria Math" w:eastAsia="Calibri" w:hAnsi="Cambria Math" w:cs="Times New Roman"/>
        </w:rPr>
        <w:t>(</w:t>
      </w:r>
      <w:proofErr w:type="spellStart"/>
      <w:r>
        <w:rPr>
          <w:rFonts w:ascii="Cambria Math" w:eastAsia="Calibri" w:hAnsi="Cambria Math" w:cs="Times New Roman"/>
        </w:rPr>
        <w:t>xb</w:t>
      </w:r>
      <w:proofErr w:type="spellEnd"/>
      <w:r>
        <w:rPr>
          <w:rFonts w:ascii="Cambria Math" w:eastAsia="Calibri" w:hAnsi="Cambria Math" w:cs="Times New Roman"/>
        </w:rPr>
        <w:t>)</w:t>
      </w:r>
      <w:r w:rsidR="00463AFA" w:rsidRPr="00463AFA">
        <w:rPr>
          <w:rFonts w:ascii="Cambria Math" w:eastAsia="Calibri" w:hAnsi="Cambria Math" w:cs="Times New Roman"/>
        </w:rPr>
        <w:t xml:space="preserve"> /(1+e</w:t>
      </w:r>
      <w:r>
        <w:rPr>
          <w:rFonts w:ascii="Cambria Math" w:eastAsia="Calibri" w:hAnsi="Cambria Math" w:cs="Times New Roman"/>
        </w:rPr>
        <w:t>xp(</w:t>
      </w:r>
      <w:proofErr w:type="spellStart"/>
      <w:r>
        <w:rPr>
          <w:rFonts w:ascii="Cambria Math" w:eastAsia="Calibri" w:hAnsi="Cambria Math" w:cs="Times New Roman"/>
        </w:rPr>
        <w:t>xb</w:t>
      </w:r>
      <w:proofErr w:type="spellEnd"/>
      <w:r>
        <w:rPr>
          <w:rFonts w:ascii="Cambria Math" w:eastAsia="Calibri" w:hAnsi="Cambria Math" w:cs="Times New Roman"/>
        </w:rPr>
        <w:t>)</w:t>
      </w:r>
      <w:r w:rsidR="00463AFA" w:rsidRPr="00463AFA">
        <w:rPr>
          <w:rFonts w:ascii="Cambria Math" w:eastAsia="Calibri" w:hAnsi="Cambria Math" w:cs="Times New Roman"/>
        </w:rPr>
        <w:t>) y</w:t>
      </w:r>
    </w:p>
    <w:p w:rsidR="00463AFA" w:rsidRPr="00463AFA" w:rsidRDefault="00463AFA" w:rsidP="00463AFA">
      <w:pPr>
        <w:jc w:val="center"/>
        <w:rPr>
          <w:rFonts w:ascii="Cambria Math" w:eastAsia="Calibri" w:hAnsi="Cambria Math" w:cs="Times New Roman"/>
        </w:rPr>
      </w:pPr>
      <w:proofErr w:type="gramStart"/>
      <w:r w:rsidRPr="00463AFA">
        <w:rPr>
          <w:rFonts w:ascii="Cambria Math" w:eastAsia="Calibri" w:hAnsi="Cambria Math" w:cs="Times New Roman"/>
        </w:rPr>
        <w:t>P(</w:t>
      </w:r>
      <w:proofErr w:type="gramEnd"/>
      <w:r w:rsidRPr="00463AFA">
        <w:rPr>
          <w:rFonts w:ascii="Cambria Math" w:eastAsia="Calibri" w:hAnsi="Cambria Math" w:cs="Times New Roman"/>
        </w:rPr>
        <w:t xml:space="preserve">no) = 1 – P(si) = 1 – </w:t>
      </w:r>
      <w:proofErr w:type="spellStart"/>
      <w:r w:rsidRPr="00463AFA">
        <w:rPr>
          <w:rFonts w:ascii="Cambria Math" w:eastAsia="Calibri" w:hAnsi="Cambria Math" w:cs="Times New Roman"/>
        </w:rPr>
        <w:t>e</w:t>
      </w:r>
      <w:r w:rsidR="00C076F2">
        <w:rPr>
          <w:rFonts w:ascii="Cambria Math" w:eastAsia="Calibri" w:hAnsi="Cambria Math" w:cs="Times New Roman"/>
        </w:rPr>
        <w:t>xp</w:t>
      </w:r>
      <w:proofErr w:type="spellEnd"/>
      <w:r w:rsidR="00C076F2">
        <w:rPr>
          <w:rFonts w:ascii="Cambria Math" w:eastAsia="Calibri" w:hAnsi="Cambria Math" w:cs="Times New Roman"/>
        </w:rPr>
        <w:t>(</w:t>
      </w:r>
      <w:proofErr w:type="spellStart"/>
      <w:r w:rsidR="00C076F2">
        <w:rPr>
          <w:rFonts w:ascii="Cambria Math" w:eastAsia="Calibri" w:hAnsi="Cambria Math" w:cs="Times New Roman"/>
        </w:rPr>
        <w:t>xb</w:t>
      </w:r>
      <w:proofErr w:type="spellEnd"/>
      <w:r w:rsidR="00C076F2">
        <w:rPr>
          <w:rFonts w:ascii="Cambria Math" w:eastAsia="Calibri" w:hAnsi="Cambria Math" w:cs="Times New Roman"/>
        </w:rPr>
        <w:t>)</w:t>
      </w:r>
      <w:r w:rsidRPr="00463AFA">
        <w:rPr>
          <w:rFonts w:ascii="Cambria Math" w:eastAsia="Calibri" w:hAnsi="Cambria Math" w:cs="Times New Roman"/>
        </w:rPr>
        <w:t xml:space="preserve"> /(1 + </w:t>
      </w:r>
      <w:proofErr w:type="spellStart"/>
      <w:r w:rsidRPr="00463AFA">
        <w:rPr>
          <w:rFonts w:ascii="Cambria Math" w:eastAsia="Calibri" w:hAnsi="Cambria Math" w:cs="Times New Roman"/>
        </w:rPr>
        <w:t>e</w:t>
      </w:r>
      <w:r w:rsidR="00C076F2">
        <w:rPr>
          <w:rFonts w:ascii="Cambria Math" w:eastAsia="Calibri" w:hAnsi="Cambria Math" w:cs="Times New Roman"/>
        </w:rPr>
        <w:t>xp</w:t>
      </w:r>
      <w:proofErr w:type="spellEnd"/>
      <w:r w:rsidR="00C076F2">
        <w:rPr>
          <w:rFonts w:ascii="Cambria Math" w:eastAsia="Calibri" w:hAnsi="Cambria Math" w:cs="Times New Roman"/>
        </w:rPr>
        <w:t>(</w:t>
      </w:r>
      <w:proofErr w:type="spellStart"/>
      <w:r w:rsidR="00C076F2">
        <w:rPr>
          <w:rFonts w:ascii="Cambria Math" w:eastAsia="Calibri" w:hAnsi="Cambria Math" w:cs="Times New Roman"/>
        </w:rPr>
        <w:t>xb</w:t>
      </w:r>
      <w:proofErr w:type="spellEnd"/>
      <w:r w:rsidR="00C076F2">
        <w:rPr>
          <w:rFonts w:ascii="Cambria Math" w:eastAsia="Calibri" w:hAnsi="Cambria Math" w:cs="Times New Roman"/>
        </w:rPr>
        <w:t>)</w:t>
      </w:r>
      <w:r w:rsidRPr="00463AFA">
        <w:rPr>
          <w:rFonts w:ascii="Cambria Math" w:eastAsia="Calibri" w:hAnsi="Cambria Math" w:cs="Times New Roman"/>
        </w:rPr>
        <w:t xml:space="preserve">) = 1/ (1 + </w:t>
      </w:r>
      <w:proofErr w:type="spellStart"/>
      <w:r w:rsidRPr="00463AFA">
        <w:rPr>
          <w:rFonts w:ascii="Cambria Math" w:eastAsia="Calibri" w:hAnsi="Cambria Math" w:cs="Times New Roman"/>
        </w:rPr>
        <w:t>e</w:t>
      </w:r>
      <w:r w:rsidR="00C076F2">
        <w:rPr>
          <w:rFonts w:ascii="Cambria Math" w:eastAsia="Calibri" w:hAnsi="Cambria Math" w:cs="Times New Roman"/>
        </w:rPr>
        <w:t>xp</w:t>
      </w:r>
      <w:proofErr w:type="spellEnd"/>
      <w:r w:rsidR="00C076F2">
        <w:rPr>
          <w:rFonts w:ascii="Cambria Math" w:eastAsia="Calibri" w:hAnsi="Cambria Math" w:cs="Times New Roman"/>
        </w:rPr>
        <w:t>(</w:t>
      </w:r>
      <w:proofErr w:type="spellStart"/>
      <w:r w:rsidR="00C076F2">
        <w:rPr>
          <w:rFonts w:ascii="Cambria Math" w:eastAsia="Calibri" w:hAnsi="Cambria Math" w:cs="Times New Roman"/>
        </w:rPr>
        <w:t>xb</w:t>
      </w:r>
      <w:proofErr w:type="spellEnd"/>
      <w:r w:rsidR="00C076F2">
        <w:rPr>
          <w:rFonts w:ascii="Cambria Math" w:eastAsia="Calibri" w:hAnsi="Cambria Math" w:cs="Times New Roman"/>
        </w:rPr>
        <w:t>)</w:t>
      </w:r>
      <w:r w:rsidRPr="00463AFA">
        <w:rPr>
          <w:rFonts w:ascii="Cambria Math" w:eastAsia="Calibri" w:hAnsi="Cambria Math" w:cs="Times New Roman"/>
        </w:rPr>
        <w:t>)</w:t>
      </w:r>
    </w:p>
    <w:p w:rsidR="00463AFA" w:rsidRPr="00463AFA" w:rsidRDefault="00463AFA" w:rsidP="00463AFA">
      <w:pPr>
        <w:jc w:val="center"/>
        <w:rPr>
          <w:rFonts w:ascii="Cambria Math" w:eastAsia="Calibri" w:hAnsi="Cambria Math" w:cs="Times New Roman"/>
        </w:rPr>
      </w:pPr>
      <w:proofErr w:type="gramStart"/>
      <w:r w:rsidRPr="00463AFA">
        <w:rPr>
          <w:rFonts w:ascii="Cambria Math" w:eastAsia="Calibri" w:hAnsi="Cambria Math" w:cs="Times New Roman"/>
        </w:rPr>
        <w:t>P(</w:t>
      </w:r>
      <w:proofErr w:type="gramEnd"/>
      <w:r w:rsidRPr="00463AFA">
        <w:rPr>
          <w:rFonts w:ascii="Cambria Math" w:eastAsia="Calibri" w:hAnsi="Cambria Math" w:cs="Times New Roman"/>
        </w:rPr>
        <w:t xml:space="preserve">si) / P(no) = </w:t>
      </w:r>
      <w:proofErr w:type="spellStart"/>
      <w:r w:rsidRPr="00463AFA">
        <w:rPr>
          <w:rFonts w:ascii="Cambria Math" w:eastAsia="Calibri" w:hAnsi="Cambria Math" w:cs="Times New Roman"/>
        </w:rPr>
        <w:t>e</w:t>
      </w:r>
      <w:r w:rsidR="00C076F2">
        <w:rPr>
          <w:rFonts w:ascii="Cambria Math" w:eastAsia="Calibri" w:hAnsi="Cambria Math" w:cs="Times New Roman"/>
        </w:rPr>
        <w:t>xp</w:t>
      </w:r>
      <w:proofErr w:type="spellEnd"/>
      <w:r w:rsidR="00C076F2">
        <w:rPr>
          <w:rFonts w:ascii="Cambria Math" w:eastAsia="Calibri" w:hAnsi="Cambria Math" w:cs="Times New Roman"/>
        </w:rPr>
        <w:t>(</w:t>
      </w:r>
      <w:proofErr w:type="spellStart"/>
      <w:r w:rsidR="00C076F2">
        <w:rPr>
          <w:rFonts w:ascii="Cambria Math" w:eastAsia="Calibri" w:hAnsi="Cambria Math" w:cs="Times New Roman"/>
        </w:rPr>
        <w:t>xb</w:t>
      </w:r>
      <w:proofErr w:type="spellEnd"/>
      <w:r w:rsidR="00C076F2">
        <w:rPr>
          <w:rFonts w:ascii="Cambria Math" w:eastAsia="Calibri" w:hAnsi="Cambria Math" w:cs="Times New Roman"/>
        </w:rPr>
        <w:t>)</w:t>
      </w:r>
    </w:p>
    <w:p w:rsidR="00950C90" w:rsidRDefault="00950C90" w:rsidP="00EF4106">
      <w:pPr>
        <w:widowControl w:val="0"/>
        <w:rPr>
          <w:rFonts w:eastAsia="Calibri" w:cs="Times New Roman"/>
        </w:rPr>
      </w:pPr>
      <w:r w:rsidRPr="00950C90">
        <w:rPr>
          <w:rFonts w:eastAsia="Calibri" w:cs="Times New Roman"/>
        </w:rPr>
        <w:t>Estas ecuaciones de usan únicamente para estimar los impactos en el caso del ingreso familiar, que es la única variable continua utilizada en las ecuaciones de demanda.</w:t>
      </w:r>
    </w:p>
    <w:p w:rsidR="00C652B3" w:rsidRDefault="004D7A89" w:rsidP="00EF4106">
      <w:pPr>
        <w:widowControl w:val="0"/>
        <w:rPr>
          <w:rFonts w:eastAsia="Calibri" w:cs="Times New Roman"/>
        </w:rPr>
      </w:pPr>
      <w:r w:rsidRPr="004D7A89">
        <w:rPr>
          <w:rFonts w:eastAsia="Calibri" w:cs="Times New Roman"/>
        </w:rPr>
        <w:t>Para todas las otras variables x utilizadas como determinantes de la demanda, que son dicótomas (1,0), estas ecuacion</w:t>
      </w:r>
      <w:r>
        <w:rPr>
          <w:rFonts w:eastAsia="Calibri" w:cs="Times New Roman"/>
        </w:rPr>
        <w:t>es se simplifican a las siguientes fórmulas, que muestran la operacionalización del modelo</w:t>
      </w:r>
    </w:p>
    <w:p w:rsidR="0022680E" w:rsidRDefault="00EF4106" w:rsidP="00EF4106">
      <w:pPr>
        <w:widowControl w:val="0"/>
        <w:jc w:val="center"/>
      </w:pPr>
      <w:r>
        <w:t xml:space="preserve">A. </w:t>
      </w:r>
      <w:r w:rsidR="0022680E">
        <w:t>P</w:t>
      </w:r>
      <w:r w:rsidR="00EC14BF">
        <w:t>robabilidad de demandar el servicio</w:t>
      </w:r>
      <w:r w:rsidR="00F95998">
        <w:t>:</w:t>
      </w:r>
      <w:r w:rsidR="00EC14BF">
        <w:t xml:space="preserve">  </w:t>
      </w:r>
    </w:p>
    <w:p w:rsidR="00EC14BF" w:rsidRPr="0022680E" w:rsidRDefault="00FD748B" w:rsidP="00EF4106">
      <w:pPr>
        <w:jc w:val="center"/>
        <w:rPr>
          <w:rFonts w:ascii="Cambria Math" w:eastAsia="Calibri" w:hAnsi="Cambria Math" w:cs="Times New Roman"/>
        </w:rPr>
      </w:pPr>
      <w:r>
        <w:rPr>
          <w:rFonts w:ascii="Cambria Math" w:eastAsia="Calibri" w:hAnsi="Cambria Math" w:cs="Times New Roman"/>
        </w:rPr>
        <w:t>P</w:t>
      </w:r>
      <w:r w:rsidRPr="0022680E">
        <w:rPr>
          <w:rFonts w:ascii="Cambria Math" w:eastAsia="Calibri" w:hAnsi="Cambria Math" w:cs="Times New Roman"/>
        </w:rPr>
        <w:t xml:space="preserve"> (</w:t>
      </w:r>
      <w:r w:rsidR="00EC14BF" w:rsidRPr="0022680E">
        <w:rPr>
          <w:rFonts w:ascii="Cambria Math" w:eastAsia="Calibri" w:hAnsi="Cambria Math" w:cs="Times New Roman"/>
        </w:rPr>
        <w:t>y=1) =</w:t>
      </w:r>
      <w:proofErr w:type="spellStart"/>
      <w:proofErr w:type="gramStart"/>
      <w:r w:rsidR="00EC14BF" w:rsidRPr="0022680E">
        <w:rPr>
          <w:rFonts w:ascii="Cambria Math" w:eastAsia="Calibri" w:hAnsi="Cambria Math" w:cs="Times New Roman"/>
        </w:rPr>
        <w:t>exp</w:t>
      </w:r>
      <w:proofErr w:type="spellEnd"/>
      <w:r w:rsidR="00EC14BF" w:rsidRPr="0022680E">
        <w:rPr>
          <w:rFonts w:ascii="Cambria Math" w:eastAsia="Calibri" w:hAnsi="Cambria Math" w:cs="Times New Roman"/>
        </w:rPr>
        <w:t>(</w:t>
      </w:r>
      <w:proofErr w:type="gramEnd"/>
      <w:r w:rsidR="00EC14BF" w:rsidRPr="0022680E">
        <w:rPr>
          <w:rFonts w:ascii="Cambria Math" w:eastAsia="Calibri" w:hAnsi="Cambria Math" w:cs="Times New Roman"/>
        </w:rPr>
        <w:t>b)/</w:t>
      </w:r>
      <w:r>
        <w:rPr>
          <w:rFonts w:ascii="Cambria Math" w:eastAsia="Calibri" w:hAnsi="Cambria Math" w:cs="Times New Roman"/>
        </w:rPr>
        <w:t xml:space="preserve"> </w:t>
      </w:r>
      <w:r w:rsidR="00EC14BF" w:rsidRPr="0022680E">
        <w:rPr>
          <w:rFonts w:ascii="Cambria Math" w:eastAsia="Calibri" w:hAnsi="Cambria Math" w:cs="Times New Roman"/>
        </w:rPr>
        <w:t>(1+</w:t>
      </w:r>
      <w:r w:rsidR="00C076F2">
        <w:rPr>
          <w:rFonts w:ascii="Cambria Math" w:eastAsia="Calibri" w:hAnsi="Cambria Math" w:cs="Times New Roman"/>
        </w:rPr>
        <w:t>exp</w:t>
      </w:r>
      <w:r w:rsidR="00D653D2" w:rsidRPr="0022680E">
        <w:rPr>
          <w:rFonts w:ascii="Cambria Math" w:eastAsia="Calibri" w:hAnsi="Cambria Math" w:cs="Times New Roman"/>
        </w:rPr>
        <w:t>(</w:t>
      </w:r>
      <w:r w:rsidR="00EC14BF" w:rsidRPr="0022680E">
        <w:rPr>
          <w:rFonts w:ascii="Cambria Math" w:eastAsia="Calibri" w:hAnsi="Cambria Math" w:cs="Times New Roman"/>
        </w:rPr>
        <w:t>b)</w:t>
      </w:r>
      <w:r>
        <w:rPr>
          <w:rFonts w:ascii="Cambria Math" w:eastAsia="Calibri" w:hAnsi="Cambria Math" w:cs="Times New Roman"/>
        </w:rPr>
        <w:t>)</w:t>
      </w:r>
      <w:r w:rsidR="009F228E">
        <w:rPr>
          <w:rFonts w:ascii="Cambria Math" w:eastAsia="Calibri" w:hAnsi="Cambria Math" w:cs="Times New Roman"/>
        </w:rPr>
        <w:t xml:space="preserve"> y</w:t>
      </w:r>
    </w:p>
    <w:p w:rsidR="0022680E" w:rsidRDefault="00EF4106" w:rsidP="00EF4106">
      <w:pPr>
        <w:widowControl w:val="0"/>
        <w:jc w:val="center"/>
      </w:pPr>
      <w:r>
        <w:lastRenderedPageBreak/>
        <w:t xml:space="preserve">B. </w:t>
      </w:r>
      <w:r w:rsidR="0022680E">
        <w:t>P</w:t>
      </w:r>
      <w:r w:rsidR="00EC14BF">
        <w:t>robabilidad de no demandar el servicio</w:t>
      </w:r>
      <w:r w:rsidR="00F95998">
        <w:t>:</w:t>
      </w:r>
      <w:r w:rsidR="00EC14BF">
        <w:t xml:space="preserve">  </w:t>
      </w:r>
    </w:p>
    <w:p w:rsidR="00EC14BF" w:rsidRDefault="00FD748B" w:rsidP="00EF4106">
      <w:pPr>
        <w:jc w:val="center"/>
        <w:rPr>
          <w:rFonts w:ascii="Cambria Math" w:eastAsia="Calibri" w:hAnsi="Cambria Math" w:cs="Times New Roman"/>
        </w:rPr>
      </w:pPr>
      <w:r>
        <w:rPr>
          <w:rFonts w:ascii="Cambria Math" w:eastAsia="Calibri" w:hAnsi="Cambria Math" w:cs="Times New Roman"/>
        </w:rPr>
        <w:t>P</w:t>
      </w:r>
      <w:r w:rsidRPr="0022680E">
        <w:rPr>
          <w:rFonts w:ascii="Cambria Math" w:eastAsia="Calibri" w:hAnsi="Cambria Math" w:cs="Times New Roman"/>
        </w:rPr>
        <w:t xml:space="preserve"> (</w:t>
      </w:r>
      <w:r w:rsidR="00EC14BF" w:rsidRPr="0022680E">
        <w:rPr>
          <w:rFonts w:ascii="Cambria Math" w:eastAsia="Calibri" w:hAnsi="Cambria Math" w:cs="Times New Roman"/>
        </w:rPr>
        <w:t xml:space="preserve">y=0) = </w:t>
      </w:r>
      <w:proofErr w:type="spellStart"/>
      <w:proofErr w:type="gramStart"/>
      <w:r w:rsidR="00EC14BF" w:rsidRPr="0022680E">
        <w:rPr>
          <w:rFonts w:ascii="Cambria Math" w:eastAsia="Calibri" w:hAnsi="Cambria Math" w:cs="Times New Roman"/>
        </w:rPr>
        <w:t>exp</w:t>
      </w:r>
      <w:proofErr w:type="spellEnd"/>
      <w:r w:rsidR="00EC14BF" w:rsidRPr="0022680E">
        <w:rPr>
          <w:rFonts w:ascii="Cambria Math" w:eastAsia="Calibri" w:hAnsi="Cambria Math" w:cs="Times New Roman"/>
        </w:rPr>
        <w:t>(</w:t>
      </w:r>
      <w:proofErr w:type="gramEnd"/>
      <w:r w:rsidR="00EC14BF" w:rsidRPr="0022680E">
        <w:rPr>
          <w:rFonts w:ascii="Cambria Math" w:eastAsia="Calibri" w:hAnsi="Cambria Math" w:cs="Times New Roman"/>
        </w:rPr>
        <w:t>0)/</w:t>
      </w:r>
      <w:r>
        <w:rPr>
          <w:rFonts w:ascii="Cambria Math" w:eastAsia="Calibri" w:hAnsi="Cambria Math" w:cs="Times New Roman"/>
        </w:rPr>
        <w:t xml:space="preserve"> </w:t>
      </w:r>
      <w:r w:rsidR="00EC14BF" w:rsidRPr="0022680E">
        <w:rPr>
          <w:rFonts w:ascii="Cambria Math" w:eastAsia="Calibri" w:hAnsi="Cambria Math" w:cs="Times New Roman"/>
        </w:rPr>
        <w:t>(1+</w:t>
      </w:r>
      <w:r w:rsidR="00C076F2">
        <w:rPr>
          <w:rFonts w:ascii="Cambria Math" w:eastAsia="Calibri" w:hAnsi="Cambria Math" w:cs="Times New Roman"/>
        </w:rPr>
        <w:t>exp</w:t>
      </w:r>
      <w:r w:rsidR="00D653D2" w:rsidRPr="0022680E">
        <w:rPr>
          <w:rFonts w:ascii="Cambria Math" w:eastAsia="Calibri" w:hAnsi="Cambria Math" w:cs="Times New Roman"/>
        </w:rPr>
        <w:t>(</w:t>
      </w:r>
      <w:r w:rsidR="00EC14BF" w:rsidRPr="0022680E">
        <w:rPr>
          <w:rFonts w:ascii="Cambria Math" w:eastAsia="Calibri" w:hAnsi="Cambria Math" w:cs="Times New Roman"/>
        </w:rPr>
        <w:t>0)</w:t>
      </w:r>
      <w:r>
        <w:rPr>
          <w:rFonts w:ascii="Cambria Math" w:eastAsia="Calibri" w:hAnsi="Cambria Math" w:cs="Times New Roman"/>
        </w:rPr>
        <w:t>)</w:t>
      </w:r>
      <w:r w:rsidR="009F228E">
        <w:rPr>
          <w:rFonts w:ascii="Cambria Math" w:eastAsia="Calibri" w:hAnsi="Cambria Math" w:cs="Times New Roman"/>
        </w:rPr>
        <w:t xml:space="preserve"> = ½ </w:t>
      </w:r>
      <w:r w:rsidR="009F228E" w:rsidRPr="009F228E">
        <w:rPr>
          <w:rFonts w:ascii="Cambria Math" w:eastAsia="Calibri" w:hAnsi="Cambria Math" w:cs="Times New Roman"/>
        </w:rPr>
        <w:t xml:space="preserve">dado que </w:t>
      </w:r>
      <w:proofErr w:type="spellStart"/>
      <w:r w:rsidR="009A7584" w:rsidRPr="0022680E">
        <w:rPr>
          <w:rFonts w:ascii="Cambria Math" w:eastAsia="Calibri" w:hAnsi="Cambria Math" w:cs="Times New Roman"/>
        </w:rPr>
        <w:t>exp</w:t>
      </w:r>
      <w:proofErr w:type="spellEnd"/>
      <w:r w:rsidR="009A7584" w:rsidRPr="0022680E">
        <w:rPr>
          <w:rFonts w:ascii="Cambria Math" w:eastAsia="Calibri" w:hAnsi="Cambria Math" w:cs="Times New Roman"/>
        </w:rPr>
        <w:t>(0)</w:t>
      </w:r>
      <w:r w:rsidR="009A7584">
        <w:rPr>
          <w:rFonts w:ascii="Cambria Math" w:eastAsia="Calibri" w:hAnsi="Cambria Math" w:cs="Times New Roman"/>
        </w:rPr>
        <w:t xml:space="preserve"> </w:t>
      </w:r>
      <w:r w:rsidR="009F228E" w:rsidRPr="009F228E">
        <w:rPr>
          <w:rFonts w:ascii="Cambria Math" w:eastAsia="Calibri" w:hAnsi="Cambria Math" w:cs="Times New Roman"/>
        </w:rPr>
        <w:t>= 1</w:t>
      </w:r>
    </w:p>
    <w:p w:rsidR="00C5620B" w:rsidRPr="001D02C4" w:rsidRDefault="00E21CA0" w:rsidP="00E21CA0">
      <w:pPr>
        <w:pStyle w:val="Ttulo3"/>
        <w:rPr>
          <w:rFonts w:eastAsia="Calibri"/>
          <w:sz w:val="26"/>
          <w:szCs w:val="26"/>
        </w:rPr>
      </w:pPr>
      <w:r w:rsidRPr="001D02C4">
        <w:rPr>
          <w:rFonts w:eastAsia="Calibri"/>
          <w:sz w:val="26"/>
          <w:szCs w:val="26"/>
        </w:rPr>
        <w:t xml:space="preserve">Efecto de la tenencia y uso de Telefonía Móvil e Internet a nivel de hogar sobre los ingresos familiares </w:t>
      </w:r>
    </w:p>
    <w:p w:rsidR="00A361F5" w:rsidRDefault="00933E2F" w:rsidP="00EF4106">
      <w:pPr>
        <w:widowControl w:val="0"/>
        <w:rPr>
          <w:rFonts w:eastAsia="Calibri" w:cs="Times New Roman"/>
        </w:rPr>
      </w:pPr>
      <w:r>
        <w:rPr>
          <w:rFonts w:eastAsia="Calibri" w:cs="Times New Roman"/>
        </w:rPr>
        <w:t>Para determinar el efecto de la tenencia y uso de la telefonía móvil e internet s</w:t>
      </w:r>
      <w:r w:rsidR="00602184" w:rsidRPr="00602184">
        <w:rPr>
          <w:rFonts w:eastAsia="Calibri" w:cs="Times New Roman"/>
        </w:rPr>
        <w:t>e estimó un nuevo modelo estadístico sobre los determinantes del ingreso familiar, bajo el supuesto de que estos efectos productivos y d</w:t>
      </w:r>
      <w:r w:rsidR="00A361F5">
        <w:rPr>
          <w:rFonts w:eastAsia="Calibri" w:cs="Times New Roman"/>
        </w:rPr>
        <w:t>e eficiencia del uso de las TIC</w:t>
      </w:r>
      <w:r w:rsidR="00602184" w:rsidRPr="00602184">
        <w:rPr>
          <w:rFonts w:eastAsia="Calibri" w:cs="Times New Roman"/>
        </w:rPr>
        <w:t xml:space="preserve"> se deben reflejar en los ingresos familiares a nivel de los hogares.  </w:t>
      </w:r>
    </w:p>
    <w:p w:rsidR="00C5620B" w:rsidRDefault="00A361F5" w:rsidP="00EF4106">
      <w:pPr>
        <w:widowControl w:val="0"/>
        <w:rPr>
          <w:rFonts w:eastAsia="Calibri" w:cs="Times New Roman"/>
        </w:rPr>
      </w:pPr>
      <w:r>
        <w:rPr>
          <w:rFonts w:eastAsia="Calibri" w:cs="Times New Roman"/>
        </w:rPr>
        <w:t>Así,</w:t>
      </w:r>
      <w:r w:rsidR="00602184" w:rsidRPr="00602184">
        <w:rPr>
          <w:rFonts w:eastAsia="Calibri" w:cs="Times New Roman"/>
        </w:rPr>
        <w:t xml:space="preserve"> se utilizó un modelo de determinación de los ingresos familiares, tomando como controles las mismas variables utilizadas para la estimación de la demanda por TIC a nivel de hogar.</w:t>
      </w:r>
      <w:r>
        <w:rPr>
          <w:rFonts w:eastAsia="Calibri" w:cs="Times New Roman"/>
        </w:rPr>
        <w:t xml:space="preserve"> Nuevamente el u</w:t>
      </w:r>
      <w:r w:rsidRPr="005B79DF">
        <w:rPr>
          <w:rFonts w:eastAsia="Calibri" w:cs="Times New Roman"/>
        </w:rPr>
        <w:t>niverso de hogares demandantes se desagreg</w:t>
      </w:r>
      <w:r>
        <w:rPr>
          <w:rFonts w:eastAsia="Calibri" w:cs="Times New Roman"/>
        </w:rPr>
        <w:t>ó</w:t>
      </w:r>
      <w:r w:rsidRPr="005B79DF">
        <w:rPr>
          <w:rFonts w:eastAsia="Calibri" w:cs="Times New Roman"/>
        </w:rPr>
        <w:t xml:space="preserve"> en </w:t>
      </w:r>
      <w:r>
        <w:rPr>
          <w:rFonts w:eastAsia="Calibri" w:cs="Times New Roman"/>
        </w:rPr>
        <w:t xml:space="preserve">los </w:t>
      </w:r>
      <w:r w:rsidRPr="005B79DF">
        <w:rPr>
          <w:rFonts w:eastAsia="Calibri" w:cs="Times New Roman"/>
        </w:rPr>
        <w:t xml:space="preserve">tres </w:t>
      </w:r>
      <w:r>
        <w:rPr>
          <w:rFonts w:eastAsia="Calibri" w:cs="Times New Roman"/>
        </w:rPr>
        <w:t>d</w:t>
      </w:r>
      <w:r w:rsidRPr="005B79DF">
        <w:rPr>
          <w:rFonts w:eastAsia="Calibri" w:cs="Times New Roman"/>
        </w:rPr>
        <w:t>ominios</w:t>
      </w:r>
      <w:r>
        <w:rPr>
          <w:rFonts w:eastAsia="Calibri" w:cs="Times New Roman"/>
        </w:rPr>
        <w:t xml:space="preserve"> mencionados en el numeral anterior.</w:t>
      </w:r>
    </w:p>
    <w:p w:rsidR="00B956D6" w:rsidRDefault="00A361F5" w:rsidP="00EF4106">
      <w:pPr>
        <w:widowControl w:val="0"/>
        <w:rPr>
          <w:rFonts w:eastAsia="Calibri" w:cs="Times New Roman"/>
        </w:rPr>
      </w:pPr>
      <w:r w:rsidRPr="00A361F5">
        <w:rPr>
          <w:rFonts w:eastAsia="Calibri" w:cs="Times New Roman"/>
        </w:rPr>
        <w:t xml:space="preserve">La variable dependiente es el logaritmo del ingreso familiar, </w:t>
      </w:r>
      <w:proofErr w:type="spellStart"/>
      <w:r w:rsidR="005A6BF8">
        <w:rPr>
          <w:rFonts w:ascii="Cambria Math" w:eastAsia="Calibri" w:hAnsi="Cambria Math" w:cs="Times New Roman"/>
        </w:rPr>
        <w:t>L</w:t>
      </w:r>
      <w:r w:rsidRPr="00A361F5">
        <w:rPr>
          <w:rFonts w:ascii="Cambria Math" w:eastAsia="Calibri" w:hAnsi="Cambria Math" w:cs="Times New Roman"/>
        </w:rPr>
        <w:t>n</w:t>
      </w:r>
      <w:proofErr w:type="spellEnd"/>
      <w:r w:rsidR="005A6BF8">
        <w:rPr>
          <w:rFonts w:ascii="Cambria Math" w:eastAsia="Calibri" w:hAnsi="Cambria Math" w:cs="Times New Roman"/>
        </w:rPr>
        <w:t xml:space="preserve"> </w:t>
      </w:r>
      <w:r w:rsidRPr="00A361F5">
        <w:rPr>
          <w:rFonts w:ascii="Cambria Math" w:eastAsia="Calibri" w:hAnsi="Cambria Math" w:cs="Times New Roman"/>
        </w:rPr>
        <w:t>(y)</w:t>
      </w:r>
      <w:r w:rsidRPr="00A361F5">
        <w:rPr>
          <w:rFonts w:eastAsia="Calibri" w:cs="Times New Roman"/>
        </w:rPr>
        <w:t xml:space="preserve">, definido como la suma de los ingresos de todos los miembros del hogar </w:t>
      </w:r>
      <w:r w:rsidR="00B956D6">
        <w:rPr>
          <w:rFonts w:eastAsia="Calibri" w:cs="Times New Roman"/>
        </w:rPr>
        <w:t>(medidos  en Millones de $/mes).</w:t>
      </w:r>
    </w:p>
    <w:p w:rsidR="005A6BF8" w:rsidRPr="005A6BF8" w:rsidRDefault="005A6BF8" w:rsidP="005A6BF8">
      <w:pPr>
        <w:widowControl w:val="0"/>
        <w:rPr>
          <w:rFonts w:eastAsia="Calibri" w:cs="Times New Roman"/>
        </w:rPr>
      </w:pPr>
      <w:r w:rsidRPr="005A6BF8">
        <w:rPr>
          <w:rFonts w:eastAsia="Calibri" w:cs="Times New Roman"/>
        </w:rPr>
        <w:t>Las variables independientes incluyen como controles o efectos fijos las mismas variables consideradas en la estimación de la demanda por TIC(Z)</w:t>
      </w:r>
      <w:r w:rsidR="00995202">
        <w:rPr>
          <w:rFonts w:eastAsia="Calibri" w:cs="Times New Roman"/>
        </w:rPr>
        <w:t xml:space="preserve"> – Figura 6.</w:t>
      </w:r>
      <w:r w:rsidR="001F12EC">
        <w:rPr>
          <w:rFonts w:eastAsia="Calibri" w:cs="Times New Roman"/>
        </w:rPr>
        <w:t>3</w:t>
      </w:r>
      <w:r w:rsidRPr="005A6BF8">
        <w:rPr>
          <w:rFonts w:eastAsia="Calibri" w:cs="Times New Roman"/>
        </w:rPr>
        <w:t>: i) la Región (las mismas nueve regiones consideradas en la estimación de la demanda por TIC), ii) la educación (básica, media, técnica-tecnológica, superior), iii) la edad (7-17 años, 18 a 34 años, 35 a 59 años y 60 o más años), todas variables dicótomas (0,1), que valen 1 si el hogar tiene al menos un miembro con la característica indicada y 0 en caso contrario. A este conjunto de controles se le suman dos variables explicativas adicionales: Una, si los miembros del hogar tienen al menos un teléfono móvil y, otra, si el hogar tiene Internet (internet).</w:t>
      </w:r>
    </w:p>
    <w:p w:rsidR="005A6BF8" w:rsidRDefault="005A6BF8" w:rsidP="005A6BF8">
      <w:pPr>
        <w:widowControl w:val="0"/>
        <w:rPr>
          <w:rFonts w:eastAsia="Calibri" w:cs="Times New Roman"/>
        </w:rPr>
      </w:pPr>
      <w:r w:rsidRPr="005A6BF8">
        <w:rPr>
          <w:rFonts w:eastAsia="Calibri" w:cs="Times New Roman"/>
        </w:rPr>
        <w:t>En síntesis, el modelo completo de determinación del ingreso familiar estimado tiene la siguiente estructura:</w:t>
      </w:r>
    </w:p>
    <w:p w:rsidR="005A6BF8" w:rsidRPr="004A70EA" w:rsidRDefault="005A6BF8" w:rsidP="005A6BF8">
      <w:pPr>
        <w:spacing w:after="240"/>
        <w:jc w:val="center"/>
        <w:rPr>
          <w:rFonts w:ascii="Symbol" w:eastAsia="Times New Roman" w:hAnsi="Symbol" w:cs="Times New Roman"/>
          <w:lang w:eastAsia="es-CO"/>
        </w:rPr>
      </w:pPr>
      <w:proofErr w:type="spellStart"/>
      <w:r w:rsidRPr="005A6BF8">
        <w:rPr>
          <w:rFonts w:ascii="Cambria Math" w:eastAsia="Times New Roman" w:hAnsi="Cambria Math" w:cs="Times New Roman"/>
          <w:lang w:eastAsia="es-CO"/>
        </w:rPr>
        <w:t>Ln</w:t>
      </w:r>
      <w:proofErr w:type="spellEnd"/>
      <w:r w:rsidRPr="005A6BF8">
        <w:rPr>
          <w:rFonts w:ascii="Cambria Math" w:eastAsia="Times New Roman" w:hAnsi="Cambria Math" w:cs="Times New Roman"/>
          <w:lang w:eastAsia="es-CO"/>
        </w:rPr>
        <w:t xml:space="preserve"> (y) = a</w:t>
      </w:r>
      <w:r w:rsidRPr="005A6BF8">
        <w:rPr>
          <w:rFonts w:ascii="Cambria Math" w:eastAsia="Times New Roman" w:hAnsi="Cambria Math" w:cs="Times New Roman"/>
          <w:vertAlign w:val="subscript"/>
          <w:lang w:eastAsia="es-CO"/>
        </w:rPr>
        <w:t>0</w:t>
      </w:r>
      <w:r w:rsidRPr="005A6BF8">
        <w:rPr>
          <w:rFonts w:ascii="Cambria Math" w:eastAsia="Times New Roman" w:hAnsi="Cambria Math" w:cs="Times New Roman"/>
          <w:lang w:eastAsia="es-CO"/>
        </w:rPr>
        <w:t xml:space="preserve">  +b</w:t>
      </w:r>
      <w:r w:rsidRPr="005A6BF8">
        <w:rPr>
          <w:rFonts w:ascii="Cambria Math" w:eastAsia="Times New Roman" w:hAnsi="Cambria Math" w:cs="Times New Roman"/>
          <w:vertAlign w:val="subscript"/>
          <w:lang w:eastAsia="es-CO"/>
        </w:rPr>
        <w:t xml:space="preserve">1 </w:t>
      </w:r>
      <w:r w:rsidRPr="005A6BF8">
        <w:rPr>
          <w:rFonts w:ascii="Cambria Math" w:eastAsia="Times New Roman" w:hAnsi="Cambria Math" w:cs="Times New Roman"/>
          <w:lang w:eastAsia="es-CO"/>
        </w:rPr>
        <w:t>* telefonía móvil + b</w:t>
      </w:r>
      <w:r w:rsidRPr="005A6BF8">
        <w:rPr>
          <w:rFonts w:ascii="Cambria Math" w:eastAsia="Times New Roman" w:hAnsi="Cambria Math" w:cs="Times New Roman"/>
          <w:vertAlign w:val="subscript"/>
          <w:lang w:eastAsia="es-CO"/>
        </w:rPr>
        <w:t>2</w:t>
      </w:r>
      <w:r w:rsidRPr="005A6BF8">
        <w:rPr>
          <w:rFonts w:ascii="Cambria Math" w:eastAsia="Times New Roman" w:hAnsi="Cambria Math" w:cs="Times New Roman"/>
          <w:lang w:eastAsia="es-CO"/>
        </w:rPr>
        <w:t xml:space="preserve"> * internet +</w:t>
      </w:r>
      <w:r w:rsidRPr="004A70EA">
        <w:rPr>
          <w:rFonts w:eastAsia="Times New Roman" w:cs="Times New Roman"/>
          <w:lang w:eastAsia="es-CO"/>
        </w:rPr>
        <w:t xml:space="preserve"> </w:t>
      </w:r>
      <w:r w:rsidRPr="004A70EA">
        <w:rPr>
          <w:rFonts w:ascii="Symbol" w:eastAsia="Times New Roman" w:hAnsi="Symbol" w:cs="Times New Roman"/>
          <w:sz w:val="32"/>
          <w:szCs w:val="32"/>
          <w:lang w:eastAsia="es-CO"/>
        </w:rPr>
        <w:t></w:t>
      </w:r>
      <w:proofErr w:type="gramStart"/>
      <w:r w:rsidRPr="004A70EA">
        <w:rPr>
          <w:rFonts w:ascii="Symbol" w:eastAsia="Times New Roman" w:hAnsi="Symbol" w:cs="Times New Roman"/>
          <w:sz w:val="32"/>
          <w:szCs w:val="32"/>
          <w:lang w:eastAsia="es-CO"/>
        </w:rPr>
        <w:t></w:t>
      </w:r>
      <w:r>
        <w:rPr>
          <w:rFonts w:ascii="Cambria Math" w:eastAsia="Times New Roman" w:hAnsi="Cambria Math" w:cs="Times New Roman"/>
          <w:sz w:val="32"/>
          <w:szCs w:val="32"/>
          <w:lang w:eastAsia="es-CO"/>
        </w:rPr>
        <w:t>(</w:t>
      </w:r>
      <w:proofErr w:type="spellStart"/>
      <w:proofErr w:type="gramEnd"/>
      <w:r w:rsidRPr="005A6BF8">
        <w:rPr>
          <w:rFonts w:ascii="Cambria Math" w:eastAsia="Times New Roman" w:hAnsi="Cambria Math" w:cs="Times New Roman"/>
          <w:lang w:eastAsia="es-CO"/>
        </w:rPr>
        <w:t>c</w:t>
      </w:r>
      <w:r w:rsidRPr="005A6BF8">
        <w:rPr>
          <w:rFonts w:ascii="Cambria Math" w:eastAsia="Times New Roman" w:hAnsi="Cambria Math" w:cs="Times New Roman"/>
          <w:vertAlign w:val="subscript"/>
          <w:lang w:eastAsia="es-CO"/>
        </w:rPr>
        <w:t>i</w:t>
      </w:r>
      <w:proofErr w:type="spellEnd"/>
      <w:r w:rsidRPr="005A6BF8">
        <w:rPr>
          <w:rFonts w:ascii="Cambria Math" w:eastAsia="Times New Roman" w:hAnsi="Cambria Math" w:cs="Times New Roman"/>
          <w:lang w:eastAsia="es-CO"/>
        </w:rPr>
        <w:t xml:space="preserve"> * </w:t>
      </w:r>
      <w:proofErr w:type="spellStart"/>
      <w:r w:rsidRPr="005A6BF8">
        <w:rPr>
          <w:rFonts w:ascii="Cambria Math" w:eastAsia="Times New Roman" w:hAnsi="Cambria Math" w:cs="Times New Roman"/>
          <w:lang w:eastAsia="es-CO"/>
        </w:rPr>
        <w:t>Z</w:t>
      </w:r>
      <w:r w:rsidRPr="005A6BF8">
        <w:rPr>
          <w:rFonts w:ascii="Cambria Math" w:eastAsia="Times New Roman" w:hAnsi="Cambria Math" w:cs="Times New Roman"/>
          <w:vertAlign w:val="subscript"/>
          <w:lang w:eastAsia="es-CO"/>
        </w:rPr>
        <w:t>i</w:t>
      </w:r>
      <w:proofErr w:type="spellEnd"/>
      <w:r w:rsidRPr="005A6BF8">
        <w:rPr>
          <w:rFonts w:ascii="Cambria Math" w:eastAsia="Times New Roman" w:hAnsi="Cambria Math" w:cs="Times New Roman"/>
          <w:lang w:eastAsia="es-CO"/>
        </w:rPr>
        <w:t xml:space="preserve">) + </w:t>
      </w:r>
      <w:r w:rsidRPr="004A70EA">
        <w:rPr>
          <w:rFonts w:ascii="Symbol" w:eastAsia="Times New Roman" w:hAnsi="Symbol" w:cs="Times New Roman"/>
          <w:lang w:eastAsia="es-CO"/>
        </w:rPr>
        <w:t></w:t>
      </w:r>
    </w:p>
    <w:p w:rsidR="00E55A6E" w:rsidRPr="00E55A6E" w:rsidRDefault="00E55A6E" w:rsidP="00E55A6E">
      <w:pPr>
        <w:widowControl w:val="0"/>
        <w:rPr>
          <w:rFonts w:eastAsia="Calibri" w:cs="Times New Roman"/>
        </w:rPr>
      </w:pPr>
      <w:r w:rsidRPr="00E55A6E">
        <w:rPr>
          <w:rFonts w:eastAsia="Calibri" w:cs="Times New Roman"/>
        </w:rPr>
        <w:t xml:space="preserve">Donde el logaritmo del ingreso familiar es una función de las variables que caracterizan la estructura de localización, región, educación, y edad de los hogares (variables en Z) y de la presencia de telefonía móvil e internet en el hogar. Diferenciando esta ecuación se obtiene el diferencial de ingreso por tener telefonía móvil (b1) y por tener internet (b2), </w:t>
      </w:r>
      <w:r w:rsidRPr="00E55A6E">
        <w:rPr>
          <w:rFonts w:eastAsia="Calibri" w:cs="Times New Roman"/>
        </w:rPr>
        <w:lastRenderedPageBreak/>
        <w:t>controlando por el resto de variables que afectan el ingreso familiar.</w:t>
      </w:r>
    </w:p>
    <w:p w:rsidR="005A6BF8" w:rsidRPr="00995202" w:rsidRDefault="00E55A6E" w:rsidP="00995202">
      <w:pPr>
        <w:widowControl w:val="0"/>
        <w:jc w:val="center"/>
        <w:rPr>
          <w:rFonts w:ascii="Cambria Math" w:eastAsia="Calibri" w:hAnsi="Cambria Math" w:cs="Times New Roman"/>
        </w:rPr>
      </w:pPr>
      <w:proofErr w:type="spellStart"/>
      <w:proofErr w:type="gramStart"/>
      <w:r w:rsidRPr="00995202">
        <w:rPr>
          <w:rFonts w:ascii="Cambria Math" w:eastAsia="Calibri" w:hAnsi="Cambria Math" w:cs="Times New Roman"/>
        </w:rPr>
        <w:t>dy</w:t>
      </w:r>
      <w:proofErr w:type="spellEnd"/>
      <w:r w:rsidRPr="00995202">
        <w:rPr>
          <w:rFonts w:ascii="Cambria Math" w:eastAsia="Calibri" w:hAnsi="Cambria Math" w:cs="Times New Roman"/>
        </w:rPr>
        <w:t>/</w:t>
      </w:r>
      <w:proofErr w:type="gramEnd"/>
      <w:r w:rsidRPr="00995202">
        <w:rPr>
          <w:rFonts w:ascii="Cambria Math" w:eastAsia="Calibri" w:hAnsi="Cambria Math" w:cs="Times New Roman"/>
        </w:rPr>
        <w:t>y = b1 *d(telefonía móvil) +b2 * d(internet) + ….</w:t>
      </w:r>
    </w:p>
    <w:p w:rsidR="004D2785" w:rsidRPr="00DF5EAE" w:rsidRDefault="004D2785" w:rsidP="004D2785">
      <w:pPr>
        <w:spacing w:before="120" w:after="120"/>
        <w:rPr>
          <w:rFonts w:eastAsia="Calibri" w:cs="Times New Roman"/>
        </w:rPr>
      </w:pPr>
      <w:r w:rsidRPr="00DF5EAE">
        <w:rPr>
          <w:rFonts w:eastAsia="Calibri" w:cs="Times New Roman"/>
        </w:rPr>
        <w:t>Se recomienda realizar dentro de dos años (2016) un estudio final con la metodología aquí propuesta y desarrollada, que permita una evaluación de los efectos finales del Plan, con información de cierre del año 2015.</w:t>
      </w:r>
    </w:p>
    <w:p w:rsidR="001B4E24" w:rsidRPr="001D02C4" w:rsidRDefault="00CF60F1" w:rsidP="00602184">
      <w:pPr>
        <w:pStyle w:val="Ttulo3"/>
        <w:rPr>
          <w:rFonts w:eastAsia="Calibri"/>
          <w:sz w:val="26"/>
          <w:szCs w:val="26"/>
        </w:rPr>
      </w:pPr>
      <w:r w:rsidRPr="001D02C4">
        <w:rPr>
          <w:rFonts w:eastAsia="Calibri"/>
          <w:sz w:val="26"/>
          <w:szCs w:val="26"/>
        </w:rPr>
        <w:t>Limitaciones de información</w:t>
      </w:r>
    </w:p>
    <w:p w:rsidR="00996111" w:rsidRPr="00DF5EAE" w:rsidRDefault="00996111" w:rsidP="00EF4106">
      <w:pPr>
        <w:widowControl w:val="0"/>
        <w:rPr>
          <w:rFonts w:eastAsia="Calibri" w:cs="Times New Roman"/>
        </w:rPr>
      </w:pPr>
      <w:r w:rsidRPr="00996111">
        <w:rPr>
          <w:rFonts w:eastAsia="Calibri" w:cs="Times New Roman"/>
        </w:rPr>
        <w:t xml:space="preserve">El análisis con base en las matrices de Insumo-Producto tiene dos limitantes para el análisis de los impactos sobre el empleo en el sector. Por un lado, integra el </w:t>
      </w:r>
      <w:r w:rsidRPr="00DF5EAE">
        <w:rPr>
          <w:rFonts w:eastAsia="Calibri" w:cs="Times New Roman"/>
        </w:rPr>
        <w:t>sector de telecomunicaciones con el sector de correos en una sola rama; y, por el otro, sólo permite calcular los impactos sobre los ingresos laborales, como una componente de los costos de producción del sector, y no los impactos sobre el empleo sectorial, comparando la situación antes con la situación después de la implantación del Plan Vive Digital.</w:t>
      </w:r>
    </w:p>
    <w:p w:rsidR="00996111" w:rsidRPr="00A11D6D" w:rsidRDefault="00996111" w:rsidP="00996111">
      <w:pPr>
        <w:pStyle w:val="Ttulo2"/>
        <w:spacing w:after="0"/>
        <w:jc w:val="left"/>
      </w:pPr>
      <w:bookmarkStart w:id="154" w:name="_Toc405992319"/>
      <w:r>
        <w:t xml:space="preserve">Evaluación de impacto: </w:t>
      </w:r>
      <w:r w:rsidR="007C718D">
        <w:t>i</w:t>
      </w:r>
      <w:r w:rsidR="007C718D" w:rsidRPr="007F5CDE">
        <w:t>nformación</w:t>
      </w:r>
      <w:r w:rsidR="007C718D" w:rsidRPr="00A11D6D">
        <w:t xml:space="preserve"> necesaria </w:t>
      </w:r>
      <w:r w:rsidR="007C718D">
        <w:t xml:space="preserve">y </w:t>
      </w:r>
      <w:r>
        <w:t>procedimiento</w:t>
      </w:r>
      <w:r w:rsidR="00975D84">
        <w:rPr>
          <w:rStyle w:val="Refdenotaalpie"/>
        </w:rPr>
        <w:footnoteReference w:id="37"/>
      </w:r>
      <w:bookmarkEnd w:id="154"/>
    </w:p>
    <w:p w:rsidR="00265CB9" w:rsidRDefault="007C718D" w:rsidP="00975D84">
      <w:pPr>
        <w:widowControl w:val="0"/>
        <w:rPr>
          <w:rFonts w:eastAsia="Calibri" w:cs="Times New Roman"/>
        </w:rPr>
      </w:pPr>
      <w:r>
        <w:rPr>
          <w:rFonts w:eastAsia="Calibri" w:cs="Times New Roman"/>
        </w:rPr>
        <w:t>Para realizar una evaluación de impacto del Plan Vive Digital se recomienda</w:t>
      </w:r>
      <w:r w:rsidR="004307F1">
        <w:rPr>
          <w:rFonts w:eastAsia="Calibri" w:cs="Times New Roman"/>
        </w:rPr>
        <w:t xml:space="preserve"> tomar de manera independiente cada programa que lo integra. </w:t>
      </w:r>
      <w:r w:rsidR="00473A2B" w:rsidRPr="00473A2B">
        <w:rPr>
          <w:rFonts w:eastAsia="Calibri" w:cs="Times New Roman"/>
        </w:rPr>
        <w:t>La idea central de una evaluación de impacto es observar la diferencia en cualquier variable de resultado con la intervención evaluada o sin ella; evaluar si los cambios en el bienestar de los individuos y sus comunidades pueden ser atribuidos a la iniciativa</w:t>
      </w:r>
      <w:r w:rsidR="00473A2B">
        <w:rPr>
          <w:rFonts w:eastAsia="Calibri" w:cs="Times New Roman"/>
        </w:rPr>
        <w:t xml:space="preserve"> evaluada</w:t>
      </w:r>
      <w:r w:rsidR="00473A2B" w:rsidRPr="00473A2B">
        <w:rPr>
          <w:rFonts w:eastAsia="Calibri" w:cs="Times New Roman"/>
        </w:rPr>
        <w:t xml:space="preserve">. </w:t>
      </w:r>
    </w:p>
    <w:p w:rsidR="00AC5B37" w:rsidRDefault="00473A2B" w:rsidP="00975D84">
      <w:pPr>
        <w:widowControl w:val="0"/>
        <w:rPr>
          <w:rFonts w:eastAsia="Calibri" w:cs="Times New Roman"/>
        </w:rPr>
      </w:pPr>
      <w:r w:rsidRPr="00473A2B">
        <w:rPr>
          <w:rFonts w:eastAsia="Calibri" w:cs="Times New Roman"/>
        </w:rPr>
        <w:t xml:space="preserve">La pregunta central en este caso ¿qué habría pasado con los beneficiarios </w:t>
      </w:r>
      <w:r w:rsidR="00265CB9">
        <w:rPr>
          <w:rFonts w:eastAsia="Calibri" w:cs="Times New Roman"/>
        </w:rPr>
        <w:t>del Programa X del Plan Vive Digital</w:t>
      </w:r>
      <w:r w:rsidRPr="00473A2B">
        <w:rPr>
          <w:rFonts w:eastAsia="Calibri" w:cs="Times New Roman"/>
        </w:rPr>
        <w:t xml:space="preserve"> si no los hubiesen utilizado?; esta es una situación que se debe estimar pues es imposible observar al mismo tiempo a un individuo en los dos escenarios. La situación que no se observa se conoce comúnmente como el contrafactual y el reto de la evaluación de impacto está en estimar el mejor contrafactual posible: encontrar el grupo de comparación más parecido en todas las dimensiones, observables y no observables, a quienes se benefician de la iniciativa pero que a su vez, no han sido “contaminadas” por ella, y a partir de eso tener la mejor aproximación al contrafactual y comparar los resultados con y sin la intervención. </w:t>
      </w:r>
    </w:p>
    <w:p w:rsidR="00FF5559" w:rsidRDefault="00473A2B" w:rsidP="00975D84">
      <w:pPr>
        <w:widowControl w:val="0"/>
        <w:rPr>
          <w:rFonts w:eastAsia="Calibri" w:cs="Times New Roman"/>
        </w:rPr>
      </w:pPr>
      <w:r w:rsidRPr="00473A2B">
        <w:rPr>
          <w:rFonts w:eastAsia="Calibri" w:cs="Times New Roman"/>
        </w:rPr>
        <w:t xml:space="preserve">Esto se observa en la figura </w:t>
      </w:r>
      <w:r w:rsidR="00AC5B37">
        <w:rPr>
          <w:rFonts w:eastAsia="Calibri" w:cs="Times New Roman"/>
        </w:rPr>
        <w:t>6.4</w:t>
      </w:r>
      <w:r w:rsidRPr="00473A2B">
        <w:rPr>
          <w:rFonts w:eastAsia="Calibri" w:cs="Times New Roman"/>
        </w:rPr>
        <w:t>:</w:t>
      </w:r>
    </w:p>
    <w:p w:rsidR="00FF5559" w:rsidRPr="00953DA4" w:rsidRDefault="00FF5559" w:rsidP="00975D84">
      <w:pPr>
        <w:pStyle w:val="T-Figura"/>
        <w:spacing w:after="0"/>
      </w:pPr>
      <w:r w:rsidRPr="00953DA4">
        <w:lastRenderedPageBreak/>
        <w:t xml:space="preserve">Figura </w:t>
      </w:r>
      <w:r>
        <w:t>6.4</w:t>
      </w:r>
      <w:r w:rsidRPr="00953DA4">
        <w:t xml:space="preserve"> – Concepto de evaluación de impacto</w:t>
      </w:r>
    </w:p>
    <w:p w:rsidR="00FF5559" w:rsidRPr="00953DA4" w:rsidRDefault="00FF5559" w:rsidP="00975D84">
      <w:pPr>
        <w:jc w:val="center"/>
      </w:pPr>
      <w:r w:rsidRPr="00953DA4">
        <w:rPr>
          <w:noProof/>
          <w:lang w:val="es-CO" w:eastAsia="es-CO"/>
        </w:rPr>
        <w:drawing>
          <wp:inline distT="0" distB="0" distL="0" distR="0">
            <wp:extent cx="4389685" cy="1967023"/>
            <wp:effectExtent l="0" t="0" r="0" b="0"/>
            <wp:docPr id="2052" name="Imagen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5313" cy="1974026"/>
                    </a:xfrm>
                    <a:prstGeom prst="rect">
                      <a:avLst/>
                    </a:prstGeom>
                    <a:noFill/>
                    <a:ln>
                      <a:noFill/>
                    </a:ln>
                  </pic:spPr>
                </pic:pic>
              </a:graphicData>
            </a:graphic>
          </wp:inline>
        </w:drawing>
      </w:r>
    </w:p>
    <w:p w:rsidR="00FF5559" w:rsidRDefault="00FF5559" w:rsidP="00975D84">
      <w:pPr>
        <w:pStyle w:val="PiedeCuadro"/>
        <w:spacing w:before="240" w:line="276" w:lineRule="auto"/>
        <w:rPr>
          <w:rFonts w:eastAsia="Calibri"/>
        </w:rPr>
      </w:pPr>
      <w:r>
        <w:rPr>
          <w:rFonts w:eastAsia="Calibri"/>
        </w:rPr>
        <w:t>Fuente: Elaboración propia</w:t>
      </w:r>
    </w:p>
    <w:p w:rsidR="00975D84" w:rsidRPr="00953DA4" w:rsidRDefault="00975D84" w:rsidP="00975D84">
      <w:pPr>
        <w:rPr>
          <w:rFonts w:eastAsia="CenturyGothic" w:cs="Arial"/>
          <w:lang w:val="es-CO"/>
        </w:rPr>
      </w:pPr>
      <w:r w:rsidRPr="00953DA4">
        <w:t>Ahora bien, una</w:t>
      </w:r>
      <w:r w:rsidRPr="00953DA4">
        <w:rPr>
          <w:rFonts w:eastAsia="CenturyGothic" w:cs="Arial"/>
          <w:lang w:val="es-CO"/>
        </w:rPr>
        <w:t xml:space="preserve"> evaluación de impacto se considera tiene validez interna si se utiliza un grupo de comparación válido</w:t>
      </w:r>
      <w:sdt>
        <w:sdtPr>
          <w:rPr>
            <w:rFonts w:eastAsia="CenturyGothic" w:cs="Arial"/>
            <w:lang w:val="es-CO"/>
          </w:rPr>
          <w:id w:val="296816359"/>
          <w:citation/>
        </w:sdtPr>
        <w:sdtContent>
          <w:r w:rsidR="00C94AA3" w:rsidRPr="00953DA4">
            <w:rPr>
              <w:rFonts w:eastAsia="CenturyGothic" w:cs="Arial"/>
              <w:lang w:val="es-CO"/>
            </w:rPr>
            <w:fldChar w:fldCharType="begin"/>
          </w:r>
          <w:r w:rsidRPr="00953DA4">
            <w:rPr>
              <w:rFonts w:eastAsia="CenturyGothic" w:cs="Arial"/>
              <w:lang w:val="es-CO"/>
            </w:rPr>
            <w:instrText xml:space="preserve">CITATION MarcadorDePosición1 \l 9226 </w:instrText>
          </w:r>
          <w:r w:rsidR="00C94AA3" w:rsidRPr="00953DA4">
            <w:rPr>
              <w:rFonts w:eastAsia="CenturyGothic" w:cs="Arial"/>
              <w:lang w:val="es-CO"/>
            </w:rPr>
            <w:fldChar w:fldCharType="separate"/>
          </w:r>
          <w:r w:rsidRPr="00953DA4">
            <w:rPr>
              <w:rFonts w:eastAsia="CenturyGothic" w:cs="Arial"/>
              <w:noProof/>
              <w:lang w:val="es-CO"/>
            </w:rPr>
            <w:t xml:space="preserve"> (Gertler, Martinez, Premand, Rawlings, &amp; C., 2011)</w:t>
          </w:r>
          <w:r w:rsidR="00C94AA3" w:rsidRPr="00953DA4">
            <w:rPr>
              <w:rFonts w:eastAsia="CenturyGothic" w:cs="Arial"/>
              <w:lang w:val="es-CO"/>
            </w:rPr>
            <w:fldChar w:fldCharType="end"/>
          </w:r>
        </w:sdtContent>
      </w:sdt>
      <w:r w:rsidRPr="00953DA4">
        <w:rPr>
          <w:rFonts w:eastAsia="CenturyGothic" w:cs="Arial"/>
          <w:lang w:val="es-CO"/>
        </w:rPr>
        <w:t xml:space="preserve">. El método experimental es el más riguroso al tener una mayor validez interna, mientras que los métodos cuasi-experimentales son menos rigurosos al tener una validez interna menor. Una menor validez interna implica una mayor probabilidad de tener sesgos en las estimaciones de impacto. </w:t>
      </w:r>
    </w:p>
    <w:p w:rsidR="00975D84" w:rsidRPr="00953DA4" w:rsidRDefault="00975D84" w:rsidP="00975D84">
      <w:r w:rsidRPr="00953DA4">
        <w:t xml:space="preserve">El método experimental se presenta cuando la intervención es asignada aleatoriamente. La asignación aleatoria crea un grupo de tratamiento y un grupo de control que son idénticos desde un punto de vista estadístico, de ahí que la situación que se observe para el grupo de control es la aproximación ideal al contrafactual. </w:t>
      </w:r>
    </w:p>
    <w:p w:rsidR="00975D84" w:rsidRPr="00953DA4" w:rsidRDefault="00975D84" w:rsidP="00975D84">
      <w:r w:rsidRPr="00953DA4">
        <w:t>Entre los métodos cuasi-experimentales se encuentran los métodos de regresión y emparejamiento, que intentan reproducir, controlando por variables observables, una situación parecida a la de la asignación aleatoria del programa. Estas técnicas suponen que, condicional a las variables observables, la participación en el programa es aleatoria. Si hay variables no observables que afectan la participación en el programa y también los resultados de interés, los métodos de pareo y de regresión no son válidos. En esta situación, la disponibilidad de información antes del inicio del programa puede ser útil, puesto que si las variables no observables son constantes en el tiempo, se puede combinar con el método de diferencias en diferencias.</w:t>
      </w:r>
    </w:p>
    <w:p w:rsidR="00975D84" w:rsidRPr="00953DA4" w:rsidRDefault="00975D84" w:rsidP="00975D84">
      <w:r w:rsidRPr="00953DA4">
        <w:t xml:space="preserve">De otra parte, la técnica de variables instrumentales se utiliza cuando se reconoce que hay variables no observables que probablemente afectan tanto la participación como los resultados de interés, y lo que busca es modelar el proceso de participación. El método de regresión discontinua, por su parte, explota la discontinuidad que puede existir </w:t>
      </w:r>
      <w:r w:rsidRPr="00953DA4">
        <w:lastRenderedPageBreak/>
        <w:t xml:space="preserve">alrededor de un punto de corte cuando se tiene un instrumento de focalización continuo que determina, a cada lado del punto de corte, quienes participan y quienes no en la intervención. El grupo cercano al punto de corte que no participa en la intervención es el contrafactual ideal para el grupo cercano al punto de corte que sí participa. </w:t>
      </w:r>
    </w:p>
    <w:p w:rsidR="00975D84" w:rsidRPr="00953DA4" w:rsidRDefault="00975D84" w:rsidP="00975D84">
      <w:r w:rsidRPr="00953DA4">
        <w:t>Los anteriores métodos de comparación entre grupos de individuos pueden complementarse con la técnica de estimación de duración de la exposición al tratamiento que permite calcular los efectos de la intervención, no solo por ser o no beneficiario de ella, sino por el tiempo que los individuos del grupo tratamiento han sido expuestos a la intervención. Esta técnica es útil cuando sólo se tienen disponibles datos de los beneficiarios de la intervención o cuando no sólo importa participar o ser beneficiario de la intervención sino también cuanto tiempo se ha participado (intensidad de tratamiento).</w:t>
      </w:r>
    </w:p>
    <w:p w:rsidR="00975D84" w:rsidRPr="00953DA4" w:rsidRDefault="00975D84" w:rsidP="00975D84">
      <w:r w:rsidRPr="00953DA4">
        <w:t xml:space="preserve">El Cuadro </w:t>
      </w:r>
      <w:r w:rsidR="00CD0340">
        <w:t>6.1</w:t>
      </w:r>
      <w:r w:rsidRPr="00953DA4">
        <w:t xml:space="preserve"> recoge estos diferentes métodos que se han desarrollado para encontrar el contrafactual. </w:t>
      </w:r>
    </w:p>
    <w:p w:rsidR="00975D84" w:rsidRPr="00953DA4" w:rsidRDefault="00975D84" w:rsidP="00975D84">
      <w:pPr>
        <w:pStyle w:val="T-Figura"/>
      </w:pPr>
      <w:bookmarkStart w:id="155" w:name="_Toc359228624"/>
      <w:bookmarkStart w:id="156" w:name="_Toc361415473"/>
      <w:bookmarkStart w:id="157" w:name="_Toc372543291"/>
      <w:bookmarkStart w:id="158" w:name="_Toc372543395"/>
      <w:bookmarkStart w:id="159" w:name="_Toc380144232"/>
      <w:bookmarkStart w:id="160" w:name="_Toc381885132"/>
      <w:bookmarkStart w:id="161" w:name="_Toc382310344"/>
      <w:bookmarkStart w:id="162" w:name="_Toc382463122"/>
      <w:bookmarkStart w:id="163" w:name="_Toc382472185"/>
      <w:bookmarkStart w:id="164" w:name="_Toc402903323"/>
      <w:r w:rsidRPr="00953DA4">
        <w:t xml:space="preserve">Cuadro </w:t>
      </w:r>
      <w:r w:rsidR="00CD0340">
        <w:t>6.1</w:t>
      </w:r>
      <w:r w:rsidRPr="00953DA4">
        <w:t xml:space="preserve"> – Métodos de Evaluación de Impacto</w:t>
      </w:r>
      <w:bookmarkEnd w:id="155"/>
      <w:bookmarkEnd w:id="156"/>
      <w:bookmarkEnd w:id="157"/>
      <w:bookmarkEnd w:id="158"/>
      <w:bookmarkEnd w:id="159"/>
      <w:bookmarkEnd w:id="160"/>
      <w:bookmarkEnd w:id="161"/>
      <w:bookmarkEnd w:id="162"/>
      <w:bookmarkEnd w:id="163"/>
      <w:bookmarkEnd w:id="164"/>
    </w:p>
    <w:tbl>
      <w:tblPr>
        <w:tblW w:w="0" w:type="auto"/>
        <w:tblInd w:w="-108" w:type="dxa"/>
        <w:tblBorders>
          <w:bottom w:val="single" w:sz="8" w:space="0" w:color="BFBFBF" w:themeColor="background1" w:themeShade="BF"/>
          <w:insideH w:val="single" w:sz="8" w:space="0" w:color="BFBFBF" w:themeColor="background1" w:themeShade="BF"/>
        </w:tblBorders>
        <w:shd w:val="clear" w:color="auto" w:fill="FFFFFF"/>
        <w:tblCellMar>
          <w:left w:w="0" w:type="dxa"/>
          <w:right w:w="0" w:type="dxa"/>
        </w:tblCellMar>
        <w:tblLook w:val="04A0"/>
      </w:tblPr>
      <w:tblGrid>
        <w:gridCol w:w="1919"/>
        <w:gridCol w:w="2607"/>
        <w:gridCol w:w="4354"/>
      </w:tblGrid>
      <w:tr w:rsidR="00975D84" w:rsidRPr="00953DA4" w:rsidTr="007C69F6">
        <w:trPr>
          <w:trHeight w:val="397"/>
          <w:tblHeader/>
        </w:trPr>
        <w:tc>
          <w:tcPr>
            <w:tcW w:w="1919" w:type="dxa"/>
            <w:shd w:val="clear" w:color="auto" w:fill="BFBFBF" w:themeFill="background1" w:themeFillShade="BF"/>
            <w:vAlign w:val="center"/>
          </w:tcPr>
          <w:p w:rsidR="00975D84" w:rsidRPr="00CD0340" w:rsidRDefault="00975D84" w:rsidP="007C69F6">
            <w:pPr>
              <w:pStyle w:val="TextCuadro"/>
              <w:jc w:val="center"/>
              <w:rPr>
                <w:b/>
              </w:rPr>
            </w:pPr>
            <w:r w:rsidRPr="00CD0340">
              <w:rPr>
                <w:b/>
              </w:rPr>
              <w:t>TIPO DE MÉTODO</w:t>
            </w:r>
          </w:p>
        </w:tc>
        <w:tc>
          <w:tcPr>
            <w:tcW w:w="2607" w:type="dxa"/>
            <w:shd w:val="clear" w:color="auto" w:fill="BFBFBF" w:themeFill="background1" w:themeFillShade="BF"/>
            <w:tcMar>
              <w:top w:w="0" w:type="dxa"/>
              <w:left w:w="108" w:type="dxa"/>
              <w:bottom w:w="0" w:type="dxa"/>
              <w:right w:w="108" w:type="dxa"/>
            </w:tcMar>
            <w:vAlign w:val="center"/>
            <w:hideMark/>
          </w:tcPr>
          <w:p w:rsidR="00975D84" w:rsidRPr="00953DA4" w:rsidRDefault="00975D84" w:rsidP="007C69F6">
            <w:pPr>
              <w:pStyle w:val="TextCuadro"/>
              <w:jc w:val="center"/>
              <w:rPr>
                <w:b/>
              </w:rPr>
            </w:pPr>
            <w:r w:rsidRPr="00953DA4">
              <w:rPr>
                <w:b/>
              </w:rPr>
              <w:t>MÉTODOS</w:t>
            </w:r>
          </w:p>
        </w:tc>
        <w:tc>
          <w:tcPr>
            <w:tcW w:w="4354" w:type="dxa"/>
            <w:shd w:val="clear" w:color="auto" w:fill="BFBFBF" w:themeFill="background1" w:themeFillShade="BF"/>
            <w:tcMar>
              <w:top w:w="0" w:type="dxa"/>
              <w:left w:w="108" w:type="dxa"/>
              <w:bottom w:w="0" w:type="dxa"/>
              <w:right w:w="108" w:type="dxa"/>
            </w:tcMar>
            <w:vAlign w:val="center"/>
            <w:hideMark/>
          </w:tcPr>
          <w:p w:rsidR="00975D84" w:rsidRPr="00953DA4" w:rsidRDefault="00975D84" w:rsidP="007C69F6">
            <w:pPr>
              <w:pStyle w:val="TextCuadro"/>
              <w:jc w:val="center"/>
              <w:rPr>
                <w:b/>
              </w:rPr>
            </w:pPr>
            <w:r w:rsidRPr="00953DA4">
              <w:rPr>
                <w:b/>
              </w:rPr>
              <w:t>DESCRIPCIÓN</w:t>
            </w:r>
          </w:p>
        </w:tc>
      </w:tr>
      <w:tr w:rsidR="00975D84" w:rsidRPr="00953DA4" w:rsidTr="007C69F6">
        <w:tc>
          <w:tcPr>
            <w:tcW w:w="1919" w:type="dxa"/>
            <w:shd w:val="clear" w:color="auto" w:fill="FFFFFF"/>
            <w:vAlign w:val="center"/>
          </w:tcPr>
          <w:p w:rsidR="00975D84" w:rsidRPr="00CD0340" w:rsidRDefault="00975D84" w:rsidP="007C69F6">
            <w:pPr>
              <w:pStyle w:val="TextCuadro"/>
              <w:jc w:val="left"/>
              <w:rPr>
                <w:b/>
              </w:rPr>
            </w:pPr>
            <w:r w:rsidRPr="00CD0340">
              <w:rPr>
                <w:b/>
              </w:rPr>
              <w:t>Experimental</w:t>
            </w:r>
          </w:p>
        </w:tc>
        <w:tc>
          <w:tcPr>
            <w:tcW w:w="2607"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 xml:space="preserve">Selección Aleatoria </w:t>
            </w:r>
          </w:p>
        </w:tc>
        <w:tc>
          <w:tcPr>
            <w:tcW w:w="4354"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Se selecciona aleatoriamente quién participa y quien no participa en la intervención.</w:t>
            </w:r>
          </w:p>
        </w:tc>
      </w:tr>
      <w:tr w:rsidR="00975D84" w:rsidRPr="00953DA4" w:rsidTr="00A25BE1">
        <w:trPr>
          <w:trHeight w:val="1191"/>
        </w:trPr>
        <w:tc>
          <w:tcPr>
            <w:tcW w:w="1919" w:type="dxa"/>
            <w:vMerge w:val="restart"/>
            <w:shd w:val="clear" w:color="auto" w:fill="FFFFFF"/>
            <w:vAlign w:val="center"/>
          </w:tcPr>
          <w:p w:rsidR="00975D84" w:rsidRPr="00CD0340" w:rsidRDefault="00975D84" w:rsidP="007C69F6">
            <w:pPr>
              <w:pStyle w:val="TextCuadro"/>
              <w:jc w:val="left"/>
              <w:rPr>
                <w:b/>
              </w:rPr>
            </w:pPr>
            <w:r w:rsidRPr="00CD0340">
              <w:rPr>
                <w:b/>
              </w:rPr>
              <w:t>No experimental</w:t>
            </w:r>
          </w:p>
        </w:tc>
        <w:tc>
          <w:tcPr>
            <w:tcW w:w="2607"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Regresión Discontinua</w:t>
            </w:r>
          </w:p>
        </w:tc>
        <w:tc>
          <w:tcPr>
            <w:tcW w:w="4354"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La aplicación de un punto de corte para determinar elegibilidad a un programa, cuando existe un puntaje continuo, permite comparar los individuos de un lado y del otro, justo alrededor del punto de corte.</w:t>
            </w:r>
          </w:p>
        </w:tc>
      </w:tr>
      <w:tr w:rsidR="00975D84" w:rsidRPr="00953DA4" w:rsidTr="00A25BE1">
        <w:trPr>
          <w:trHeight w:val="1587"/>
        </w:trPr>
        <w:tc>
          <w:tcPr>
            <w:tcW w:w="1919" w:type="dxa"/>
            <w:vMerge/>
            <w:shd w:val="clear" w:color="auto" w:fill="FFFFFF"/>
          </w:tcPr>
          <w:p w:rsidR="00975D84" w:rsidRPr="00CD0340" w:rsidRDefault="00975D84" w:rsidP="007C69F6">
            <w:pPr>
              <w:pStyle w:val="TextCuadro"/>
              <w:jc w:val="left"/>
              <w:rPr>
                <w:b/>
              </w:rPr>
            </w:pPr>
          </w:p>
        </w:tc>
        <w:tc>
          <w:tcPr>
            <w:tcW w:w="2607"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Variables Instrumentales</w:t>
            </w:r>
          </w:p>
        </w:tc>
        <w:tc>
          <w:tcPr>
            <w:tcW w:w="4354"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Los determinantes (no observables) de la participación o no en la intervención se reflejan en el modelo de evaluación utilizando una variable “instrumento” que afecta directamente en la participación en la intervención y no afecta el resultado.</w:t>
            </w:r>
          </w:p>
        </w:tc>
      </w:tr>
      <w:tr w:rsidR="00975D84" w:rsidRPr="00953DA4" w:rsidTr="00A25BE1">
        <w:trPr>
          <w:trHeight w:val="1531"/>
        </w:trPr>
        <w:tc>
          <w:tcPr>
            <w:tcW w:w="1919" w:type="dxa"/>
            <w:vMerge/>
            <w:shd w:val="clear" w:color="auto" w:fill="FFFFFF"/>
          </w:tcPr>
          <w:p w:rsidR="00975D84" w:rsidRPr="00CD0340" w:rsidRDefault="00975D84" w:rsidP="007C69F6">
            <w:pPr>
              <w:pStyle w:val="TextCuadro"/>
              <w:jc w:val="left"/>
              <w:rPr>
                <w:b/>
              </w:rPr>
            </w:pPr>
          </w:p>
        </w:tc>
        <w:tc>
          <w:tcPr>
            <w:tcW w:w="2607"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Emparejamiento</w:t>
            </w:r>
          </w:p>
        </w:tc>
        <w:tc>
          <w:tcPr>
            <w:tcW w:w="4354"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 xml:space="preserve">Empareja individuos tratados con no tratados con base en la probabilidad de participación en la intervención, para ello se estima esa probabilidad en función de variables observables de los individuos anteriores a la intervención. </w:t>
            </w:r>
          </w:p>
        </w:tc>
      </w:tr>
      <w:tr w:rsidR="00975D84" w:rsidRPr="00953DA4" w:rsidTr="00A25BE1">
        <w:trPr>
          <w:trHeight w:val="1814"/>
        </w:trPr>
        <w:tc>
          <w:tcPr>
            <w:tcW w:w="1919" w:type="dxa"/>
            <w:vMerge/>
            <w:shd w:val="clear" w:color="auto" w:fill="FFFFFF"/>
          </w:tcPr>
          <w:p w:rsidR="00975D84" w:rsidRPr="00CD0340" w:rsidRDefault="00975D84" w:rsidP="007C69F6">
            <w:pPr>
              <w:pStyle w:val="TextCuadro"/>
              <w:jc w:val="left"/>
              <w:rPr>
                <w:b/>
              </w:rPr>
            </w:pPr>
          </w:p>
        </w:tc>
        <w:tc>
          <w:tcPr>
            <w:tcW w:w="2607"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Diferencias en Diferencias</w:t>
            </w:r>
          </w:p>
        </w:tc>
        <w:tc>
          <w:tcPr>
            <w:tcW w:w="4354"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Compara las variables relevantes de los dos grupos (control y tratamiento) en dos momentos distintos del tiempo (antes y después de la intervención). Esto permite controlar por características no observables que influyen en la participación en el Programa. Se puede combinar con otros métodos.</w:t>
            </w:r>
          </w:p>
        </w:tc>
      </w:tr>
      <w:tr w:rsidR="00975D84" w:rsidRPr="00953DA4" w:rsidTr="00A25BE1">
        <w:trPr>
          <w:trHeight w:val="2381"/>
        </w:trPr>
        <w:tc>
          <w:tcPr>
            <w:tcW w:w="1919" w:type="dxa"/>
            <w:vMerge/>
            <w:shd w:val="clear" w:color="auto" w:fill="FFFFFF"/>
          </w:tcPr>
          <w:p w:rsidR="00975D84" w:rsidRPr="00CD0340" w:rsidRDefault="00975D84" w:rsidP="007C69F6">
            <w:pPr>
              <w:pStyle w:val="TextCuadro"/>
              <w:jc w:val="left"/>
              <w:rPr>
                <w:b/>
              </w:rPr>
            </w:pPr>
          </w:p>
        </w:tc>
        <w:tc>
          <w:tcPr>
            <w:tcW w:w="2607"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Duración de la exposición al tratamiento</w:t>
            </w:r>
          </w:p>
        </w:tc>
        <w:tc>
          <w:tcPr>
            <w:tcW w:w="4354" w:type="dxa"/>
            <w:shd w:val="clear" w:color="auto" w:fill="FFFFFF"/>
            <w:tcMar>
              <w:top w:w="0" w:type="dxa"/>
              <w:left w:w="108" w:type="dxa"/>
              <w:bottom w:w="0" w:type="dxa"/>
              <w:right w:w="108" w:type="dxa"/>
            </w:tcMar>
            <w:vAlign w:val="center"/>
            <w:hideMark/>
          </w:tcPr>
          <w:p w:rsidR="00975D84" w:rsidRPr="00953DA4" w:rsidRDefault="00975D84" w:rsidP="007C69F6">
            <w:pPr>
              <w:pStyle w:val="TextCuadro"/>
              <w:jc w:val="left"/>
            </w:pPr>
            <w:r w:rsidRPr="00953DA4">
              <w:t xml:space="preserve">Diferencias en la duración de la exposición al tratamiento para calcular los efectos de la intervención. Se puede combinar con otros métodos para hacer comparaciones, no sólo entre individuos tratamiento con diferencia en tiempos de exposición, sino también entre grupo de control y subgrupos de tratamiento con diferencia en la intensidad a la exposición de la intervención.   </w:t>
            </w:r>
          </w:p>
        </w:tc>
      </w:tr>
    </w:tbl>
    <w:p w:rsidR="00975D84" w:rsidRPr="00953DA4" w:rsidRDefault="00975D84" w:rsidP="00975D84">
      <w:pPr>
        <w:pStyle w:val="PiedeCuadro"/>
        <w:rPr>
          <w:noProof/>
          <w:lang w:val="es-CO"/>
        </w:rPr>
      </w:pPr>
      <w:r w:rsidRPr="00953DA4">
        <w:t>Fuente: Adaptación UT Econometría – SEI S.A., basado en</w:t>
      </w:r>
      <w:r w:rsidRPr="00953DA4">
        <w:rPr>
          <w:noProof/>
          <w:lang w:val="es-CO"/>
        </w:rPr>
        <w:t xml:space="preserve">Gertler, Martínez, Premand, &amp; Vermeersch (2011) y Bernal &amp; Peña (2011). </w:t>
      </w:r>
    </w:p>
    <w:p w:rsidR="007C718D" w:rsidRDefault="00975D84" w:rsidP="00A25BE1">
      <w:pPr>
        <w:rPr>
          <w:rFonts w:eastAsia="Calibri" w:cs="Times New Roman"/>
        </w:rPr>
      </w:pPr>
      <w:r w:rsidRPr="00953DA4">
        <w:t xml:space="preserve">Las reglas de operación de la intervención deben ser una guía para la escogencia del mejor método de evaluación de impacto que se acomoda a la intervención </w:t>
      </w:r>
      <w:sdt>
        <w:sdtPr>
          <w:id w:val="67397254"/>
          <w:citation/>
        </w:sdtPr>
        <w:sdtContent>
          <w:r w:rsidR="00C94AA3" w:rsidRPr="00953DA4">
            <w:fldChar w:fldCharType="begin"/>
          </w:r>
          <w:r w:rsidRPr="00953DA4">
            <w:rPr>
              <w:lang w:val="es-CO"/>
            </w:rPr>
            <w:instrText xml:space="preserve">CITATION MarcadorDePosición3 \l 9226 </w:instrText>
          </w:r>
          <w:r w:rsidR="00C94AA3" w:rsidRPr="00953DA4">
            <w:fldChar w:fldCharType="separate"/>
          </w:r>
          <w:r w:rsidRPr="00953DA4">
            <w:rPr>
              <w:noProof/>
              <w:lang w:val="es-CO"/>
            </w:rPr>
            <w:t>(Gertler, Martínez, Rawlings, &amp; Vermmeersch, 2011)</w:t>
          </w:r>
          <w:r w:rsidR="00C94AA3" w:rsidRPr="00953DA4">
            <w:fldChar w:fldCharType="end"/>
          </w:r>
        </w:sdtContent>
      </w:sdt>
      <w:r w:rsidRPr="00953DA4">
        <w:t xml:space="preserve">. Las reglas de operación más relevantes para el diseño de la evaluación de impacto son aquellas que identifican quienes son elegibles y cómo son seleccionados para su participación. Los grupos de comparación se encuentran usualmente entre la población no elegible o aquellos elegibles pero que aún no participan. </w:t>
      </w:r>
    </w:p>
    <w:p w:rsidR="00AE3BA4" w:rsidRPr="009745F3" w:rsidRDefault="00996111" w:rsidP="00A25BE1">
      <w:pPr>
        <w:pStyle w:val="Ttulo2"/>
        <w:spacing w:after="0"/>
      </w:pPr>
      <w:bookmarkStart w:id="165" w:name="_Toc405992320"/>
      <w:r>
        <w:t>Seguimiento</w:t>
      </w:r>
      <w:bookmarkEnd w:id="165"/>
    </w:p>
    <w:p w:rsidR="00AE3BA4" w:rsidRDefault="00DF5EAE" w:rsidP="00A25BE1">
      <w:pPr>
        <w:rPr>
          <w:rFonts w:eastAsia="Calibri" w:cs="Times New Roman"/>
        </w:rPr>
      </w:pPr>
      <w:r>
        <w:rPr>
          <w:rFonts w:eastAsia="Calibri" w:cs="Times New Roman"/>
        </w:rPr>
        <w:t xml:space="preserve">Los indicadores asociados al Plan son adecuados para realizar el seguimiento periódico de cada proyecto. </w:t>
      </w:r>
      <w:r w:rsidR="00996111">
        <w:rPr>
          <w:rFonts w:eastAsia="Calibri" w:cs="Times New Roman"/>
        </w:rPr>
        <w:t>E</w:t>
      </w:r>
      <w:r w:rsidR="00AE3BA4">
        <w:rPr>
          <w:rFonts w:eastAsia="Calibri" w:cs="Times New Roman"/>
        </w:rPr>
        <w:t xml:space="preserve">s necesario continuar con el sistema actual; sin embargo, se recomienda dar prioridad a un indicador representativo de cada dimensión del Ecosistema Digital que refleje en cada periodo las prioridades de política y </w:t>
      </w:r>
      <w:r w:rsidR="001653BF">
        <w:rPr>
          <w:rFonts w:eastAsia="Calibri" w:cs="Times New Roman"/>
        </w:rPr>
        <w:t>aplicación de recursos públicos,</w:t>
      </w:r>
      <w:r w:rsidR="00AE3BA4">
        <w:rPr>
          <w:rFonts w:eastAsia="Calibri" w:cs="Times New Roman"/>
        </w:rPr>
        <w:t xml:space="preserve"> y no un conjunto de indicadores relativamente correlacionados entre sí, como se viene haciendo en algunos casos, ya que las correlaciones entre ellos pueden distorsionar los verdaderos impactos sobre las poblaciones estudiadas</w:t>
      </w:r>
      <w:r w:rsidR="001653BF">
        <w:rPr>
          <w:rFonts w:eastAsia="Calibri" w:cs="Times New Roman"/>
        </w:rPr>
        <w:t>.</w:t>
      </w:r>
    </w:p>
    <w:p w:rsidR="004A29D2" w:rsidRDefault="004A29D2" w:rsidP="00AE3BA4">
      <w:pPr>
        <w:spacing w:before="120" w:after="120"/>
        <w:rPr>
          <w:rFonts w:eastAsia="Calibri" w:cs="Times New Roman"/>
        </w:rPr>
      </w:pPr>
    </w:p>
    <w:p w:rsidR="00F5042C" w:rsidRDefault="00C23C8E" w:rsidP="00F5042C">
      <w:pPr>
        <w:spacing w:before="0" w:after="120"/>
        <w:rPr>
          <w:rFonts w:eastAsia="Calibri" w:cs="Times New Roman"/>
        </w:rPr>
      </w:pPr>
      <w:r>
        <w:rPr>
          <w:rFonts w:eastAsia="Calibri" w:cs="Times New Roman"/>
        </w:rPr>
        <w:br w:type="page"/>
      </w:r>
    </w:p>
    <w:p w:rsidR="0072213D" w:rsidRDefault="0072213D" w:rsidP="00B90989">
      <w:pPr>
        <w:pStyle w:val="Ttulo1"/>
        <w:numPr>
          <w:ilvl w:val="0"/>
          <w:numId w:val="0"/>
        </w:numPr>
        <w:rPr>
          <w:rFonts w:eastAsia="Times New Roman"/>
          <w:lang w:eastAsia="es-ES"/>
        </w:rPr>
      </w:pPr>
    </w:p>
    <w:p w:rsidR="00B90989" w:rsidRPr="00B90989" w:rsidRDefault="00B90989" w:rsidP="00B90989">
      <w:pPr>
        <w:pStyle w:val="Ttulo1"/>
        <w:rPr>
          <w:lang w:eastAsia="es-ES"/>
        </w:rPr>
      </w:pPr>
      <w:bookmarkStart w:id="166" w:name="_Toc405992321"/>
      <w:bookmarkEnd w:id="166"/>
    </w:p>
    <w:p w:rsidR="007700A9" w:rsidRPr="007700A9" w:rsidRDefault="007700A9" w:rsidP="004777CC">
      <w:pPr>
        <w:pStyle w:val="Titulocaptulo-Econometra"/>
        <w:rPr>
          <w:rFonts w:eastAsia="Times New Roman"/>
          <w:lang w:eastAsia="es-ES"/>
        </w:rPr>
      </w:pPr>
      <w:bookmarkStart w:id="167" w:name="_Toc405992322"/>
      <w:r w:rsidRPr="007700A9">
        <w:rPr>
          <w:rFonts w:eastAsia="Times New Roman"/>
          <w:lang w:eastAsia="es-ES"/>
        </w:rPr>
        <w:t>Conclusiones y recomendaciones</w:t>
      </w:r>
      <w:r w:rsidR="00E41E77">
        <w:rPr>
          <w:rFonts w:eastAsia="Times New Roman"/>
          <w:lang w:eastAsia="es-ES"/>
        </w:rPr>
        <w:t xml:space="preserve"> a nivel nacional</w:t>
      </w:r>
      <w:bookmarkEnd w:id="167"/>
    </w:p>
    <w:p w:rsidR="007700A9" w:rsidRPr="00E60777" w:rsidRDefault="00E60777" w:rsidP="007700A9">
      <w:pPr>
        <w:spacing w:before="120" w:after="120"/>
        <w:rPr>
          <w:rFonts w:eastAsia="Calibri" w:cs="Times New Roman"/>
        </w:rPr>
      </w:pPr>
      <w:r w:rsidRPr="00E60777">
        <w:rPr>
          <w:rFonts w:eastAsia="Calibri" w:cs="Times New Roman"/>
        </w:rPr>
        <w:t xml:space="preserve">Este </w:t>
      </w:r>
      <w:r>
        <w:rPr>
          <w:rFonts w:eastAsia="Calibri" w:cs="Times New Roman"/>
        </w:rPr>
        <w:t xml:space="preserve">capítulo cierra el documento con una serie de conclusiones y recomendaciones </w:t>
      </w:r>
      <w:r w:rsidR="00E41E77">
        <w:rPr>
          <w:rFonts w:eastAsia="Calibri" w:cs="Times New Roman"/>
        </w:rPr>
        <w:t xml:space="preserve"> a nivel nacional </w:t>
      </w:r>
      <w:r>
        <w:rPr>
          <w:rFonts w:eastAsia="Calibri" w:cs="Times New Roman"/>
        </w:rPr>
        <w:t>que se presentan a continuación.</w:t>
      </w:r>
    </w:p>
    <w:p w:rsidR="008523DB" w:rsidRPr="008523DB" w:rsidRDefault="008523DB" w:rsidP="0020708C">
      <w:pPr>
        <w:pStyle w:val="Prrafodelista"/>
        <w:keepNext/>
        <w:keepLines/>
        <w:numPr>
          <w:ilvl w:val="0"/>
          <w:numId w:val="35"/>
        </w:numPr>
        <w:tabs>
          <w:tab w:val="left" w:pos="0"/>
        </w:tabs>
        <w:spacing w:before="200" w:after="200" w:line="240" w:lineRule="auto"/>
        <w:contextualSpacing w:val="0"/>
        <w:jc w:val="left"/>
        <w:outlineLvl w:val="1"/>
        <w:rPr>
          <w:rFonts w:ascii="Century Gothic" w:hAnsi="Century Gothic"/>
          <w:bCs/>
          <w:smallCaps/>
          <w:vanish/>
          <w:color w:val="C00000"/>
          <w:sz w:val="30"/>
          <w:szCs w:val="30"/>
          <w:lang w:val="es-CO" w:eastAsia="es-ES"/>
        </w:rPr>
      </w:pPr>
      <w:bookmarkStart w:id="168" w:name="_Toc368057688"/>
      <w:bookmarkStart w:id="169" w:name="_Toc373251788"/>
      <w:bookmarkStart w:id="170" w:name="_Toc374781020"/>
      <w:bookmarkStart w:id="171" w:name="_Toc374781175"/>
      <w:bookmarkStart w:id="172" w:name="_Toc374822929"/>
      <w:bookmarkStart w:id="173" w:name="_Toc374828887"/>
      <w:bookmarkStart w:id="174" w:name="_Toc374847061"/>
      <w:bookmarkStart w:id="175" w:name="_Toc374973564"/>
      <w:bookmarkEnd w:id="168"/>
      <w:bookmarkEnd w:id="169"/>
      <w:bookmarkEnd w:id="170"/>
      <w:bookmarkEnd w:id="171"/>
      <w:bookmarkEnd w:id="172"/>
      <w:bookmarkEnd w:id="173"/>
      <w:bookmarkEnd w:id="174"/>
      <w:bookmarkEnd w:id="175"/>
    </w:p>
    <w:p w:rsidR="004777CC" w:rsidRPr="004777CC" w:rsidRDefault="004777CC" w:rsidP="0020708C">
      <w:pPr>
        <w:pStyle w:val="Prrafodelista"/>
        <w:keepNext/>
        <w:keepLines/>
        <w:numPr>
          <w:ilvl w:val="0"/>
          <w:numId w:val="35"/>
        </w:numPr>
        <w:tabs>
          <w:tab w:val="left" w:pos="0"/>
        </w:tabs>
        <w:spacing w:before="200" w:line="240" w:lineRule="auto"/>
        <w:contextualSpacing w:val="0"/>
        <w:outlineLvl w:val="1"/>
        <w:rPr>
          <w:rFonts w:ascii="Century Gothic" w:eastAsia="Times New Roman" w:hAnsi="Century Gothic" w:cs="Times New Roman"/>
          <w:bCs/>
          <w:smallCaps/>
          <w:vanish/>
          <w:color w:val="C00000"/>
          <w:sz w:val="30"/>
          <w:szCs w:val="30"/>
          <w:lang w:eastAsia="es-ES"/>
        </w:rPr>
      </w:pPr>
      <w:bookmarkStart w:id="176" w:name="_Toc374973565"/>
      <w:bookmarkEnd w:id="176"/>
    </w:p>
    <w:p w:rsidR="007700A9" w:rsidRPr="00AB5217" w:rsidRDefault="007700A9" w:rsidP="0020708C">
      <w:pPr>
        <w:pStyle w:val="Ttulo2"/>
        <w:numPr>
          <w:ilvl w:val="1"/>
          <w:numId w:val="35"/>
        </w:numPr>
        <w:ind w:left="709"/>
      </w:pPr>
      <w:bookmarkStart w:id="177" w:name="_Toc405992323"/>
      <w:r w:rsidRPr="00AB5217">
        <w:t>Conclusiones</w:t>
      </w:r>
      <w:bookmarkEnd w:id="177"/>
    </w:p>
    <w:p w:rsidR="007700A9" w:rsidRPr="007700A9" w:rsidRDefault="007700A9" w:rsidP="00AB5217">
      <w:pPr>
        <w:rPr>
          <w:rFonts w:eastAsia="Calibri" w:cs="Times New Roman"/>
        </w:rPr>
      </w:pPr>
      <w:r w:rsidRPr="007700A9">
        <w:rPr>
          <w:rFonts w:eastAsia="Calibri" w:cs="Times New Roman"/>
        </w:rPr>
        <w:t>En el Plan Vive Digital existe un diseño adecuado de ecosistema digital que considera todos los componentes de oferta y demanda, y de construcción escalonada con componentes de infraestructura, servicios de telecomunicaciones y aplicaciones y contenidos.</w:t>
      </w:r>
    </w:p>
    <w:p w:rsidR="007700A9" w:rsidRPr="007700A9" w:rsidRDefault="007700A9" w:rsidP="00AB5217">
      <w:pPr>
        <w:rPr>
          <w:rFonts w:eastAsia="Calibri" w:cs="Times New Roman"/>
        </w:rPr>
      </w:pPr>
      <w:r w:rsidRPr="007700A9">
        <w:rPr>
          <w:rFonts w:eastAsia="Calibri" w:cs="Times New Roman"/>
        </w:rPr>
        <w:t>El desarrollo del plan ha tenido avances significativos de alto impacto en términos de cubrimiento poblacional de los componentes de infraestructura que se han traducido así mismo en avances significativos de acceso a los servicios de telecomunicaciones.</w:t>
      </w:r>
    </w:p>
    <w:p w:rsidR="007700A9" w:rsidRPr="007700A9" w:rsidRDefault="007700A9" w:rsidP="00AB5217">
      <w:pPr>
        <w:rPr>
          <w:rFonts w:eastAsia="Calibri" w:cs="Times New Roman"/>
        </w:rPr>
      </w:pPr>
      <w:r w:rsidRPr="007700A9">
        <w:rPr>
          <w:rFonts w:eastAsia="Calibri" w:cs="Times New Roman"/>
        </w:rPr>
        <w:t>El ecosistema se soporta en el acceso a aplicaciones y contenidos globales, encontrando así mismo que se han desarrollado iniciativas que apuntan a la promoción de industria de aplicaciones y contenidos. Así mismo, considerando un escenario globalizado con aplicaciones que trascienden fronteras de amplio uso como son los buscadores, las redes sociales, los repositorios de contenido audiovisual, los servicios de correo electrónico entre otras tantas, se encuentra que hay una disponibilidad interesante de aplicaciones y contenidos genéricos, que estimulan la demanda.</w:t>
      </w:r>
    </w:p>
    <w:p w:rsidR="007700A9" w:rsidRPr="007700A9" w:rsidRDefault="007700A9" w:rsidP="00AB5217">
      <w:pPr>
        <w:rPr>
          <w:rFonts w:eastAsia="Calibri" w:cs="Times New Roman"/>
        </w:rPr>
      </w:pPr>
      <w:r w:rsidRPr="007700A9">
        <w:rPr>
          <w:rFonts w:eastAsia="Calibri" w:cs="Times New Roman"/>
        </w:rPr>
        <w:t>Es de destacar el actual nivel de uso en Colombia de aplicaciones como el comercio electrónico y la banca móvil lo cual evidencia el uso que se empieza a dar a aplicaciones que generan transacciones y movimientos en la economía a través de la Internet. Conforme a la CCE (2013), una importante audiencia de internautas colombianos accede a sitios de comercio electrónico</w:t>
      </w:r>
      <w:r w:rsidR="00AB5217">
        <w:rPr>
          <w:rFonts w:eastAsia="Calibri" w:cs="Times New Roman"/>
        </w:rPr>
        <w:t>,</w:t>
      </w:r>
      <w:r w:rsidRPr="007700A9">
        <w:rPr>
          <w:rFonts w:eastAsia="Calibri" w:cs="Times New Roman"/>
        </w:rPr>
        <w:t xml:space="preserve"> tanto nacionales como internacionales.</w:t>
      </w:r>
    </w:p>
    <w:p w:rsidR="007700A9" w:rsidRDefault="007700A9" w:rsidP="00AB5217">
      <w:pPr>
        <w:rPr>
          <w:rFonts w:eastAsia="Calibri" w:cs="Times New Roman"/>
        </w:rPr>
      </w:pPr>
    </w:p>
    <w:p w:rsidR="00AB5217" w:rsidRDefault="00AB5217" w:rsidP="00AB5217">
      <w:pPr>
        <w:rPr>
          <w:rFonts w:eastAsia="Calibri" w:cs="Times New Roman"/>
        </w:rPr>
      </w:pPr>
    </w:p>
    <w:p w:rsidR="007700A9" w:rsidRPr="007700A9" w:rsidRDefault="00484048" w:rsidP="00857BE8">
      <w:pPr>
        <w:pStyle w:val="T-Figura"/>
        <w:spacing w:before="120"/>
        <w:rPr>
          <w:rFonts w:eastAsia="Calibri"/>
        </w:rPr>
      </w:pPr>
      <w:r>
        <w:rPr>
          <w:rFonts w:eastAsia="Calibri"/>
        </w:rPr>
        <w:lastRenderedPageBreak/>
        <w:t xml:space="preserve">Cuadro </w:t>
      </w:r>
      <w:r w:rsidR="000270FF">
        <w:rPr>
          <w:rFonts w:eastAsia="Calibri"/>
        </w:rPr>
        <w:t>7</w:t>
      </w:r>
      <w:r w:rsidR="007700A9" w:rsidRPr="007700A9">
        <w:rPr>
          <w:rFonts w:eastAsia="Calibri"/>
        </w:rPr>
        <w:t xml:space="preserve">.1 – Top 20 de sitios </w:t>
      </w:r>
      <w:proofErr w:type="spellStart"/>
      <w:r w:rsidR="007700A9" w:rsidRPr="00AB5217">
        <w:rPr>
          <w:rFonts w:eastAsia="Calibri"/>
          <w:i/>
        </w:rPr>
        <w:t>retail</w:t>
      </w:r>
      <w:proofErr w:type="spellEnd"/>
      <w:r w:rsidR="007700A9" w:rsidRPr="007700A9">
        <w:rPr>
          <w:rFonts w:eastAsia="Calibri"/>
        </w:rPr>
        <w:t xml:space="preserve"> visitados por audiencia colombiana en Internet en agosto de 2013  </w:t>
      </w:r>
    </w:p>
    <w:p w:rsidR="007700A9" w:rsidRPr="007700A9" w:rsidRDefault="007700A9" w:rsidP="00857BE8">
      <w:pPr>
        <w:spacing w:before="120" w:after="120"/>
        <w:jc w:val="center"/>
        <w:rPr>
          <w:rFonts w:eastAsia="Calibri" w:cs="Times New Roman"/>
        </w:rPr>
      </w:pPr>
      <w:r>
        <w:rPr>
          <w:rFonts w:ascii="Calibri" w:eastAsia="Calibri" w:hAnsi="Calibri" w:cs="Times New Roman"/>
          <w:noProof/>
          <w:lang w:val="es-CO" w:eastAsia="es-CO"/>
        </w:rPr>
        <w:drawing>
          <wp:inline distT="0" distB="0" distL="0" distR="0">
            <wp:extent cx="2349796" cy="287704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1922" cy="2879652"/>
                    </a:xfrm>
                    <a:prstGeom prst="rect">
                      <a:avLst/>
                    </a:prstGeom>
                    <a:noFill/>
                    <a:ln>
                      <a:noFill/>
                    </a:ln>
                  </pic:spPr>
                </pic:pic>
              </a:graphicData>
            </a:graphic>
          </wp:inline>
        </w:drawing>
      </w:r>
    </w:p>
    <w:p w:rsidR="007700A9" w:rsidRPr="00AB5217" w:rsidRDefault="007700A9" w:rsidP="00C23C8E">
      <w:pPr>
        <w:spacing w:before="0" w:line="240" w:lineRule="auto"/>
        <w:jc w:val="center"/>
        <w:rPr>
          <w:rFonts w:ascii="Century Gothic" w:eastAsia="Calibri" w:hAnsi="Century Gothic" w:cs="Arial"/>
          <w:color w:val="404040" w:themeColor="text1" w:themeTint="BF"/>
          <w:sz w:val="18"/>
          <w:szCs w:val="18"/>
        </w:rPr>
      </w:pPr>
      <w:r w:rsidRPr="00AB5217">
        <w:rPr>
          <w:rFonts w:ascii="Century Gothic" w:eastAsia="Calibri" w:hAnsi="Century Gothic" w:cs="Arial"/>
          <w:color w:val="404040" w:themeColor="text1" w:themeTint="BF"/>
          <w:sz w:val="18"/>
          <w:szCs w:val="18"/>
        </w:rPr>
        <w:t>Fuente. CCE</w:t>
      </w:r>
      <w:r w:rsidRPr="00AB5217">
        <w:rPr>
          <w:rFonts w:ascii="Century Gothic" w:eastAsia="Calibri" w:hAnsi="Century Gothic" w:cs="Arial"/>
          <w:color w:val="404040" w:themeColor="text1" w:themeTint="BF"/>
          <w:sz w:val="18"/>
          <w:szCs w:val="18"/>
          <w:vertAlign w:val="superscript"/>
        </w:rPr>
        <w:footnoteReference w:id="38"/>
      </w:r>
    </w:p>
    <w:p w:rsidR="007700A9" w:rsidRDefault="007700A9" w:rsidP="00857BE8">
      <w:pPr>
        <w:spacing w:before="120"/>
        <w:rPr>
          <w:rFonts w:eastAsia="Calibri" w:cs="Times New Roman"/>
        </w:rPr>
      </w:pPr>
      <w:r w:rsidRPr="007700A9">
        <w:rPr>
          <w:rFonts w:eastAsia="Calibri" w:cs="Times New Roman"/>
        </w:rPr>
        <w:t>Así mismo existe un uso importante de aplicaciones de banca electrónica en e</w:t>
      </w:r>
      <w:r w:rsidR="00C23C8E">
        <w:rPr>
          <w:rFonts w:eastAsia="Calibri" w:cs="Times New Roman"/>
        </w:rPr>
        <w:t>l país:</w:t>
      </w:r>
    </w:p>
    <w:p w:rsidR="007700A9" w:rsidRPr="007700A9" w:rsidRDefault="00484048" w:rsidP="00857BE8">
      <w:pPr>
        <w:pStyle w:val="T-Figura"/>
        <w:spacing w:before="120" w:after="0"/>
        <w:rPr>
          <w:rFonts w:eastAsia="Calibri"/>
        </w:rPr>
      </w:pPr>
      <w:r>
        <w:rPr>
          <w:rFonts w:eastAsia="Calibri"/>
        </w:rPr>
        <w:t xml:space="preserve">Cuadro </w:t>
      </w:r>
      <w:r w:rsidR="000270FF">
        <w:rPr>
          <w:rFonts w:eastAsia="Calibri"/>
        </w:rPr>
        <w:t>7</w:t>
      </w:r>
      <w:r>
        <w:rPr>
          <w:rFonts w:eastAsia="Calibri"/>
        </w:rPr>
        <w:t>.2</w:t>
      </w:r>
      <w:r w:rsidR="007700A9" w:rsidRPr="007700A9">
        <w:rPr>
          <w:rFonts w:eastAsia="Calibri"/>
        </w:rPr>
        <w:t xml:space="preserve"> – Top de sitios de banca electrónica visitados por audiencia colombiana en Internet en agosto de 2013  </w:t>
      </w:r>
    </w:p>
    <w:p w:rsidR="007700A9" w:rsidRPr="007700A9" w:rsidRDefault="007700A9" w:rsidP="00857BE8">
      <w:pPr>
        <w:spacing w:before="120" w:line="240" w:lineRule="auto"/>
        <w:jc w:val="center"/>
        <w:rPr>
          <w:rFonts w:eastAsia="Calibri" w:cs="Times New Roman"/>
        </w:rPr>
      </w:pPr>
      <w:r>
        <w:rPr>
          <w:rFonts w:ascii="Calibri" w:eastAsia="Calibri" w:hAnsi="Calibri" w:cs="Times New Roman"/>
          <w:noProof/>
          <w:lang w:val="es-CO" w:eastAsia="es-CO"/>
        </w:rPr>
        <w:drawing>
          <wp:inline distT="0" distB="0" distL="0" distR="0">
            <wp:extent cx="2541182" cy="2839763"/>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6688" cy="2845916"/>
                    </a:xfrm>
                    <a:prstGeom prst="rect">
                      <a:avLst/>
                    </a:prstGeom>
                    <a:noFill/>
                    <a:ln>
                      <a:noFill/>
                    </a:ln>
                  </pic:spPr>
                </pic:pic>
              </a:graphicData>
            </a:graphic>
          </wp:inline>
        </w:drawing>
      </w:r>
    </w:p>
    <w:p w:rsidR="007700A9" w:rsidRPr="00AB5217" w:rsidRDefault="007700A9" w:rsidP="00857BE8">
      <w:pPr>
        <w:spacing w:before="0"/>
        <w:jc w:val="center"/>
        <w:rPr>
          <w:rFonts w:ascii="Century Gothic" w:eastAsia="Calibri" w:hAnsi="Century Gothic" w:cs="Arial"/>
          <w:color w:val="404040" w:themeColor="text1" w:themeTint="BF"/>
          <w:sz w:val="18"/>
          <w:szCs w:val="18"/>
        </w:rPr>
      </w:pPr>
      <w:r w:rsidRPr="00AB5217">
        <w:rPr>
          <w:rFonts w:ascii="Century Gothic" w:eastAsia="Calibri" w:hAnsi="Century Gothic" w:cs="Arial"/>
          <w:color w:val="404040" w:themeColor="text1" w:themeTint="BF"/>
          <w:sz w:val="18"/>
          <w:szCs w:val="18"/>
        </w:rPr>
        <w:t>Fuente. CCE</w:t>
      </w:r>
      <w:r w:rsidRPr="00AB5217">
        <w:rPr>
          <w:rFonts w:ascii="Century Gothic" w:eastAsia="Calibri" w:hAnsi="Century Gothic" w:cs="Arial"/>
          <w:color w:val="404040" w:themeColor="text1" w:themeTint="BF"/>
          <w:sz w:val="18"/>
          <w:szCs w:val="18"/>
          <w:vertAlign w:val="superscript"/>
        </w:rPr>
        <w:footnoteReference w:id="39"/>
      </w:r>
    </w:p>
    <w:p w:rsidR="007700A9" w:rsidRPr="007700A9" w:rsidRDefault="007700A9" w:rsidP="00AB5217">
      <w:pPr>
        <w:rPr>
          <w:rFonts w:eastAsia="Calibri" w:cs="Times New Roman"/>
        </w:rPr>
      </w:pPr>
      <w:r w:rsidRPr="007700A9">
        <w:rPr>
          <w:rFonts w:eastAsia="Calibri" w:cs="Times New Roman"/>
        </w:rPr>
        <w:lastRenderedPageBreak/>
        <w:t>Existen</w:t>
      </w:r>
      <w:r w:rsidR="00C23C8E">
        <w:rPr>
          <w:rFonts w:eastAsia="Calibri" w:cs="Times New Roman"/>
        </w:rPr>
        <w:t>,</w:t>
      </w:r>
      <w:r w:rsidRPr="007700A9">
        <w:rPr>
          <w:rFonts w:eastAsia="Calibri" w:cs="Times New Roman"/>
        </w:rPr>
        <w:t xml:space="preserve"> así mismo</w:t>
      </w:r>
      <w:r w:rsidR="00C23C8E">
        <w:rPr>
          <w:rFonts w:eastAsia="Calibri" w:cs="Times New Roman"/>
        </w:rPr>
        <w:t>,</w:t>
      </w:r>
      <w:r w:rsidRPr="007700A9">
        <w:rPr>
          <w:rFonts w:eastAsia="Calibri" w:cs="Times New Roman"/>
        </w:rPr>
        <w:t xml:space="preserve"> avances importantes en mecanismos de apropiación de las TIC con iniciativas de capacitación integradas en los puntos de acceso comunitario y en los programas en instituciones educativas.</w:t>
      </w:r>
    </w:p>
    <w:p w:rsidR="007700A9" w:rsidRDefault="00BC64C0" w:rsidP="00AB5217">
      <w:pPr>
        <w:rPr>
          <w:rFonts w:eastAsia="Calibri" w:cs="Times New Roman"/>
        </w:rPr>
      </w:pPr>
      <w:r>
        <w:t xml:space="preserve">Se encuentra en el anterior análisis que el </w:t>
      </w:r>
      <w:r w:rsidR="00B177D3">
        <w:t>P</w:t>
      </w:r>
      <w:r>
        <w:t xml:space="preserve">lan Vive Digital tiene suficiente sustento legal tanto en normas constitucionales como en las leyes fundamentales que estructuran el sector TIC, con lo cual, todas las acciones embebidas en el mismo responden a mandatos legales claros y a facultades expresas que permiten el desarrollo pleno de la política pública y de los programas y mecanismos propuestos en dicho plan. </w:t>
      </w:r>
      <w:r w:rsidR="007700A9" w:rsidRPr="007700A9">
        <w:rPr>
          <w:rFonts w:eastAsia="Calibri" w:cs="Times New Roman"/>
        </w:rPr>
        <w:t xml:space="preserve">La institucionalidad y el marco normativo son adecuados para el desarrollo del ecosistema digital, </w:t>
      </w:r>
      <w:r>
        <w:rPr>
          <w:rFonts w:eastAsia="Calibri" w:cs="Times New Roman"/>
        </w:rPr>
        <w:t xml:space="preserve">si bien se encuentra en algunas </w:t>
      </w:r>
      <w:r w:rsidR="007700A9" w:rsidRPr="007700A9">
        <w:rPr>
          <w:rFonts w:eastAsia="Calibri" w:cs="Times New Roman"/>
        </w:rPr>
        <w:t>inquietudes sobre la necesidad de reforzar mecanismos de protección al usuario y posiblemente la creación de una entidad de control y vigilancia fuerte y especializada</w:t>
      </w:r>
      <w:r w:rsidR="007700A9" w:rsidRPr="007700A9">
        <w:rPr>
          <w:rFonts w:eastAsia="Calibri" w:cs="Times New Roman"/>
          <w:vertAlign w:val="superscript"/>
        </w:rPr>
        <w:footnoteReference w:id="40"/>
      </w:r>
      <w:r w:rsidR="007700A9" w:rsidRPr="007700A9">
        <w:rPr>
          <w:rFonts w:eastAsia="Calibri" w:cs="Times New Roman"/>
        </w:rPr>
        <w:t>.</w:t>
      </w:r>
    </w:p>
    <w:p w:rsidR="00BC64C0" w:rsidRPr="00BC64C0" w:rsidRDefault="00BC64C0" w:rsidP="00BC64C0">
      <w:r>
        <w:t xml:space="preserve">Así mismo, se encuentra que el Plan ha permitido el desarrollo armónico de normas necesarias en los diversos elementos del ecosistema digital que lo han requerido, encontrando que las metas propuestas relacionadas con el desarrollo de dicha normativa específica para cada una de las dimensiones del ecosistema digital se han desarrollado adecuadamente. </w:t>
      </w:r>
    </w:p>
    <w:p w:rsidR="007700A9" w:rsidRDefault="007700A9" w:rsidP="00BC64C0">
      <w:pPr>
        <w:rPr>
          <w:rFonts w:eastAsia="Calibri" w:cs="Times New Roman"/>
        </w:rPr>
      </w:pPr>
      <w:r w:rsidRPr="007700A9">
        <w:rPr>
          <w:rFonts w:eastAsia="Calibri" w:cs="Times New Roman"/>
        </w:rPr>
        <w:t>El plan se ha desarrollado de manera armónica coordinando múltiples iniciativas en desarrollo de cada uno de los aspectos del ecosistema digital (Infraestructura, Servicios, Aplicaciones y contenidos y Usuarios).</w:t>
      </w:r>
    </w:p>
    <w:p w:rsidR="00BC64C0" w:rsidRPr="00BC64C0" w:rsidRDefault="00BC64C0" w:rsidP="00BC64C0">
      <w:pPr>
        <w:rPr>
          <w:rFonts w:eastAsia="Calibri" w:cs="Times New Roman"/>
        </w:rPr>
      </w:pPr>
      <w:r w:rsidRPr="00BC64C0">
        <w:rPr>
          <w:rFonts w:eastAsia="Calibri" w:cs="Times New Roman"/>
        </w:rPr>
        <w:t>En cuanto a la estrategia de comunicaciones, de acuerdo con el material suministrado por la oficina de comunicaciones la ejecución operacional (t</w:t>
      </w:r>
      <w:r w:rsidR="00F5042C">
        <w:rPr>
          <w:rFonts w:eastAsia="Calibri" w:cs="Times New Roman"/>
        </w:rPr>
        <w:t>areas) y táctica (acciones) es “s</w:t>
      </w:r>
      <w:r w:rsidR="00F5042C" w:rsidRPr="00BC64C0">
        <w:rPr>
          <w:rFonts w:eastAsia="Calibri" w:cs="Times New Roman"/>
        </w:rPr>
        <w:t>obresaliente</w:t>
      </w:r>
      <w:r w:rsidR="00F5042C">
        <w:rPr>
          <w:rFonts w:eastAsia="Calibri" w:cs="Times New Roman"/>
        </w:rPr>
        <w:t>”</w:t>
      </w:r>
      <w:r w:rsidRPr="00BC64C0">
        <w:rPr>
          <w:rFonts w:eastAsia="Calibri" w:cs="Times New Roman"/>
        </w:rPr>
        <w:t>. Sin embargo hay que avanzar más en la percepción ciudadana.</w:t>
      </w:r>
      <w:r>
        <w:rPr>
          <w:rFonts w:eastAsia="Calibri" w:cs="Times New Roman"/>
        </w:rPr>
        <w:t xml:space="preserve"> Adicionalmente, a</w:t>
      </w:r>
      <w:r w:rsidRPr="00BC64C0">
        <w:rPr>
          <w:rFonts w:eastAsia="Calibri" w:cs="Times New Roman"/>
        </w:rPr>
        <w:t xml:space="preserve"> la ciudadanía le hace falta enterarse de los trámites que puede hacer en línea y ser competente y confiar en su uso</w:t>
      </w:r>
      <w:r>
        <w:rPr>
          <w:rFonts w:eastAsia="Calibri" w:cs="Times New Roman"/>
        </w:rPr>
        <w:t xml:space="preserve">. </w:t>
      </w:r>
      <w:r w:rsidRPr="00BC64C0">
        <w:rPr>
          <w:rFonts w:eastAsia="Calibri" w:cs="Times New Roman"/>
        </w:rPr>
        <w:t>Los periodistas reciben la información pero si bien son el canal que al parecer ha sido utilizado para informar a la ciudadanía, a los ciudadanos les hace falta información al respecto.</w:t>
      </w:r>
      <w:r>
        <w:rPr>
          <w:rFonts w:eastAsia="Calibri" w:cs="Times New Roman"/>
        </w:rPr>
        <w:t xml:space="preserve"> De otra parte, l</w:t>
      </w:r>
      <w:r w:rsidRPr="00BC64C0">
        <w:rPr>
          <w:rFonts w:eastAsia="Calibri" w:cs="Times New Roman"/>
        </w:rPr>
        <w:t>as empresas del sector y la prensa cuentan con información del Ministerio pero de lo percibido por los entrevistados aún le falta mucha vinculación a la ciudadanía.</w:t>
      </w:r>
      <w:r>
        <w:rPr>
          <w:rFonts w:eastAsia="Calibri" w:cs="Times New Roman"/>
        </w:rPr>
        <w:t xml:space="preserve"> </w:t>
      </w:r>
      <w:r w:rsidRPr="00BC64C0">
        <w:rPr>
          <w:rFonts w:eastAsia="Calibri" w:cs="Times New Roman"/>
        </w:rPr>
        <w:t>Al parecer se ha construido un nicho muy especializado que ha dejado aislada en cierta medida a la ciudadanía que aún falta por vincular.</w:t>
      </w:r>
    </w:p>
    <w:p w:rsidR="007700A9" w:rsidRPr="007700A9" w:rsidRDefault="00BC64C0" w:rsidP="00781839">
      <w:pPr>
        <w:rPr>
          <w:rFonts w:eastAsia="Calibri" w:cs="Times New Roman"/>
        </w:rPr>
      </w:pPr>
      <w:r>
        <w:rPr>
          <w:rFonts w:eastAsia="Calibri" w:cs="Times New Roman"/>
        </w:rPr>
        <w:t>Finalmente, e</w:t>
      </w:r>
      <w:r w:rsidR="007700A9" w:rsidRPr="007700A9">
        <w:rPr>
          <w:rFonts w:eastAsia="Calibri" w:cs="Times New Roman"/>
        </w:rPr>
        <w:t xml:space="preserve">xisten algunos espacios de mejora y de natural evolución para nuevas versiones del plan, donde se sugiere hacer énfasis mayor en parámetros de calidad de </w:t>
      </w:r>
      <w:r w:rsidR="007700A9" w:rsidRPr="007700A9">
        <w:rPr>
          <w:rFonts w:eastAsia="Calibri" w:cs="Times New Roman"/>
        </w:rPr>
        <w:lastRenderedPageBreak/>
        <w:t>los servicios, así como en la focalización hacia desarrollo de iniciativas productivas basadas en las TIC y en procesos de apropiación que repotencien el consumo y la actividad en la Internet generando menores costos de transacción y generación de nuevos negocios.</w:t>
      </w:r>
    </w:p>
    <w:p w:rsidR="007700A9" w:rsidRPr="00AB5217" w:rsidRDefault="007700A9" w:rsidP="0020708C">
      <w:pPr>
        <w:pStyle w:val="Ttulo2"/>
        <w:numPr>
          <w:ilvl w:val="1"/>
          <w:numId w:val="35"/>
        </w:numPr>
        <w:ind w:left="709"/>
      </w:pPr>
      <w:bookmarkStart w:id="178" w:name="_Toc405992324"/>
      <w:r w:rsidRPr="00AB5217">
        <w:t>Recomendaciones</w:t>
      </w:r>
      <w:bookmarkEnd w:id="178"/>
      <w:r w:rsidRPr="00AB5217">
        <w:t xml:space="preserve"> </w:t>
      </w:r>
    </w:p>
    <w:bookmarkEnd w:id="33"/>
    <w:bookmarkEnd w:id="97"/>
    <w:p w:rsidR="00781839" w:rsidRPr="00781839" w:rsidRDefault="00781839" w:rsidP="00781839">
      <w:pPr>
        <w:spacing w:after="240"/>
        <w:rPr>
          <w:rFonts w:eastAsia="Calibri" w:cs="Times New Roman"/>
        </w:rPr>
      </w:pPr>
      <w:r w:rsidRPr="00781839">
        <w:rPr>
          <w:rFonts w:eastAsia="Calibri" w:cs="Times New Roman"/>
        </w:rPr>
        <w:t xml:space="preserve">Para el desarrollo de futuras evaluaciones es necesario continuar con el sistema de indicadores actual, sin embargo, se recomienda dar prioridad a un indicador representativo de cada dimensión del Ecosistema Digital que refleje en cada periodo las prioridades de política y aplicación de recursos públicos. </w:t>
      </w:r>
    </w:p>
    <w:p w:rsidR="00781839" w:rsidRPr="00781839" w:rsidRDefault="00781839" w:rsidP="00781839">
      <w:pPr>
        <w:spacing w:after="240"/>
        <w:rPr>
          <w:rFonts w:eastAsia="Calibri" w:cs="Times New Roman"/>
        </w:rPr>
      </w:pPr>
      <w:r w:rsidRPr="00781839">
        <w:rPr>
          <w:rFonts w:eastAsia="Calibri" w:cs="Times New Roman"/>
        </w:rPr>
        <w:t xml:space="preserve">Se recomienda realizar una evaluación con la metodología aquí propuesta y desarrollada, en el año 2016, que permita una evaluación de los efectos finales del Plan, con información de cierre del año 2014 recopilada en 2015. </w:t>
      </w:r>
    </w:p>
    <w:p w:rsidR="001D4B15" w:rsidRDefault="00781839" w:rsidP="00781839">
      <w:pPr>
        <w:spacing w:after="240"/>
        <w:rPr>
          <w:rFonts w:eastAsia="Calibri" w:cs="Times New Roman"/>
        </w:rPr>
      </w:pPr>
      <w:r w:rsidRPr="00781839">
        <w:rPr>
          <w:rFonts w:eastAsia="Calibri" w:cs="Times New Roman"/>
        </w:rPr>
        <w:t xml:space="preserve">Evaluaciones posteriores estarían sujetas a decisiones políticas de próximos gobiernos, respecto a la continuidad de las iniciativas y del modelo mismo de desarrollo del modelo del Ecosistema Digital. </w:t>
      </w:r>
    </w:p>
    <w:p w:rsidR="00781839" w:rsidRDefault="00781839" w:rsidP="00781839">
      <w:pPr>
        <w:spacing w:after="240"/>
        <w:rPr>
          <w:rFonts w:eastAsia="Calibri" w:cs="Times New Roman"/>
        </w:rPr>
      </w:pPr>
      <w:r>
        <w:rPr>
          <w:rFonts w:eastAsia="Calibri" w:cs="Times New Roman"/>
        </w:rPr>
        <w:t>En cuanto a la estrategia de comunicaciones:</w:t>
      </w:r>
    </w:p>
    <w:p w:rsidR="00A052F0" w:rsidRPr="00781839" w:rsidRDefault="00781839" w:rsidP="00781839">
      <w:pPr>
        <w:spacing w:after="240"/>
        <w:rPr>
          <w:rFonts w:eastAsia="Calibri" w:cs="Times New Roman"/>
        </w:rPr>
      </w:pPr>
      <w:r>
        <w:rPr>
          <w:rFonts w:eastAsia="Calibri" w:cs="Times New Roman"/>
        </w:rPr>
        <w:t>Se r</w:t>
      </w:r>
      <w:r w:rsidR="00A052F0" w:rsidRPr="00781839">
        <w:rPr>
          <w:rFonts w:eastAsia="Calibri" w:cs="Times New Roman"/>
        </w:rPr>
        <w:t>equiere un estudio más amplio y en profundidad en las regiones sobre la percepción y favorabilidad de las marcas.</w:t>
      </w:r>
      <w:r>
        <w:rPr>
          <w:rFonts w:eastAsia="Calibri" w:cs="Times New Roman"/>
        </w:rPr>
        <w:t xml:space="preserve"> También s</w:t>
      </w:r>
      <w:r w:rsidR="00A052F0" w:rsidRPr="00781839">
        <w:rPr>
          <w:rFonts w:eastAsia="Calibri" w:cs="Times New Roman"/>
        </w:rPr>
        <w:t>e sugiere unificar un concepto que reúna las marcas, debe ser inspirador para que invite a la participación la tecnología por la tecnología o la tecnología por la innovación no vincula algunos sectores de la ciudadanía.</w:t>
      </w:r>
      <w:r>
        <w:rPr>
          <w:rFonts w:eastAsia="Calibri" w:cs="Times New Roman"/>
        </w:rPr>
        <w:t xml:space="preserve"> El hecho de t</w:t>
      </w:r>
      <w:r w:rsidR="00A052F0" w:rsidRPr="00781839">
        <w:rPr>
          <w:rFonts w:eastAsia="Calibri" w:cs="Times New Roman"/>
        </w:rPr>
        <w:t>ener demasiados conceptos asociados a la marca dificulta la apropiación de la misma en la ciudadanía.</w:t>
      </w:r>
    </w:p>
    <w:p w:rsidR="007700A9" w:rsidRDefault="00A052F0" w:rsidP="00781839">
      <w:pPr>
        <w:spacing w:after="240"/>
        <w:rPr>
          <w:rFonts w:eastAsia="Calibri" w:cs="Times New Roman"/>
        </w:rPr>
      </w:pPr>
      <w:r w:rsidRPr="00781839">
        <w:rPr>
          <w:rFonts w:eastAsia="Calibri" w:cs="Times New Roman"/>
        </w:rPr>
        <w:t>Para la apropiación en los funcionarios públicos además de una estrategia de formación en competencias tecnológicas se sugiere un examen de calificación. Para este punto es fundamental asociar la tecnología con la comunicación y el servicio al ciudadano.</w:t>
      </w:r>
      <w:r w:rsidR="00781839">
        <w:rPr>
          <w:rFonts w:eastAsia="Calibri" w:cs="Times New Roman"/>
        </w:rPr>
        <w:t xml:space="preserve"> Finalmente, r</w:t>
      </w:r>
      <w:r w:rsidRPr="00781839">
        <w:rPr>
          <w:rFonts w:eastAsia="Calibri" w:cs="Times New Roman"/>
        </w:rPr>
        <w:t>evisar una estrategia directa hacia la ciudadanía, tipo sistema informativo</w:t>
      </w:r>
      <w:r w:rsidR="00F90EAB">
        <w:rPr>
          <w:rFonts w:eastAsia="Calibri" w:cs="Times New Roman"/>
        </w:rPr>
        <w:t>.</w:t>
      </w:r>
    </w:p>
    <w:p w:rsidR="00F90EAB" w:rsidRDefault="00F90EAB" w:rsidP="00781839">
      <w:pPr>
        <w:spacing w:after="240"/>
        <w:rPr>
          <w:rFonts w:eastAsia="Calibri" w:cs="Times New Roman"/>
        </w:rPr>
      </w:pPr>
    </w:p>
    <w:p w:rsidR="00F90EAB" w:rsidRDefault="00F90EAB">
      <w:pPr>
        <w:spacing w:before="0" w:after="120"/>
        <w:rPr>
          <w:rFonts w:eastAsia="Calibri" w:cs="Times New Roman"/>
        </w:rPr>
      </w:pPr>
      <w:r>
        <w:rPr>
          <w:rFonts w:eastAsia="Calibri" w:cs="Times New Roman"/>
        </w:rPr>
        <w:br w:type="page"/>
      </w:r>
    </w:p>
    <w:p w:rsidR="00F90EAB" w:rsidRPr="007700A9" w:rsidRDefault="00F90EAB" w:rsidP="00781839">
      <w:pPr>
        <w:spacing w:after="240"/>
        <w:rPr>
          <w:rFonts w:eastAsia="Calibri" w:cs="Times New Roman"/>
        </w:rPr>
      </w:pPr>
    </w:p>
    <w:p w:rsidR="007700A9" w:rsidRDefault="007700A9" w:rsidP="00AB5217">
      <w:pPr>
        <w:spacing w:after="240"/>
        <w:rPr>
          <w:rFonts w:eastAsia="Calibri" w:cs="Times New Roman"/>
        </w:rPr>
      </w:pPr>
    </w:p>
    <w:p w:rsidR="00F90EAB" w:rsidRDefault="00F90EAB" w:rsidP="00AB5217">
      <w:pPr>
        <w:spacing w:after="240"/>
        <w:rPr>
          <w:rFonts w:eastAsia="Calibri" w:cs="Times New Roman"/>
        </w:rPr>
      </w:pPr>
    </w:p>
    <w:p w:rsidR="00F90EAB" w:rsidRDefault="00F90EAB" w:rsidP="00AB5217">
      <w:pPr>
        <w:spacing w:after="240"/>
        <w:rPr>
          <w:rFonts w:eastAsia="Calibri" w:cs="Times New Roman"/>
        </w:rPr>
      </w:pPr>
    </w:p>
    <w:p w:rsidR="00F90EAB" w:rsidRDefault="00F90EAB" w:rsidP="00AB5217">
      <w:pPr>
        <w:spacing w:after="240"/>
        <w:rPr>
          <w:rFonts w:eastAsia="Calibri" w:cs="Times New Roman"/>
        </w:rPr>
      </w:pPr>
    </w:p>
    <w:p w:rsidR="00F90EAB" w:rsidRDefault="00F90EAB" w:rsidP="00AB5217">
      <w:pPr>
        <w:spacing w:after="240"/>
        <w:rPr>
          <w:rFonts w:eastAsia="Calibri" w:cs="Times New Roman"/>
        </w:rPr>
      </w:pPr>
    </w:p>
    <w:p w:rsidR="00F90EAB" w:rsidRDefault="00F90EAB" w:rsidP="00AB5217">
      <w:pPr>
        <w:spacing w:after="240"/>
        <w:rPr>
          <w:rFonts w:eastAsia="Calibri" w:cs="Times New Roman"/>
        </w:rPr>
      </w:pPr>
    </w:p>
    <w:p w:rsidR="00F90EAB" w:rsidRDefault="00F90EAB" w:rsidP="00AB5217">
      <w:pPr>
        <w:spacing w:after="240"/>
        <w:rPr>
          <w:rFonts w:eastAsia="Calibri" w:cs="Times New Roman"/>
        </w:rPr>
      </w:pPr>
    </w:p>
    <w:p w:rsidR="00F90EAB" w:rsidRPr="007700A9" w:rsidRDefault="00F90EAB" w:rsidP="00AB5217">
      <w:pPr>
        <w:spacing w:after="240"/>
        <w:rPr>
          <w:rFonts w:eastAsia="Calibri" w:cs="Times New Roman"/>
        </w:rPr>
      </w:pPr>
    </w:p>
    <w:p w:rsidR="00F90EAB" w:rsidRPr="000270FF" w:rsidRDefault="00FD2C75" w:rsidP="002D4742">
      <w:pPr>
        <w:pStyle w:val="Titulocaptulo-Econometra"/>
        <w:jc w:val="left"/>
      </w:pPr>
      <w:bookmarkStart w:id="179" w:name="_Toc405992325"/>
      <w:r w:rsidRPr="000270FF">
        <w:t>ANEXOS</w:t>
      </w:r>
      <w:bookmarkEnd w:id="179"/>
    </w:p>
    <w:p w:rsidR="007700A9" w:rsidRPr="00F90EAB" w:rsidRDefault="007700A9" w:rsidP="00F90EAB">
      <w:pPr>
        <w:spacing w:after="240" w:line="240" w:lineRule="auto"/>
        <w:jc w:val="center"/>
        <w:rPr>
          <w:rFonts w:eastAsia="Calibri" w:cs="Times New Roman"/>
          <w:sz w:val="36"/>
          <w:szCs w:val="36"/>
        </w:rPr>
      </w:pPr>
    </w:p>
    <w:p w:rsidR="00F90EAB" w:rsidRDefault="007700A9" w:rsidP="00EB7854">
      <w:pPr>
        <w:keepNext/>
        <w:keepLines/>
        <w:outlineLvl w:val="0"/>
        <w:rPr>
          <w:rFonts w:eastAsia="Times New Roman" w:cs="Times New Roman"/>
          <w:bCs/>
          <w:caps/>
          <w:color w:val="C00000"/>
          <w:szCs w:val="36"/>
          <w:lang w:eastAsia="es-ES"/>
        </w:rPr>
      </w:pPr>
      <w:r w:rsidRPr="007700A9">
        <w:rPr>
          <w:rFonts w:eastAsia="Times New Roman" w:cs="Times New Roman"/>
          <w:bCs/>
          <w:caps/>
          <w:color w:val="C00000"/>
          <w:szCs w:val="36"/>
          <w:lang w:eastAsia="es-ES"/>
        </w:rPr>
        <w:br w:type="page"/>
      </w:r>
    </w:p>
    <w:p w:rsidR="001267EB" w:rsidRDefault="001267EB" w:rsidP="00756642">
      <w:pPr>
        <w:pStyle w:val="Titulocaptulo-Econometra"/>
        <w:contextualSpacing w:val="0"/>
        <w:rPr>
          <w:rFonts w:eastAsia="Times New Roman"/>
          <w:lang w:eastAsia="es-ES"/>
        </w:rPr>
      </w:pPr>
    </w:p>
    <w:p w:rsidR="00756642" w:rsidRDefault="00756642" w:rsidP="00756642">
      <w:pPr>
        <w:pStyle w:val="Titulocaptulo-Econometra"/>
        <w:contextualSpacing w:val="0"/>
        <w:rPr>
          <w:rFonts w:eastAsia="Times New Roman"/>
          <w:lang w:eastAsia="es-ES"/>
        </w:rPr>
      </w:pPr>
      <w:bookmarkStart w:id="180" w:name="_Toc405992326"/>
      <w:r w:rsidRPr="007700A9">
        <w:rPr>
          <w:rFonts w:eastAsia="Times New Roman"/>
          <w:lang w:eastAsia="es-ES"/>
        </w:rPr>
        <w:t xml:space="preserve">Anexo </w:t>
      </w:r>
      <w:r>
        <w:rPr>
          <w:rFonts w:eastAsia="Times New Roman"/>
          <w:lang w:eastAsia="es-ES"/>
        </w:rPr>
        <w:t>A</w:t>
      </w:r>
      <w:r w:rsidRPr="007700A9">
        <w:rPr>
          <w:rFonts w:eastAsia="Times New Roman"/>
          <w:lang w:eastAsia="es-ES"/>
        </w:rPr>
        <w:t>1</w:t>
      </w:r>
      <w:bookmarkEnd w:id="180"/>
    </w:p>
    <w:p w:rsidR="00756642" w:rsidRPr="00F90EAB" w:rsidRDefault="00CE170A" w:rsidP="00756642">
      <w:pPr>
        <w:pStyle w:val="Titulocaptulo-Econometra"/>
        <w:contextualSpacing w:val="0"/>
        <w:rPr>
          <w:rFonts w:eastAsia="Times New Roman"/>
          <w:lang w:eastAsia="es-ES"/>
        </w:rPr>
      </w:pPr>
      <w:bookmarkStart w:id="181" w:name="_Toc405992327"/>
      <w:r>
        <w:rPr>
          <w:rFonts w:eastAsia="Times New Roman"/>
          <w:lang w:eastAsia="es-ES"/>
        </w:rPr>
        <w:t>Resultados de l</w:t>
      </w:r>
      <w:r w:rsidR="00F2520B">
        <w:rPr>
          <w:rFonts w:eastAsia="Times New Roman"/>
          <w:lang w:eastAsia="es-ES"/>
        </w:rPr>
        <w:t>a E</w:t>
      </w:r>
      <w:r>
        <w:rPr>
          <w:rFonts w:eastAsia="Times New Roman"/>
          <w:lang w:eastAsia="es-ES"/>
        </w:rPr>
        <w:t>stimaci</w:t>
      </w:r>
      <w:r w:rsidR="00F2520B">
        <w:rPr>
          <w:rFonts w:eastAsia="Times New Roman"/>
          <w:lang w:eastAsia="es-ES"/>
        </w:rPr>
        <w:t>ón E</w:t>
      </w:r>
      <w:r>
        <w:rPr>
          <w:rFonts w:eastAsia="Times New Roman"/>
          <w:lang w:eastAsia="es-ES"/>
        </w:rPr>
        <w:t>conométrica</w:t>
      </w:r>
      <w:r w:rsidR="00F2520B">
        <w:rPr>
          <w:rFonts w:eastAsia="Times New Roman"/>
          <w:lang w:eastAsia="es-ES"/>
        </w:rPr>
        <w:t xml:space="preserve"> de la Demanda</w:t>
      </w:r>
      <w:r>
        <w:rPr>
          <w:rFonts w:eastAsia="Times New Roman"/>
          <w:lang w:eastAsia="es-ES"/>
        </w:rPr>
        <w:t xml:space="preserve"> por </w:t>
      </w:r>
      <w:r w:rsidR="00F2520B">
        <w:rPr>
          <w:rFonts w:eastAsia="Times New Roman"/>
          <w:lang w:eastAsia="es-ES"/>
        </w:rPr>
        <w:t xml:space="preserve">TIC </w:t>
      </w:r>
      <w:r>
        <w:rPr>
          <w:rFonts w:eastAsia="Times New Roman"/>
          <w:lang w:eastAsia="es-ES"/>
        </w:rPr>
        <w:t>a nivel de los hogares colombianos</w:t>
      </w:r>
      <w:bookmarkEnd w:id="181"/>
    </w:p>
    <w:p w:rsidR="00AF16E7" w:rsidRDefault="00F2520B" w:rsidP="00AF16E7">
      <w:pPr>
        <w:rPr>
          <w:rFonts w:eastAsia="Calibri" w:cs="Times New Roman"/>
        </w:rPr>
      </w:pPr>
      <w:r>
        <w:rPr>
          <w:rFonts w:eastAsia="Calibri" w:cs="Times New Roman"/>
        </w:rPr>
        <w:t>En este Anexo A1 se presentan los resultados de la estimación econométrica de la demand</w:t>
      </w:r>
      <w:r w:rsidR="00073E95">
        <w:rPr>
          <w:rFonts w:eastAsia="Calibri" w:cs="Times New Roman"/>
        </w:rPr>
        <w:t>a de los hogares colombianos por</w:t>
      </w:r>
      <w:r>
        <w:rPr>
          <w:rFonts w:eastAsia="Calibri" w:cs="Times New Roman"/>
        </w:rPr>
        <w:t xml:space="preserve"> los cuatro</w:t>
      </w:r>
      <w:r w:rsidR="00073E95">
        <w:rPr>
          <w:rFonts w:eastAsia="Calibri" w:cs="Times New Roman"/>
        </w:rPr>
        <w:t xml:space="preserve"> servicios</w:t>
      </w:r>
      <w:r>
        <w:rPr>
          <w:rFonts w:eastAsia="Calibri" w:cs="Times New Roman"/>
        </w:rPr>
        <w:t xml:space="preserve"> TIC más importantes (Telefonía Fija, Telefonía Móvil, Televisión por Suscripción e Internet), usando la Encuesta de Calidad de Vida del DANE</w:t>
      </w:r>
      <w:r w:rsidR="00037098">
        <w:rPr>
          <w:rFonts w:eastAsia="Calibri" w:cs="Times New Roman"/>
        </w:rPr>
        <w:t xml:space="preserve"> para los años 2010 y 2012. Esta fuente de información permite estimar un modelo que incluy</w:t>
      </w:r>
      <w:r w:rsidR="00073E95">
        <w:rPr>
          <w:rFonts w:eastAsia="Calibri" w:cs="Times New Roman"/>
        </w:rPr>
        <w:t>e</w:t>
      </w:r>
      <w:r w:rsidR="00AF16E7" w:rsidRPr="00D61C98">
        <w:rPr>
          <w:rFonts w:eastAsia="Calibri" w:cs="Times New Roman"/>
        </w:rPr>
        <w:t xml:space="preserve"> las</w:t>
      </w:r>
      <w:r w:rsidR="00073E95">
        <w:rPr>
          <w:rFonts w:eastAsia="Calibri" w:cs="Times New Roman"/>
        </w:rPr>
        <w:t xml:space="preserve"> principales</w:t>
      </w:r>
      <w:r w:rsidR="00AF16E7" w:rsidRPr="00D61C98">
        <w:rPr>
          <w:rFonts w:eastAsia="Calibri" w:cs="Times New Roman"/>
        </w:rPr>
        <w:t xml:space="preserve"> variables de caracterización de los hogares que determinan su demanda por los bienes y servicios de TIC considerados en el análisis,</w:t>
      </w:r>
      <w:r w:rsidR="0074694E">
        <w:rPr>
          <w:rFonts w:eastAsia="Calibri" w:cs="Times New Roman"/>
        </w:rPr>
        <w:t xml:space="preserve"> como son el ingreso familiar, la composición por grupos de edad y niveles de educación alcanzados por sus miembros y la región donde vive el hogar, que se supone que tienen unos efectos fijos sobre la demanda que se mantienen constantes, y se incluye una variable T, que vale 1 en el año 2012 y 0 en el año 2010, cuyo coeficiente </w:t>
      </w:r>
      <w:r w:rsidR="00AF16E7" w:rsidRPr="00D61C98">
        <w:rPr>
          <w:rFonts w:eastAsia="Calibri" w:cs="Times New Roman"/>
        </w:rPr>
        <w:t xml:space="preserve">mediría el efecto de todas las variables que influyen sobre la demanda, pero no están bajo el control de los hogares demandantes. Esta variable, en consecuencia, mediría principalmente los impactos del </w:t>
      </w:r>
      <w:r w:rsidR="003F7108">
        <w:rPr>
          <w:rFonts w:eastAsia="Calibri" w:cs="Times New Roman"/>
        </w:rPr>
        <w:t>Plan</w:t>
      </w:r>
      <w:r w:rsidR="00AF16E7" w:rsidRPr="00D61C98">
        <w:rPr>
          <w:rFonts w:eastAsia="Calibri" w:cs="Times New Roman"/>
        </w:rPr>
        <w:t xml:space="preserve"> Vive Digital, que es la principal fuente de incentivos a la demanda en este período de análisis. </w:t>
      </w:r>
    </w:p>
    <w:p w:rsidR="0074694E" w:rsidRPr="002D4742" w:rsidRDefault="0074694E" w:rsidP="00AF16E7">
      <w:pPr>
        <w:rPr>
          <w:rFonts w:ascii="Century Gothic" w:eastAsia="Calibri" w:hAnsi="Century Gothic" w:cs="Times New Roman"/>
          <w:color w:val="595959" w:themeColor="text1" w:themeTint="A6"/>
        </w:rPr>
      </w:pPr>
      <w:r w:rsidRPr="002D4742">
        <w:rPr>
          <w:rFonts w:ascii="Century Gothic" w:eastAsia="Calibri" w:hAnsi="Century Gothic" w:cs="Times New Roman"/>
          <w:color w:val="595959" w:themeColor="text1" w:themeTint="A6"/>
        </w:rPr>
        <w:t>Ejemplo:</w:t>
      </w:r>
    </w:p>
    <w:p w:rsidR="00AF16E7" w:rsidRDefault="00AF16E7" w:rsidP="00AF16E7">
      <w:pPr>
        <w:rPr>
          <w:rFonts w:eastAsia="Calibri" w:cs="Times New Roman"/>
        </w:rPr>
      </w:pPr>
      <w:r>
        <w:rPr>
          <w:rFonts w:eastAsia="Calibri" w:cs="Times New Roman"/>
        </w:rPr>
        <w:t>Para la interpretación de los resultados de las estimaciones de las funciones de demanda de los hogares</w:t>
      </w:r>
      <w:r w:rsidR="00073E95">
        <w:rPr>
          <w:rFonts w:eastAsia="Calibri" w:cs="Times New Roman"/>
        </w:rPr>
        <w:t>, que se presentan a continuación</w:t>
      </w:r>
      <w:r w:rsidR="0074694E">
        <w:rPr>
          <w:rFonts w:eastAsia="Calibri" w:cs="Times New Roman"/>
        </w:rPr>
        <w:t xml:space="preserve"> para</w:t>
      </w:r>
      <w:r>
        <w:rPr>
          <w:rFonts w:eastAsia="Calibri" w:cs="Times New Roman"/>
        </w:rPr>
        <w:t xml:space="preserve"> los cuatro servicios descritos en las tablas que se presentan más adelante se incluye el siguiente ejemplo</w:t>
      </w:r>
      <w:r w:rsidR="00FB349B">
        <w:rPr>
          <w:rFonts w:eastAsia="Calibri" w:cs="Times New Roman"/>
        </w:rPr>
        <w:t xml:space="preserve"> de cálculo de indicadores de resultado</w:t>
      </w:r>
      <w:r>
        <w:rPr>
          <w:rFonts w:eastAsia="Calibri" w:cs="Times New Roman"/>
        </w:rPr>
        <w:t xml:space="preserve"> para el caso de la demanda por telefonía fija en las caberas municipales del país,</w:t>
      </w:r>
      <w:r w:rsidR="00FB349B">
        <w:rPr>
          <w:rFonts w:eastAsia="Calibri" w:cs="Times New Roman"/>
        </w:rPr>
        <w:t xml:space="preserve"> tomada como ejemplo para ilustrar la metodología, usando</w:t>
      </w:r>
      <w:r>
        <w:rPr>
          <w:rFonts w:eastAsia="Calibri" w:cs="Times New Roman"/>
        </w:rPr>
        <w:t xml:space="preserve">  los datos de la estimación del modelo de demanda presentados en el Cuadro </w:t>
      </w:r>
      <w:r w:rsidR="0074694E">
        <w:rPr>
          <w:rFonts w:eastAsia="Calibri" w:cs="Times New Roman"/>
        </w:rPr>
        <w:t>A</w:t>
      </w:r>
      <w:r>
        <w:rPr>
          <w:rFonts w:eastAsia="Calibri" w:cs="Times New Roman"/>
        </w:rPr>
        <w:t>.1, más adelante.</w:t>
      </w:r>
    </w:p>
    <w:p w:rsidR="00AF16E7" w:rsidRDefault="0074694E" w:rsidP="00AF16E7">
      <w:pPr>
        <w:rPr>
          <w:rFonts w:eastAsia="Calibri" w:cs="Times New Roman"/>
        </w:rPr>
      </w:pPr>
      <w:r>
        <w:rPr>
          <w:rFonts w:eastAsia="Calibri" w:cs="Times New Roman"/>
        </w:rPr>
        <w:t xml:space="preserve">En este ejemplo, la </w:t>
      </w:r>
      <w:r w:rsidR="00AF16E7">
        <w:rPr>
          <w:rFonts w:eastAsia="Calibri" w:cs="Times New Roman"/>
        </w:rPr>
        <w:t>probab</w:t>
      </w:r>
      <w:r>
        <w:rPr>
          <w:rFonts w:eastAsia="Calibri" w:cs="Times New Roman"/>
        </w:rPr>
        <w:t xml:space="preserve">ilidad de demandar el servicio de telefonía fija, </w:t>
      </w:r>
      <w:proofErr w:type="gramStart"/>
      <w:r>
        <w:rPr>
          <w:rFonts w:eastAsia="Calibri" w:cs="Times New Roman"/>
        </w:rPr>
        <w:t>p(</w:t>
      </w:r>
      <w:proofErr w:type="gramEnd"/>
      <w:r>
        <w:rPr>
          <w:rFonts w:eastAsia="Calibri" w:cs="Times New Roman"/>
        </w:rPr>
        <w:t>y=1)</w:t>
      </w:r>
      <w:r w:rsidR="00AF16E7">
        <w:rPr>
          <w:rFonts w:eastAsia="Calibri" w:cs="Times New Roman"/>
        </w:rPr>
        <w:t xml:space="preserve">, se calcula con base en el coeficiente estimado </w:t>
      </w:r>
      <w:r>
        <w:rPr>
          <w:rFonts w:eastAsia="Calibri" w:cs="Times New Roman"/>
        </w:rPr>
        <w:t>b=-0,477 con la fórmula</w:t>
      </w:r>
      <w:r w:rsidR="00AF16E7">
        <w:rPr>
          <w:rFonts w:eastAsia="Calibri" w:cs="Times New Roman"/>
        </w:rPr>
        <w:t xml:space="preserve"> p(y=1)</w:t>
      </w:r>
      <w:r>
        <w:rPr>
          <w:rFonts w:eastAsia="Calibri" w:cs="Times New Roman"/>
        </w:rPr>
        <w:t xml:space="preserve"> </w:t>
      </w:r>
      <w:r w:rsidR="00AF16E7">
        <w:rPr>
          <w:rFonts w:eastAsia="Calibri" w:cs="Times New Roman"/>
        </w:rPr>
        <w:t>=</w:t>
      </w:r>
      <w:proofErr w:type="spellStart"/>
      <w:r w:rsidR="00AF16E7">
        <w:rPr>
          <w:rFonts w:eastAsia="Calibri" w:cs="Times New Roman"/>
        </w:rPr>
        <w:t>exp</w:t>
      </w:r>
      <w:proofErr w:type="spellEnd"/>
      <w:r w:rsidR="00AF16E7">
        <w:rPr>
          <w:rFonts w:eastAsia="Calibri" w:cs="Times New Roman"/>
        </w:rPr>
        <w:t>(b)/(1+exp(b). Esa probabilidad es 0.383. La probabilidad de no demandar el servicio es</w:t>
      </w:r>
      <w:r>
        <w:rPr>
          <w:rFonts w:eastAsia="Calibri" w:cs="Times New Roman"/>
        </w:rPr>
        <w:t xml:space="preserve">  </w:t>
      </w:r>
      <w:proofErr w:type="gramStart"/>
      <w:r w:rsidR="00AF16E7">
        <w:rPr>
          <w:rFonts w:eastAsia="Calibri" w:cs="Times New Roman"/>
        </w:rPr>
        <w:t>p(</w:t>
      </w:r>
      <w:proofErr w:type="gramEnd"/>
      <w:r w:rsidR="00AF16E7">
        <w:rPr>
          <w:rFonts w:eastAsia="Calibri" w:cs="Times New Roman"/>
        </w:rPr>
        <w:t>y=0)</w:t>
      </w:r>
      <w:r>
        <w:rPr>
          <w:rFonts w:eastAsia="Calibri" w:cs="Times New Roman"/>
        </w:rPr>
        <w:t xml:space="preserve"> </w:t>
      </w:r>
      <w:r w:rsidR="00AF16E7">
        <w:rPr>
          <w:rFonts w:eastAsia="Calibri" w:cs="Times New Roman"/>
        </w:rPr>
        <w:t>=</w:t>
      </w:r>
      <w:r w:rsidR="00AF16E7" w:rsidRPr="00756642">
        <w:rPr>
          <w:rFonts w:eastAsia="Calibri" w:cs="Times New Roman"/>
        </w:rPr>
        <w:t xml:space="preserve"> </w:t>
      </w:r>
      <w:proofErr w:type="spellStart"/>
      <w:r w:rsidR="00AF16E7">
        <w:rPr>
          <w:rFonts w:eastAsia="Calibri" w:cs="Times New Roman"/>
        </w:rPr>
        <w:t>exp</w:t>
      </w:r>
      <w:proofErr w:type="spellEnd"/>
      <w:r w:rsidR="00AF16E7">
        <w:rPr>
          <w:rFonts w:eastAsia="Calibri" w:cs="Times New Roman"/>
        </w:rPr>
        <w:t>(0)/(1+exp(0)= 1/2=0.5. Con estas dos cifras se pueden calcular la “</w:t>
      </w:r>
      <w:proofErr w:type="spellStart"/>
      <w:r w:rsidR="00AF16E7">
        <w:rPr>
          <w:rFonts w:eastAsia="Calibri" w:cs="Times New Roman"/>
        </w:rPr>
        <w:t>odds</w:t>
      </w:r>
      <w:proofErr w:type="spellEnd"/>
      <w:r w:rsidR="00AF16E7">
        <w:rPr>
          <w:rFonts w:eastAsia="Calibri" w:cs="Times New Roman"/>
        </w:rPr>
        <w:t xml:space="preserve"> ratio”,</w:t>
      </w:r>
      <w:r w:rsidR="00451299">
        <w:rPr>
          <w:rFonts w:eastAsia="Calibri" w:cs="Times New Roman"/>
        </w:rPr>
        <w:t xml:space="preserve"> que mide la </w:t>
      </w:r>
      <w:proofErr w:type="gramStart"/>
      <w:r w:rsidR="00451299">
        <w:rPr>
          <w:rFonts w:eastAsia="Calibri" w:cs="Times New Roman"/>
        </w:rPr>
        <w:t>p(</w:t>
      </w:r>
      <w:proofErr w:type="gramEnd"/>
      <w:r w:rsidR="00451299">
        <w:rPr>
          <w:rFonts w:eastAsia="Calibri" w:cs="Times New Roman"/>
        </w:rPr>
        <w:t>si)/p(no), con la fórmula</w:t>
      </w:r>
      <w:r w:rsidR="00AF16E7">
        <w:rPr>
          <w:rFonts w:eastAsia="Calibri" w:cs="Times New Roman"/>
        </w:rPr>
        <w:t xml:space="preserve"> p/(1-p)=0.383/0.5 = 0.621; y la diferencia</w:t>
      </w:r>
      <w:r w:rsidR="00451299">
        <w:rPr>
          <w:rFonts w:eastAsia="Calibri" w:cs="Times New Roman"/>
        </w:rPr>
        <w:t xml:space="preserve"> p(si) – p(no), con la fórmula</w:t>
      </w:r>
      <w:r w:rsidR="00AF16E7">
        <w:rPr>
          <w:rFonts w:eastAsia="Calibri" w:cs="Times New Roman"/>
        </w:rPr>
        <w:t xml:space="preserve"> </w:t>
      </w:r>
      <w:proofErr w:type="spellStart"/>
      <w:r w:rsidR="00AF16E7">
        <w:rPr>
          <w:rFonts w:eastAsia="Calibri" w:cs="Times New Roman"/>
        </w:rPr>
        <w:t>dp</w:t>
      </w:r>
      <w:proofErr w:type="spellEnd"/>
      <w:r w:rsidR="00AF16E7">
        <w:rPr>
          <w:rFonts w:eastAsia="Calibri" w:cs="Times New Roman"/>
        </w:rPr>
        <w:t>=p1-p0 =0,383</w:t>
      </w:r>
      <w:r w:rsidR="00451299">
        <w:rPr>
          <w:rFonts w:eastAsia="Calibri" w:cs="Times New Roman"/>
        </w:rPr>
        <w:t xml:space="preserve"> </w:t>
      </w:r>
      <w:r w:rsidR="00AF16E7">
        <w:rPr>
          <w:rFonts w:eastAsia="Calibri" w:cs="Times New Roman"/>
        </w:rPr>
        <w:t>-</w:t>
      </w:r>
      <w:r w:rsidR="00451299">
        <w:rPr>
          <w:rFonts w:eastAsia="Calibri" w:cs="Times New Roman"/>
        </w:rPr>
        <w:t xml:space="preserve"> </w:t>
      </w:r>
      <w:r w:rsidR="00AF16E7">
        <w:rPr>
          <w:rFonts w:eastAsia="Calibri" w:cs="Times New Roman"/>
        </w:rPr>
        <w:t>0.5 = -0.117.</w:t>
      </w:r>
      <w:r w:rsidR="00451299">
        <w:rPr>
          <w:rFonts w:eastAsia="Calibri" w:cs="Times New Roman"/>
        </w:rPr>
        <w:t xml:space="preserve"> Los </w:t>
      </w:r>
      <w:r w:rsidR="00451299">
        <w:rPr>
          <w:rFonts w:eastAsia="Calibri" w:cs="Times New Roman"/>
        </w:rPr>
        <w:lastRenderedPageBreak/>
        <w:t>tres indicadores calculados dependen del mismo parámetro inicial, que es el coeficiente</w:t>
      </w:r>
      <w:r w:rsidR="00FB349B">
        <w:rPr>
          <w:rFonts w:eastAsia="Calibri" w:cs="Times New Roman"/>
        </w:rPr>
        <w:t xml:space="preserve"> b</w:t>
      </w:r>
      <w:r w:rsidR="00451299">
        <w:rPr>
          <w:rFonts w:eastAsia="Calibri" w:cs="Times New Roman"/>
        </w:rPr>
        <w:t xml:space="preserve"> de  la función logística estimada</w:t>
      </w:r>
      <w:r w:rsidR="00FB349B">
        <w:rPr>
          <w:rFonts w:eastAsia="Calibri" w:cs="Times New Roman"/>
        </w:rPr>
        <w:t>.</w:t>
      </w:r>
      <w:r w:rsidR="00451299">
        <w:rPr>
          <w:rFonts w:eastAsia="Calibri" w:cs="Times New Roman"/>
        </w:rPr>
        <w:t xml:space="preserve"> </w:t>
      </w:r>
    </w:p>
    <w:p w:rsidR="00AF16E7" w:rsidRPr="007F25A6" w:rsidRDefault="00AF16E7" w:rsidP="00AF16E7">
      <w:pPr>
        <w:pStyle w:val="T-Figura"/>
        <w:rPr>
          <w:rFonts w:eastAsia="Calibri" w:cs="Times New Roman"/>
        </w:rPr>
      </w:pPr>
      <w:r>
        <w:t>C</w:t>
      </w:r>
      <w:r w:rsidR="00037098">
        <w:t>uadro A</w:t>
      </w:r>
      <w:r w:rsidR="00913F11">
        <w:t>1</w:t>
      </w:r>
      <w:r w:rsidR="00037098">
        <w:t>.</w:t>
      </w:r>
      <w:r w:rsidR="00CC759A">
        <w:t>1 – Cálculo de algunos parámetros de la d</w:t>
      </w:r>
      <w:r w:rsidRPr="006156B0">
        <w:t xml:space="preserve">emanda de los hogares por Telefonía Fija en cabeceras </w:t>
      </w:r>
      <w:r w:rsidRPr="00D94983">
        <w:t>municipales 2010 – 2012</w:t>
      </w:r>
    </w:p>
    <w:tbl>
      <w:tblPr>
        <w:tblW w:w="5205" w:type="dxa"/>
        <w:jc w:val="center"/>
        <w:tblInd w:w="55" w:type="dxa"/>
        <w:tblBorders>
          <w:top w:val="single" w:sz="4" w:space="0" w:color="BFBFBF" w:themeColor="background1" w:themeShade="BF"/>
          <w:bottom w:val="single" w:sz="4" w:space="0" w:color="BFBFBF" w:themeColor="background1" w:themeShade="BF"/>
          <w:insideH w:val="single" w:sz="4" w:space="0" w:color="BFBFBF" w:themeColor="background1" w:themeShade="BF"/>
        </w:tblBorders>
        <w:tblCellMar>
          <w:left w:w="70" w:type="dxa"/>
          <w:right w:w="70" w:type="dxa"/>
        </w:tblCellMar>
        <w:tblLook w:val="04A0"/>
      </w:tblPr>
      <w:tblGrid>
        <w:gridCol w:w="3963"/>
        <w:gridCol w:w="1096"/>
        <w:gridCol w:w="146"/>
      </w:tblGrid>
      <w:tr w:rsidR="00AF16E7" w:rsidRPr="00721439" w:rsidTr="006B0C9D">
        <w:trPr>
          <w:trHeight w:val="300"/>
          <w:jc w:val="center"/>
        </w:trPr>
        <w:tc>
          <w:tcPr>
            <w:tcW w:w="5205" w:type="dxa"/>
            <w:gridSpan w:val="3"/>
            <w:shd w:val="clear" w:color="auto" w:fill="BFBFBF" w:themeFill="background1" w:themeFillShade="BF"/>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2"/>
                <w:szCs w:val="22"/>
                <w:lang w:val="es-CO" w:eastAsia="es-CO"/>
              </w:rPr>
            </w:pPr>
            <w:r w:rsidRPr="00721439">
              <w:rPr>
                <w:rFonts w:ascii="Arial Narrow" w:eastAsia="Times New Roman" w:hAnsi="Arial Narrow" w:cs="Times New Roman"/>
                <w:b/>
                <w:color w:val="000000"/>
                <w:sz w:val="22"/>
                <w:szCs w:val="22"/>
                <w:lang w:val="es-CO" w:eastAsia="es-CO"/>
              </w:rPr>
              <w:t>Cálculos para T2012 - telefonía fija - cabeceras</w:t>
            </w:r>
          </w:p>
        </w:tc>
      </w:tr>
      <w:tr w:rsidR="00AF16E7" w:rsidRPr="00721439" w:rsidTr="006B0C9D">
        <w:trPr>
          <w:trHeight w:val="300"/>
          <w:jc w:val="center"/>
        </w:trPr>
        <w:tc>
          <w:tcPr>
            <w:tcW w:w="3963"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proofErr w:type="spellStart"/>
            <w:r w:rsidRPr="00721439">
              <w:rPr>
                <w:rFonts w:ascii="Arial Narrow" w:eastAsia="Times New Roman" w:hAnsi="Arial Narrow" w:cs="Times New Roman"/>
                <w:color w:val="000000"/>
                <w:sz w:val="22"/>
                <w:szCs w:val="22"/>
                <w:lang w:val="es-CO" w:eastAsia="es-CO"/>
              </w:rPr>
              <w:t>coef</w:t>
            </w:r>
            <w:proofErr w:type="spellEnd"/>
            <w:r w:rsidRPr="00721439">
              <w:rPr>
                <w:rFonts w:ascii="Arial Narrow" w:eastAsia="Times New Roman" w:hAnsi="Arial Narrow" w:cs="Times New Roman"/>
                <w:color w:val="000000"/>
                <w:sz w:val="22"/>
                <w:szCs w:val="22"/>
                <w:lang w:val="es-CO" w:eastAsia="es-CO"/>
              </w:rPr>
              <w:t xml:space="preserve"> b (T2012)</w:t>
            </w:r>
          </w:p>
        </w:tc>
        <w:tc>
          <w:tcPr>
            <w:tcW w:w="1096" w:type="dxa"/>
            <w:shd w:val="clear" w:color="auto" w:fill="auto"/>
            <w:noWrap/>
            <w:vAlign w:val="bottom"/>
            <w:hideMark/>
          </w:tcPr>
          <w:p w:rsidR="00AF16E7" w:rsidRPr="00721439" w:rsidRDefault="00AF16E7" w:rsidP="006B0C9D">
            <w:pPr>
              <w:spacing w:before="0" w:line="240" w:lineRule="auto"/>
              <w:jc w:val="right"/>
              <w:rPr>
                <w:rFonts w:ascii="Arial Narrow" w:eastAsia="Times New Roman" w:hAnsi="Arial Narrow" w:cs="Times New Roman"/>
                <w:color w:val="000000"/>
                <w:sz w:val="22"/>
                <w:szCs w:val="22"/>
                <w:lang w:val="es-CO" w:eastAsia="es-CO"/>
              </w:rPr>
            </w:pPr>
            <w:r w:rsidRPr="00721439">
              <w:rPr>
                <w:rFonts w:ascii="Arial Narrow" w:eastAsia="Times New Roman" w:hAnsi="Arial Narrow" w:cs="Times New Roman"/>
                <w:color w:val="000000"/>
                <w:sz w:val="22"/>
                <w:szCs w:val="22"/>
                <w:lang w:val="es-CO" w:eastAsia="es-CO"/>
              </w:rPr>
              <w:t>-0.477</w:t>
            </w:r>
          </w:p>
        </w:tc>
        <w:tc>
          <w:tcPr>
            <w:tcW w:w="146"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p>
        </w:tc>
      </w:tr>
      <w:tr w:rsidR="00AF16E7" w:rsidRPr="00721439" w:rsidTr="006B0C9D">
        <w:trPr>
          <w:trHeight w:val="300"/>
          <w:jc w:val="center"/>
        </w:trPr>
        <w:tc>
          <w:tcPr>
            <w:tcW w:w="3963"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r w:rsidRPr="00721439">
              <w:rPr>
                <w:rFonts w:ascii="Arial Narrow" w:eastAsia="Times New Roman" w:hAnsi="Arial Narrow" w:cs="Times New Roman"/>
                <w:color w:val="000000"/>
                <w:sz w:val="22"/>
                <w:szCs w:val="22"/>
                <w:lang w:val="es-CO" w:eastAsia="es-CO"/>
              </w:rPr>
              <w:t xml:space="preserve">p(y=1) = </w:t>
            </w:r>
            <w:proofErr w:type="spellStart"/>
            <w:r w:rsidRPr="00721439">
              <w:rPr>
                <w:rFonts w:ascii="Arial Narrow" w:eastAsia="Times New Roman" w:hAnsi="Arial Narrow" w:cs="Times New Roman"/>
                <w:color w:val="000000"/>
                <w:sz w:val="22"/>
                <w:szCs w:val="22"/>
                <w:lang w:val="es-CO" w:eastAsia="es-CO"/>
              </w:rPr>
              <w:t>exp</w:t>
            </w:r>
            <w:proofErr w:type="spellEnd"/>
            <w:r w:rsidRPr="00721439">
              <w:rPr>
                <w:rFonts w:ascii="Arial Narrow" w:eastAsia="Times New Roman" w:hAnsi="Arial Narrow" w:cs="Times New Roman"/>
                <w:color w:val="000000"/>
                <w:sz w:val="22"/>
                <w:szCs w:val="22"/>
                <w:lang w:val="es-CO" w:eastAsia="es-CO"/>
              </w:rPr>
              <w:t>(b)/(1+exp(b))</w:t>
            </w:r>
          </w:p>
        </w:tc>
        <w:tc>
          <w:tcPr>
            <w:tcW w:w="1096" w:type="dxa"/>
            <w:shd w:val="clear" w:color="auto" w:fill="auto"/>
            <w:noWrap/>
            <w:vAlign w:val="bottom"/>
            <w:hideMark/>
          </w:tcPr>
          <w:p w:rsidR="00AF16E7" w:rsidRPr="00721439" w:rsidRDefault="00AF16E7" w:rsidP="006B0C9D">
            <w:pPr>
              <w:spacing w:before="0" w:line="240" w:lineRule="auto"/>
              <w:jc w:val="right"/>
              <w:rPr>
                <w:rFonts w:ascii="Arial Narrow" w:eastAsia="Times New Roman" w:hAnsi="Arial Narrow" w:cs="Times New Roman"/>
                <w:color w:val="000000"/>
                <w:sz w:val="22"/>
                <w:szCs w:val="22"/>
                <w:lang w:val="es-CO" w:eastAsia="es-CO"/>
              </w:rPr>
            </w:pPr>
            <w:r w:rsidRPr="00721439">
              <w:rPr>
                <w:rFonts w:ascii="Arial Narrow" w:eastAsia="Times New Roman" w:hAnsi="Arial Narrow" w:cs="Times New Roman"/>
                <w:color w:val="000000"/>
                <w:sz w:val="22"/>
                <w:szCs w:val="22"/>
                <w:lang w:val="es-CO" w:eastAsia="es-CO"/>
              </w:rPr>
              <w:t>0.383</w:t>
            </w:r>
          </w:p>
        </w:tc>
        <w:tc>
          <w:tcPr>
            <w:tcW w:w="146"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p>
        </w:tc>
      </w:tr>
      <w:tr w:rsidR="00AF16E7" w:rsidRPr="00721439" w:rsidTr="006B0C9D">
        <w:trPr>
          <w:trHeight w:val="300"/>
          <w:jc w:val="center"/>
        </w:trPr>
        <w:tc>
          <w:tcPr>
            <w:tcW w:w="3963"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r w:rsidRPr="00721439">
              <w:rPr>
                <w:rFonts w:ascii="Arial Narrow" w:eastAsia="Times New Roman" w:hAnsi="Arial Narrow" w:cs="Times New Roman"/>
                <w:color w:val="000000"/>
                <w:sz w:val="22"/>
                <w:szCs w:val="22"/>
                <w:lang w:val="es-CO" w:eastAsia="es-CO"/>
              </w:rPr>
              <w:t xml:space="preserve">P(y=0)= </w:t>
            </w:r>
            <w:proofErr w:type="spellStart"/>
            <w:r w:rsidRPr="00721439">
              <w:rPr>
                <w:rFonts w:ascii="Arial Narrow" w:eastAsia="Times New Roman" w:hAnsi="Arial Narrow" w:cs="Times New Roman"/>
                <w:color w:val="000000"/>
                <w:sz w:val="22"/>
                <w:szCs w:val="22"/>
                <w:lang w:val="es-CO" w:eastAsia="es-CO"/>
              </w:rPr>
              <w:t>exp</w:t>
            </w:r>
            <w:proofErr w:type="spellEnd"/>
            <w:r w:rsidRPr="00721439">
              <w:rPr>
                <w:rFonts w:ascii="Arial Narrow" w:eastAsia="Times New Roman" w:hAnsi="Arial Narrow" w:cs="Times New Roman"/>
                <w:color w:val="000000"/>
                <w:sz w:val="22"/>
                <w:szCs w:val="22"/>
                <w:lang w:val="es-CO" w:eastAsia="es-CO"/>
              </w:rPr>
              <w:t>(0)/(1+exp(0))</w:t>
            </w:r>
          </w:p>
        </w:tc>
        <w:tc>
          <w:tcPr>
            <w:tcW w:w="1096" w:type="dxa"/>
            <w:shd w:val="clear" w:color="auto" w:fill="auto"/>
            <w:noWrap/>
            <w:vAlign w:val="bottom"/>
            <w:hideMark/>
          </w:tcPr>
          <w:p w:rsidR="00AF16E7" w:rsidRPr="00721439" w:rsidRDefault="00AF16E7" w:rsidP="006B0C9D">
            <w:pPr>
              <w:spacing w:before="0" w:line="240" w:lineRule="auto"/>
              <w:jc w:val="right"/>
              <w:rPr>
                <w:rFonts w:ascii="Arial Narrow" w:eastAsia="Times New Roman" w:hAnsi="Arial Narrow" w:cs="Times New Roman"/>
                <w:color w:val="000000"/>
                <w:sz w:val="22"/>
                <w:szCs w:val="22"/>
                <w:lang w:val="es-CO" w:eastAsia="es-CO"/>
              </w:rPr>
            </w:pPr>
            <w:r w:rsidRPr="00721439">
              <w:rPr>
                <w:rFonts w:ascii="Arial Narrow" w:eastAsia="Times New Roman" w:hAnsi="Arial Narrow" w:cs="Times New Roman"/>
                <w:color w:val="000000"/>
                <w:sz w:val="22"/>
                <w:szCs w:val="22"/>
                <w:lang w:val="es-CO" w:eastAsia="es-CO"/>
              </w:rPr>
              <w:t>0.500</w:t>
            </w:r>
          </w:p>
        </w:tc>
        <w:tc>
          <w:tcPr>
            <w:tcW w:w="146"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p>
        </w:tc>
      </w:tr>
      <w:tr w:rsidR="00AF16E7" w:rsidRPr="00721439" w:rsidTr="006B0C9D">
        <w:trPr>
          <w:trHeight w:val="300"/>
          <w:jc w:val="center"/>
        </w:trPr>
        <w:tc>
          <w:tcPr>
            <w:tcW w:w="3963"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r w:rsidRPr="00721439">
              <w:rPr>
                <w:rFonts w:ascii="Arial Narrow" w:eastAsia="Times New Roman" w:hAnsi="Arial Narrow" w:cs="Times New Roman"/>
                <w:color w:val="000000"/>
                <w:sz w:val="22"/>
                <w:szCs w:val="22"/>
                <w:lang w:val="es-CO" w:eastAsia="es-CO"/>
              </w:rPr>
              <w:t>p/(1-p)</w:t>
            </w:r>
          </w:p>
        </w:tc>
        <w:tc>
          <w:tcPr>
            <w:tcW w:w="1096" w:type="dxa"/>
            <w:shd w:val="clear" w:color="auto" w:fill="auto"/>
            <w:noWrap/>
            <w:vAlign w:val="bottom"/>
            <w:hideMark/>
          </w:tcPr>
          <w:p w:rsidR="00AF16E7" w:rsidRPr="00721439" w:rsidRDefault="00AF16E7" w:rsidP="006B0C9D">
            <w:pPr>
              <w:spacing w:before="0" w:line="240" w:lineRule="auto"/>
              <w:jc w:val="right"/>
              <w:rPr>
                <w:rFonts w:ascii="Arial Narrow" w:eastAsia="Times New Roman" w:hAnsi="Arial Narrow" w:cs="Times New Roman"/>
                <w:color w:val="000000"/>
                <w:sz w:val="22"/>
                <w:szCs w:val="22"/>
                <w:lang w:val="es-CO" w:eastAsia="es-CO"/>
              </w:rPr>
            </w:pPr>
            <w:r w:rsidRPr="00721439">
              <w:rPr>
                <w:rFonts w:ascii="Arial Narrow" w:eastAsia="Times New Roman" w:hAnsi="Arial Narrow" w:cs="Times New Roman"/>
                <w:color w:val="000000"/>
                <w:sz w:val="22"/>
                <w:szCs w:val="22"/>
                <w:lang w:val="es-CO" w:eastAsia="es-CO"/>
              </w:rPr>
              <w:t>0.621</w:t>
            </w:r>
          </w:p>
        </w:tc>
        <w:tc>
          <w:tcPr>
            <w:tcW w:w="146"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p>
        </w:tc>
      </w:tr>
      <w:tr w:rsidR="00AF16E7" w:rsidRPr="00721439" w:rsidTr="006B0C9D">
        <w:trPr>
          <w:trHeight w:val="300"/>
          <w:jc w:val="center"/>
        </w:trPr>
        <w:tc>
          <w:tcPr>
            <w:tcW w:w="3963"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proofErr w:type="spellStart"/>
            <w:r w:rsidRPr="00721439">
              <w:rPr>
                <w:rFonts w:ascii="Arial Narrow" w:eastAsia="Times New Roman" w:hAnsi="Arial Narrow" w:cs="Times New Roman"/>
                <w:color w:val="000000"/>
                <w:sz w:val="22"/>
                <w:szCs w:val="22"/>
                <w:lang w:val="es-CO" w:eastAsia="es-CO"/>
              </w:rPr>
              <w:t>dp</w:t>
            </w:r>
            <w:proofErr w:type="spellEnd"/>
            <w:r w:rsidRPr="00721439">
              <w:rPr>
                <w:rFonts w:ascii="Arial Narrow" w:eastAsia="Times New Roman" w:hAnsi="Arial Narrow" w:cs="Times New Roman"/>
                <w:color w:val="000000"/>
                <w:sz w:val="22"/>
                <w:szCs w:val="22"/>
                <w:lang w:val="es-CO" w:eastAsia="es-CO"/>
              </w:rPr>
              <w:t xml:space="preserve"> = p1-p0</w:t>
            </w:r>
          </w:p>
        </w:tc>
        <w:tc>
          <w:tcPr>
            <w:tcW w:w="1096" w:type="dxa"/>
            <w:shd w:val="clear" w:color="auto" w:fill="auto"/>
            <w:noWrap/>
            <w:vAlign w:val="bottom"/>
            <w:hideMark/>
          </w:tcPr>
          <w:p w:rsidR="00AF16E7" w:rsidRPr="00721439" w:rsidRDefault="00AF16E7" w:rsidP="006B0C9D">
            <w:pPr>
              <w:spacing w:before="0" w:line="240" w:lineRule="auto"/>
              <w:jc w:val="right"/>
              <w:rPr>
                <w:rFonts w:ascii="Arial Narrow" w:eastAsia="Times New Roman" w:hAnsi="Arial Narrow" w:cs="Times New Roman"/>
                <w:color w:val="000000"/>
                <w:sz w:val="22"/>
                <w:szCs w:val="22"/>
                <w:lang w:val="es-CO" w:eastAsia="es-CO"/>
              </w:rPr>
            </w:pPr>
            <w:r w:rsidRPr="00721439">
              <w:rPr>
                <w:rFonts w:ascii="Arial Narrow" w:eastAsia="Times New Roman" w:hAnsi="Arial Narrow" w:cs="Times New Roman"/>
                <w:color w:val="000000"/>
                <w:sz w:val="22"/>
                <w:szCs w:val="22"/>
                <w:lang w:val="es-CO" w:eastAsia="es-CO"/>
              </w:rPr>
              <w:t>-0.117</w:t>
            </w:r>
          </w:p>
        </w:tc>
        <w:tc>
          <w:tcPr>
            <w:tcW w:w="146" w:type="dxa"/>
            <w:shd w:val="clear" w:color="auto" w:fill="auto"/>
            <w:noWrap/>
            <w:vAlign w:val="bottom"/>
            <w:hideMark/>
          </w:tcPr>
          <w:p w:rsidR="00AF16E7" w:rsidRPr="00721439" w:rsidRDefault="00AF16E7" w:rsidP="006B0C9D">
            <w:pPr>
              <w:spacing w:before="0" w:line="240" w:lineRule="auto"/>
              <w:jc w:val="left"/>
              <w:rPr>
                <w:rFonts w:ascii="Arial Narrow" w:eastAsia="Times New Roman" w:hAnsi="Arial Narrow" w:cs="Times New Roman"/>
                <w:color w:val="000000"/>
                <w:sz w:val="22"/>
                <w:szCs w:val="22"/>
                <w:lang w:val="es-CO" w:eastAsia="es-CO"/>
              </w:rPr>
            </w:pPr>
          </w:p>
        </w:tc>
      </w:tr>
    </w:tbl>
    <w:p w:rsidR="00AF16E7" w:rsidRPr="0090467E" w:rsidRDefault="00AF16E7" w:rsidP="00AF16E7">
      <w:pPr>
        <w:spacing w:before="0" w:after="120"/>
        <w:jc w:val="center"/>
        <w:rPr>
          <w:rFonts w:ascii="Century Gothic" w:eastAsia="Calibri" w:hAnsi="Century Gothic" w:cs="Times New Roman"/>
          <w:color w:val="404040" w:themeColor="text1" w:themeTint="BF"/>
          <w:sz w:val="18"/>
          <w:szCs w:val="18"/>
        </w:rPr>
      </w:pPr>
      <w:r w:rsidRPr="0090467E">
        <w:rPr>
          <w:rFonts w:ascii="Century Gothic" w:eastAsia="Calibri" w:hAnsi="Century Gothic" w:cs="Times New Roman"/>
          <w:color w:val="404040" w:themeColor="text1" w:themeTint="BF"/>
          <w:sz w:val="18"/>
          <w:szCs w:val="18"/>
        </w:rPr>
        <w:t>Fuente: Elaboración propia</w:t>
      </w:r>
    </w:p>
    <w:p w:rsidR="00AF16E7" w:rsidRDefault="00AF16E7" w:rsidP="00AF16E7">
      <w:pPr>
        <w:rPr>
          <w:rFonts w:eastAsia="Calibri" w:cs="Times New Roman"/>
        </w:rPr>
      </w:pPr>
      <w:r w:rsidRPr="00562726">
        <w:rPr>
          <w:rFonts w:eastAsia="Calibri" w:cs="Times New Roman"/>
        </w:rPr>
        <w:t>Con base en estos cálculos, a continuación se presentan los resultados de las estimaciones de demanda para los cuatro ser</w:t>
      </w:r>
      <w:r w:rsidR="00037098">
        <w:rPr>
          <w:rFonts w:eastAsia="Calibri" w:cs="Times New Roman"/>
        </w:rPr>
        <w:t xml:space="preserve">vicios en cuestión, </w:t>
      </w:r>
      <w:r w:rsidRPr="00D61C98">
        <w:rPr>
          <w:rFonts w:eastAsia="Calibri" w:cs="Times New Roman"/>
        </w:rPr>
        <w:t xml:space="preserve">siguiendo la secuencia de acceso al mundo digital que se inicia a partir de los servicios de </w:t>
      </w:r>
      <w:r>
        <w:rPr>
          <w:rFonts w:eastAsia="Calibri" w:cs="Times New Roman"/>
        </w:rPr>
        <w:t>telefonía fija convencional, siguiendo con</w:t>
      </w:r>
      <w:r w:rsidRPr="00D61C98">
        <w:rPr>
          <w:rFonts w:eastAsia="Calibri" w:cs="Times New Roman"/>
        </w:rPr>
        <w:t xml:space="preserve"> la introducción de la telefonía </w:t>
      </w:r>
      <w:r>
        <w:rPr>
          <w:rFonts w:eastAsia="Calibri" w:cs="Times New Roman"/>
        </w:rPr>
        <w:t>móvil</w:t>
      </w:r>
      <w:r w:rsidRPr="00D61C98">
        <w:rPr>
          <w:rFonts w:eastAsia="Calibri" w:cs="Times New Roman"/>
        </w:rPr>
        <w:t>, la televisión por suscripción y, finalmente</w:t>
      </w:r>
      <w:r>
        <w:rPr>
          <w:rFonts w:eastAsia="Calibri" w:cs="Times New Roman"/>
        </w:rPr>
        <w:t>,</w:t>
      </w:r>
      <w:r w:rsidRPr="00D61C98">
        <w:rPr>
          <w:rFonts w:eastAsia="Calibri" w:cs="Times New Roman"/>
        </w:rPr>
        <w:t xml:space="preserve"> con el Internet.</w:t>
      </w:r>
    </w:p>
    <w:p w:rsidR="001267EB" w:rsidRDefault="001267EB" w:rsidP="00AF16E7">
      <w:pPr>
        <w:rPr>
          <w:rFonts w:eastAsia="Calibri" w:cs="Times New Roman"/>
        </w:rPr>
      </w:pPr>
      <w:r>
        <w:rPr>
          <w:rFonts w:eastAsia="Calibri" w:cs="Times New Roman"/>
        </w:rPr>
        <w:t>El siguiente esquema muestra gráficamente la lógica del modelo:</w:t>
      </w:r>
    </w:p>
    <w:p w:rsidR="001267EB" w:rsidRPr="001267EB" w:rsidRDefault="001267EB" w:rsidP="001267EB">
      <w:pPr>
        <w:jc w:val="center"/>
        <w:rPr>
          <w:rFonts w:ascii="Century Gothic" w:eastAsiaTheme="majorEastAsia" w:hAnsi="Century Gothic" w:cstheme="majorBidi"/>
          <w:b/>
          <w:bCs/>
          <w:color w:val="C00000"/>
          <w:sz w:val="20"/>
          <w:szCs w:val="20"/>
          <w:lang w:val="es-CO"/>
        </w:rPr>
      </w:pPr>
      <w:r>
        <w:rPr>
          <w:rFonts w:ascii="Century Gothic" w:eastAsiaTheme="majorEastAsia" w:hAnsi="Century Gothic" w:cstheme="majorBidi"/>
          <w:b/>
          <w:bCs/>
          <w:color w:val="C00000"/>
          <w:sz w:val="20"/>
          <w:szCs w:val="20"/>
          <w:lang w:val="es-CO"/>
        </w:rPr>
        <w:t>Gráfica</w:t>
      </w:r>
      <w:r w:rsidRPr="001267EB">
        <w:rPr>
          <w:rFonts w:ascii="Century Gothic" w:eastAsiaTheme="majorEastAsia" w:hAnsi="Century Gothic" w:cstheme="majorBidi"/>
          <w:b/>
          <w:bCs/>
          <w:color w:val="C00000"/>
          <w:sz w:val="20"/>
          <w:szCs w:val="20"/>
          <w:lang w:val="es-CO"/>
        </w:rPr>
        <w:t xml:space="preserve"> A1.1 – </w:t>
      </w:r>
      <w:r w:rsidR="006069A0" w:rsidRPr="006069A0">
        <w:rPr>
          <w:rFonts w:ascii="Century Gothic" w:eastAsiaTheme="majorEastAsia" w:hAnsi="Century Gothic" w:cstheme="majorBidi"/>
          <w:b/>
          <w:bCs/>
          <w:color w:val="C00000"/>
          <w:sz w:val="20"/>
          <w:szCs w:val="20"/>
          <w:lang w:val="es-CO"/>
        </w:rPr>
        <w:t>Estimación econométrica de la demanda por servicios de Internet, Telefonía Móvil, Telefonía Fija y Televisión por Suscripción</w:t>
      </w:r>
    </w:p>
    <w:p w:rsidR="008960E1" w:rsidRDefault="00472471" w:rsidP="00AF16E7">
      <w:pPr>
        <w:rPr>
          <w:rFonts w:eastAsia="Calibri" w:cs="Times New Roman"/>
        </w:rPr>
      </w:pPr>
      <w:r w:rsidRPr="00472471">
        <w:rPr>
          <w:rFonts w:eastAsia="Calibri" w:cs="Times New Roman"/>
          <w:noProof/>
          <w:lang w:val="es-CO" w:eastAsia="es-CO"/>
        </w:rPr>
        <w:drawing>
          <wp:inline distT="0" distB="0" distL="0" distR="0">
            <wp:extent cx="5612130" cy="1925955"/>
            <wp:effectExtent l="19050" t="0" r="0" b="0"/>
            <wp:docPr id="44" name="Objeto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928994" cy="3063931"/>
                      <a:chOff x="251520" y="2276896"/>
                      <a:chExt cx="8928994" cy="3063931"/>
                    </a:xfrm>
                  </a:grpSpPr>
                  <a:grpSp>
                    <a:nvGrpSpPr>
                      <a:cNvPr id="28" name="13 Grupo"/>
                      <a:cNvGrpSpPr>
                        <a:grpSpLocks/>
                      </a:cNvGrpSpPr>
                    </a:nvGrpSpPr>
                    <a:grpSpPr bwMode="auto">
                      <a:xfrm>
                        <a:off x="2764949" y="2542740"/>
                        <a:ext cx="5983514" cy="1030276"/>
                        <a:chOff x="2775821" y="3717121"/>
                        <a:chExt cx="4587983" cy="670167"/>
                      </a:xfrm>
                    </a:grpSpPr>
                    <a:sp>
                      <a:nvSpPr>
                        <a:cNvPr id="29" name="28 Rectángulo redondeado"/>
                        <a:cNvSpPr/>
                      </a:nvSpPr>
                      <a:spPr bwMode="auto">
                        <a:xfrm>
                          <a:off x="7046043" y="3717121"/>
                          <a:ext cx="317761" cy="670167"/>
                        </a:xfrm>
                        <a:prstGeom prst="roundRect">
                          <a:avLst/>
                        </a:prstGeom>
                        <a:solidFill>
                          <a:schemeClr val="accent5">
                            <a:lumMod val="60000"/>
                            <a:lumOff val="40000"/>
                          </a:schemeClr>
                        </a:solidFill>
                        <a:ln>
                          <a:noFill/>
                        </a:ln>
                      </a:spPr>
                      <a:txSp>
                        <a:txBody>
                          <a:bodyPr anchor="ctr"/>
                          <a:lstStyle>
                            <a:defPPr>
                              <a:defRPr lang="es-CO"/>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es-CO" sz="2800" dirty="0" smtClean="0">
                                <a:solidFill>
                                  <a:schemeClr val="tx1"/>
                                </a:solidFill>
                                <a:latin typeface="Impact" pitchFamily="34" charset="0"/>
                              </a:rPr>
                              <a:t>t</a:t>
                            </a:r>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4" name="10 Grupo"/>
                        <a:cNvGrpSpPr>
                          <a:grpSpLocks/>
                        </a:cNvGrpSpPr>
                      </a:nvGrpSpPr>
                      <a:grpSpPr bwMode="auto">
                        <a:xfrm>
                          <a:off x="2775821" y="3717716"/>
                          <a:ext cx="4201489" cy="669572"/>
                          <a:chOff x="1623185" y="3645708"/>
                          <a:chExt cx="4201489" cy="669572"/>
                        </a:xfrm>
                      </a:grpSpPr>
                      <a:sp>
                        <a:nvSpPr>
                          <a:cNvPr id="31" name="30 Rectángulo redondeado"/>
                          <a:cNvSpPr/>
                        </a:nvSpPr>
                        <a:spPr>
                          <a:xfrm>
                            <a:off x="2764013" y="3645708"/>
                            <a:ext cx="2122028" cy="665434"/>
                          </a:xfrm>
                          <a:prstGeom prst="roundRect">
                            <a:avLst/>
                          </a:prstGeom>
                          <a:solidFill>
                            <a:schemeClr val="accent5">
                              <a:lumMod val="40000"/>
                              <a:lumOff val="60000"/>
                            </a:schemeClr>
                          </a:solidFill>
                          <a:ln>
                            <a:noFill/>
                          </a:ln>
                        </a:spPr>
                        <a:txSp>
                          <a:txBody>
                            <a:bodyPr anchor="ctr"/>
                            <a:lstStyle>
                              <a:defPPr>
                                <a:defRPr lang="es-CO"/>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es-CO" sz="2400" dirty="0">
                                  <a:solidFill>
                                    <a:schemeClr val="tx1"/>
                                  </a:solidFill>
                                  <a:latin typeface="Impact" pitchFamily="34" charset="0"/>
                                </a:rPr>
                                <a:t>Nivel de Educación</a:t>
                              </a:r>
                            </a:p>
                            <a:p>
                              <a:pPr algn="ctr">
                                <a:defRPr/>
                              </a:pPr>
                              <a:r>
                                <a:rPr lang="es-CO" sz="1400" dirty="0">
                                  <a:solidFill>
                                    <a:schemeClr val="tx1"/>
                                  </a:solidFill>
                                  <a:latin typeface="Impact" pitchFamily="34" charset="0"/>
                                </a:rPr>
                                <a:t>Básica, Media, </a:t>
                              </a:r>
                              <a:r>
                                <a:rPr lang="es-CO" sz="1400" dirty="0" smtClean="0">
                                  <a:solidFill>
                                    <a:schemeClr val="tx1"/>
                                  </a:solidFill>
                                  <a:latin typeface="Impact" pitchFamily="34" charset="0"/>
                                </a:rPr>
                                <a:t>Técnica, Superior</a:t>
                              </a:r>
                              <a:endParaRPr lang="es-CO" sz="1400" dirty="0">
                                <a:solidFill>
                                  <a:schemeClr val="tx1"/>
                                </a:solidFill>
                                <a:latin typeface="Impact"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32" name="31 Rectángulo redondeado"/>
                          <a:cNvSpPr/>
                        </a:nvSpPr>
                        <a:spPr>
                          <a:xfrm>
                            <a:off x="4935214" y="3645708"/>
                            <a:ext cx="889460" cy="287407"/>
                          </a:xfrm>
                          <a:prstGeom prst="roundRect">
                            <a:avLst/>
                          </a:prstGeom>
                          <a:solidFill>
                            <a:schemeClr val="accent5">
                              <a:lumMod val="40000"/>
                              <a:lumOff val="60000"/>
                            </a:schemeClr>
                          </a:solidFill>
                          <a:ln>
                            <a:noFill/>
                          </a:ln>
                        </a:spPr>
                        <a:txSp>
                          <a:txBody>
                            <a:bodyPr anchor="ctr"/>
                            <a:lstStyle>
                              <a:defPPr>
                                <a:defRPr lang="es-CO"/>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es-CO" sz="2400" dirty="0">
                                  <a:solidFill>
                                    <a:schemeClr val="tx1"/>
                                  </a:solidFill>
                                  <a:latin typeface="Impact" pitchFamily="34" charset="0"/>
                                </a:rPr>
                                <a:t>Región</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33" name="32 Rectángulo redondeado"/>
                          <a:cNvSpPr/>
                        </a:nvSpPr>
                        <a:spPr>
                          <a:xfrm>
                            <a:off x="1623185" y="3665750"/>
                            <a:ext cx="1100898" cy="649530"/>
                          </a:xfrm>
                          <a:prstGeom prst="roundRect">
                            <a:avLst/>
                          </a:prstGeom>
                          <a:solidFill>
                            <a:schemeClr val="accent5">
                              <a:lumMod val="40000"/>
                              <a:lumOff val="60000"/>
                            </a:schemeClr>
                          </a:solidFill>
                          <a:ln>
                            <a:noFill/>
                          </a:ln>
                        </a:spPr>
                        <a:txSp>
                          <a:txBody>
                            <a:bodyPr anchor="ctr"/>
                            <a:lstStyle>
                              <a:defPPr>
                                <a:defRPr lang="es-CO"/>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es-CO" sz="2400" dirty="0">
                                  <a:solidFill>
                                    <a:schemeClr val="tx1"/>
                                  </a:solidFill>
                                  <a:latin typeface="Impact" pitchFamily="34" charset="0"/>
                                </a:rPr>
                                <a:t>Ingreso Familiar</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34" name="33 Rectángulo redondeado"/>
                          <a:cNvSpPr/>
                        </a:nvSpPr>
                        <a:spPr>
                          <a:xfrm>
                            <a:off x="4935214" y="4005114"/>
                            <a:ext cx="889460" cy="310165"/>
                          </a:xfrm>
                          <a:prstGeom prst="roundRect">
                            <a:avLst/>
                          </a:prstGeom>
                          <a:solidFill>
                            <a:schemeClr val="accent5">
                              <a:lumMod val="40000"/>
                              <a:lumOff val="60000"/>
                            </a:schemeClr>
                          </a:solidFill>
                          <a:ln>
                            <a:noFill/>
                          </a:ln>
                        </a:spPr>
                        <a:txSp>
                          <a:txBody>
                            <a:bodyPr anchor="ctr"/>
                            <a:lstStyle>
                              <a:defPPr>
                                <a:defRPr lang="es-CO"/>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es-CO" sz="2400" dirty="0">
                                  <a:solidFill>
                                    <a:schemeClr val="tx1"/>
                                  </a:solidFill>
                                  <a:latin typeface="Impact" pitchFamily="34" charset="0"/>
                                </a:rPr>
                                <a:t>Edad</a:t>
                              </a:r>
                            </a:p>
                          </a:txBody>
                          <a:useSpRect/>
                        </a:txSp>
                        <a:style>
                          <a:lnRef idx="2">
                            <a:schemeClr val="accent1">
                              <a:shade val="50000"/>
                            </a:schemeClr>
                          </a:lnRef>
                          <a:fillRef idx="1">
                            <a:schemeClr val="accent1"/>
                          </a:fillRef>
                          <a:effectRef idx="0">
                            <a:schemeClr val="accent1"/>
                          </a:effectRef>
                          <a:fontRef idx="minor">
                            <a:schemeClr val="lt1"/>
                          </a:fontRef>
                        </a:style>
                      </a:sp>
                    </a:grpSp>
                  </a:grpSp>
                  <a:sp>
                    <a:nvSpPr>
                      <a:cNvPr id="35" name="34 Rectángulo redondeado"/>
                      <a:cNvSpPr/>
                    </a:nvSpPr>
                    <a:spPr bwMode="auto">
                      <a:xfrm>
                        <a:off x="251520" y="2603634"/>
                        <a:ext cx="2448272" cy="963019"/>
                      </a:xfrm>
                      <a:prstGeom prst="roundRect">
                        <a:avLst/>
                      </a:prstGeom>
                      <a:solidFill>
                        <a:schemeClr val="accent6">
                          <a:lumMod val="50000"/>
                        </a:schemeClr>
                      </a:solidFill>
                      <a:ln>
                        <a:noFill/>
                      </a:ln>
                    </a:spPr>
                    <a:txSp>
                      <a:txBody>
                        <a:bodyPr anchor="ctr"/>
                        <a:lstStyle>
                          <a:defPPr>
                            <a:defRPr lang="es-CO"/>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es-CO" dirty="0" smtClean="0">
                              <a:solidFill>
                                <a:schemeClr val="accent6">
                                  <a:lumMod val="20000"/>
                                  <a:lumOff val="80000"/>
                                </a:schemeClr>
                              </a:solidFill>
                              <a:latin typeface="Impact" pitchFamily="34" charset="0"/>
                            </a:rPr>
                            <a:t>Probabilidad de tener – probabilidad de no tener el servicio</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36" name="35 CuadroTexto"/>
                      <a:cNvSpPr txBox="1"/>
                    </a:nvSpPr>
                    <a:spPr>
                      <a:xfrm>
                        <a:off x="539552" y="2276896"/>
                        <a:ext cx="1944216" cy="216000"/>
                      </a:xfrm>
                      <a:prstGeom prst="roundRect">
                        <a:avLst/>
                      </a:prstGeom>
                      <a:solidFill>
                        <a:schemeClr val="accent6">
                          <a:lumMod val="50000"/>
                        </a:schemeClr>
                      </a:solidFill>
                      <a:ln>
                        <a:noFill/>
                      </a:ln>
                    </a:spPr>
                    <a:txSp>
                      <a:txBody>
                        <a:bodyPr anchor="ctr"/>
                        <a:lstStyle>
                          <a:defPPr>
                            <a:defRPr lang="es-CO"/>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r>
                            <a:rPr lang="es-CO" dirty="0">
                              <a:solidFill>
                                <a:schemeClr val="accent6">
                                  <a:lumMod val="20000"/>
                                  <a:lumOff val="80000"/>
                                </a:schemeClr>
                              </a:solidFill>
                            </a:rPr>
                            <a:t>V. </a:t>
                          </a:r>
                          <a:r>
                            <a:rPr lang="es-CO" dirty="0" smtClean="0">
                              <a:solidFill>
                                <a:schemeClr val="accent6">
                                  <a:lumMod val="20000"/>
                                  <a:lumOff val="80000"/>
                                </a:schemeClr>
                              </a:solidFill>
                            </a:rPr>
                            <a:t>Dependiente:</a:t>
                          </a:r>
                          <a:endParaRPr lang="es-CO" dirty="0">
                            <a:solidFill>
                              <a:schemeClr val="accent6">
                                <a:lumMod val="20000"/>
                                <a:lumOff val="80000"/>
                              </a:schemeClr>
                            </a:solidFill>
                          </a:endParaRPr>
                        </a:p>
                      </a:txBody>
                      <a:useSpRect/>
                    </a:txSp>
                    <a:style>
                      <a:lnRef idx="2">
                        <a:schemeClr val="accent1"/>
                      </a:lnRef>
                      <a:fillRef idx="1">
                        <a:schemeClr val="lt1"/>
                      </a:fillRef>
                      <a:effectRef idx="0">
                        <a:schemeClr val="accent1"/>
                      </a:effectRef>
                      <a:fontRef idx="minor">
                        <a:schemeClr val="dk1"/>
                      </a:fontRef>
                    </a:style>
                  </a:sp>
                  <a:sp>
                    <a:nvSpPr>
                      <a:cNvPr id="37" name="36 CuadroTexto"/>
                      <a:cNvSpPr txBox="1"/>
                    </a:nvSpPr>
                    <a:spPr>
                      <a:xfrm>
                        <a:off x="2764949" y="2276896"/>
                        <a:ext cx="6127533" cy="216000"/>
                      </a:xfrm>
                      <a:prstGeom prst="roundRect">
                        <a:avLst/>
                      </a:prstGeom>
                      <a:solidFill>
                        <a:schemeClr val="accent5">
                          <a:lumMod val="40000"/>
                          <a:lumOff val="60000"/>
                        </a:schemeClr>
                      </a:solidFill>
                      <a:ln>
                        <a:noFill/>
                      </a:ln>
                    </a:spPr>
                    <a:txSp>
                      <a:txBody>
                        <a:bodyPr anchor="ctr"/>
                        <a:lstStyle>
                          <a:defPPr>
                            <a:defRPr lang="es-CO"/>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r>
                            <a:rPr lang="es-CO" sz="1800" dirty="0"/>
                            <a:t>V. </a:t>
                          </a:r>
                          <a:r>
                            <a:rPr lang="es-CO" sz="1800" dirty="0" smtClean="0"/>
                            <a:t>Independientes:</a:t>
                          </a:r>
                          <a:endParaRPr lang="es-CO" sz="1800" dirty="0"/>
                        </a:p>
                      </a:txBody>
                      <a:useSpRect/>
                    </a:txSp>
                    <a:style>
                      <a:lnRef idx="2">
                        <a:schemeClr val="accent1"/>
                      </a:lnRef>
                      <a:fillRef idx="1">
                        <a:schemeClr val="lt1"/>
                      </a:fillRef>
                      <a:effectRef idx="0">
                        <a:schemeClr val="accent1"/>
                      </a:effectRef>
                      <a:fontRef idx="minor">
                        <a:schemeClr val="dk1"/>
                      </a:fontRef>
                    </a:style>
                  </a:sp>
                  <a:grpSp>
                    <a:nvGrpSpPr>
                      <a:cNvPr id="2" name="3 Grupo"/>
                      <a:cNvGrpSpPr/>
                    </a:nvGrpSpPr>
                    <a:grpSpPr>
                      <a:xfrm>
                        <a:off x="7884368" y="3606245"/>
                        <a:ext cx="1296146" cy="1734582"/>
                        <a:chOff x="8028382" y="3645024"/>
                        <a:chExt cx="1296146" cy="1734582"/>
                      </a:xfrm>
                    </a:grpSpPr>
                    <a:sp>
                      <a:nvSpPr>
                        <a:cNvPr id="3" name="1 Flecha arriba"/>
                        <a:cNvSpPr/>
                      </a:nvSpPr>
                      <a:spPr>
                        <a:xfrm>
                          <a:off x="8316416" y="3645024"/>
                          <a:ext cx="728898" cy="974883"/>
                        </a:xfrm>
                        <a:prstGeom prst="upArrow">
                          <a:avLst/>
                        </a:prstGeom>
                        <a:solidFill>
                          <a:schemeClr val="accent5">
                            <a:lumMod val="60000"/>
                            <a:lumOff val="40000"/>
                          </a:schemeClr>
                        </a:solidFill>
                        <a:ln>
                          <a:noFill/>
                        </a:ln>
                      </a:spPr>
                      <a:txSp>
                        <a:txBody>
                          <a:bodyPr rtlCol="0" anchor="ctr"/>
                          <a:lstStyle>
                            <a:defPPr>
                              <a:defRPr lang="es-CO"/>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s-CO" sz="1200" b="1" dirty="0">
                              <a:solidFill>
                                <a:schemeClr val="tx1"/>
                              </a:solidFill>
                              <a:latin typeface="Century Gothic"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5" name="2 CuadroTexto"/>
                        <a:cNvSpPr txBox="1"/>
                      </a:nvSpPr>
                      <a:spPr>
                        <a:xfrm>
                          <a:off x="8028382" y="3933056"/>
                          <a:ext cx="1296146" cy="1446550"/>
                        </a:xfrm>
                        <a:prstGeom prst="rect">
                          <a:avLst/>
                        </a:prstGeom>
                        <a:noFill/>
                      </a:spPr>
                      <a:txSp>
                        <a:txBody>
                          <a:bodyPr wrap="square" rtlCol="0">
                            <a:spAutoFit/>
                          </a:bodyPr>
                          <a:lstStyle>
                            <a:defPPr>
                              <a:defRPr lang="es-CO"/>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lgn="ctr"/>
                            <a:r>
                              <a:rPr lang="es-CO" sz="2200" dirty="0" smtClean="0">
                                <a:latin typeface="Impact" pitchFamily="34" charset="0"/>
                              </a:rPr>
                              <a:t>¿¿Efecto del Plan Vive Digital??</a:t>
                            </a:r>
                            <a:endParaRPr lang="es-CO" sz="2200" dirty="0">
                              <a:latin typeface="Impact" pitchFamily="34" charset="0"/>
                            </a:endParaRPr>
                          </a:p>
                        </a:txBody>
                        <a:useSpRect/>
                      </a:txSp>
                    </a:sp>
                  </a:grpSp>
                </lc:lockedCanvas>
              </a:graphicData>
            </a:graphic>
          </wp:inline>
        </w:drawing>
      </w:r>
    </w:p>
    <w:p w:rsidR="006069A0" w:rsidRPr="0090467E" w:rsidRDefault="006069A0" w:rsidP="006069A0">
      <w:pPr>
        <w:spacing w:before="0" w:after="120"/>
        <w:jc w:val="center"/>
        <w:rPr>
          <w:rFonts w:ascii="Century Gothic" w:eastAsia="Calibri" w:hAnsi="Century Gothic" w:cs="Times New Roman"/>
          <w:color w:val="404040" w:themeColor="text1" w:themeTint="BF"/>
          <w:sz w:val="18"/>
          <w:szCs w:val="18"/>
        </w:rPr>
      </w:pPr>
      <w:r w:rsidRPr="0090467E">
        <w:rPr>
          <w:rFonts w:ascii="Century Gothic" w:eastAsia="Calibri" w:hAnsi="Century Gothic" w:cs="Times New Roman"/>
          <w:color w:val="404040" w:themeColor="text1" w:themeTint="BF"/>
          <w:sz w:val="18"/>
          <w:szCs w:val="18"/>
        </w:rPr>
        <w:t>Fuente: Elaboración propia</w:t>
      </w:r>
    </w:p>
    <w:p w:rsidR="00AF16E7" w:rsidRPr="00685B66" w:rsidRDefault="00AF16E7" w:rsidP="0020708C">
      <w:pPr>
        <w:pStyle w:val="Ttulo3"/>
        <w:numPr>
          <w:ilvl w:val="0"/>
          <w:numId w:val="44"/>
        </w:numPr>
        <w:rPr>
          <w:sz w:val="26"/>
          <w:szCs w:val="26"/>
        </w:rPr>
      </w:pPr>
      <w:r w:rsidRPr="00685B66">
        <w:rPr>
          <w:sz w:val="26"/>
          <w:szCs w:val="26"/>
        </w:rPr>
        <w:t>Telefonía Fija</w:t>
      </w:r>
    </w:p>
    <w:p w:rsidR="00AF16E7" w:rsidRDefault="00073E95" w:rsidP="00073E95">
      <w:pPr>
        <w:rPr>
          <w:rFonts w:eastAsia="Calibri" w:cs="Times New Roman"/>
        </w:rPr>
      </w:pPr>
      <w:r>
        <w:rPr>
          <w:rFonts w:eastAsia="Calibri" w:cs="Times New Roman"/>
        </w:rPr>
        <w:t>Los Cuadros A</w:t>
      </w:r>
      <w:r w:rsidR="00451299">
        <w:rPr>
          <w:rFonts w:eastAsia="Calibri" w:cs="Times New Roman"/>
        </w:rPr>
        <w:t>1.</w:t>
      </w:r>
      <w:r w:rsidR="00AF16E7">
        <w:rPr>
          <w:rFonts w:eastAsia="Calibri" w:cs="Times New Roman"/>
        </w:rPr>
        <w:t>2</w:t>
      </w:r>
      <w:r>
        <w:rPr>
          <w:rFonts w:eastAsia="Calibri" w:cs="Times New Roman"/>
        </w:rPr>
        <w:t>, A</w:t>
      </w:r>
      <w:r w:rsidR="00451299">
        <w:rPr>
          <w:rFonts w:eastAsia="Calibri" w:cs="Times New Roman"/>
        </w:rPr>
        <w:t>1</w:t>
      </w:r>
      <w:r>
        <w:rPr>
          <w:rFonts w:eastAsia="Calibri" w:cs="Times New Roman"/>
        </w:rPr>
        <w:t>.3 y A</w:t>
      </w:r>
      <w:r w:rsidR="00451299">
        <w:rPr>
          <w:rFonts w:eastAsia="Calibri" w:cs="Times New Roman"/>
        </w:rPr>
        <w:t>1</w:t>
      </w:r>
      <w:r>
        <w:rPr>
          <w:rFonts w:eastAsia="Calibri" w:cs="Times New Roman"/>
        </w:rPr>
        <w:t>.4 presentan la estimación de la demanda por</w:t>
      </w:r>
      <w:r w:rsidR="00AF16E7" w:rsidRPr="00D61C98">
        <w:rPr>
          <w:rFonts w:eastAsia="Calibri" w:cs="Times New Roman"/>
        </w:rPr>
        <w:t xml:space="preserve"> telefonía fija en los hogares residentes en</w:t>
      </w:r>
      <w:r>
        <w:rPr>
          <w:rFonts w:eastAsia="Calibri" w:cs="Times New Roman"/>
        </w:rPr>
        <w:t xml:space="preserve"> tres dominios territoriales:</w:t>
      </w:r>
      <w:r w:rsidR="00AF16E7" w:rsidRPr="00D61C98">
        <w:rPr>
          <w:rFonts w:eastAsia="Calibri" w:cs="Times New Roman"/>
        </w:rPr>
        <w:t xml:space="preserve"> las cabeceras municipales del país</w:t>
      </w:r>
      <w:r>
        <w:rPr>
          <w:rFonts w:eastAsia="Calibri" w:cs="Times New Roman"/>
        </w:rPr>
        <w:t>, los centros poblados menores e inspecciones de policía</w:t>
      </w:r>
      <w:r w:rsidR="00AF16E7" w:rsidRPr="00D61C98">
        <w:rPr>
          <w:rFonts w:eastAsia="Calibri" w:cs="Times New Roman"/>
        </w:rPr>
        <w:t>,</w:t>
      </w:r>
      <w:r>
        <w:rPr>
          <w:rFonts w:eastAsia="Calibri" w:cs="Times New Roman"/>
        </w:rPr>
        <w:t xml:space="preserve"> y la población rural dispersa.</w:t>
      </w:r>
      <w:r w:rsidR="00AF16E7" w:rsidRPr="00D61C98">
        <w:rPr>
          <w:rFonts w:eastAsia="Calibri" w:cs="Times New Roman"/>
        </w:rPr>
        <w:t xml:space="preserve"> </w:t>
      </w:r>
    </w:p>
    <w:p w:rsidR="002245F3" w:rsidRDefault="002245F3" w:rsidP="00AF16E7">
      <w:pPr>
        <w:pStyle w:val="T-Figura"/>
      </w:pPr>
    </w:p>
    <w:p w:rsidR="00AF16E7" w:rsidRPr="00D94983" w:rsidRDefault="00AF16E7" w:rsidP="00AF16E7">
      <w:pPr>
        <w:pStyle w:val="T-Figura"/>
      </w:pPr>
      <w:r>
        <w:t>C</w:t>
      </w:r>
      <w:r w:rsidR="00451299">
        <w:t>uadro A1</w:t>
      </w:r>
      <w:r>
        <w:t>.2</w:t>
      </w:r>
      <w:r w:rsidRPr="006156B0">
        <w:t xml:space="preserve"> - Demanda de los hogares por Telefonía Fija en cabeceras </w:t>
      </w:r>
      <w:r w:rsidRPr="00D94983">
        <w:t>municipales 2010 – 2012</w:t>
      </w:r>
    </w:p>
    <w:tbl>
      <w:tblPr>
        <w:tblW w:w="8916" w:type="dxa"/>
        <w:tblCellMar>
          <w:left w:w="70" w:type="dxa"/>
          <w:right w:w="70" w:type="dxa"/>
        </w:tblCellMar>
        <w:tblLook w:val="04A0"/>
      </w:tblPr>
      <w:tblGrid>
        <w:gridCol w:w="1736"/>
        <w:gridCol w:w="798"/>
        <w:gridCol w:w="175"/>
        <w:gridCol w:w="668"/>
        <w:gridCol w:w="1032"/>
        <w:gridCol w:w="1011"/>
        <w:gridCol w:w="851"/>
        <w:gridCol w:w="851"/>
        <w:gridCol w:w="928"/>
        <w:gridCol w:w="866"/>
      </w:tblGrid>
      <w:tr w:rsidR="00AF16E7" w:rsidRPr="00721439" w:rsidTr="006B0C9D">
        <w:trPr>
          <w:trHeight w:val="20"/>
          <w:tblHeader/>
        </w:trPr>
        <w:tc>
          <w:tcPr>
            <w:tcW w:w="2534" w:type="dxa"/>
            <w:gridSpan w:val="2"/>
            <w:shd w:val="clear" w:color="auto" w:fill="auto"/>
            <w:noWrap/>
            <w:hideMark/>
          </w:tcPr>
          <w:p w:rsidR="00AF16E7" w:rsidRPr="00721439" w:rsidRDefault="00AF16E7" w:rsidP="006B0C9D">
            <w:pPr>
              <w:spacing w:before="0" w:line="240" w:lineRule="auto"/>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xml:space="preserve"> ** CABECERA</w:t>
            </w:r>
          </w:p>
        </w:tc>
        <w:tc>
          <w:tcPr>
            <w:tcW w:w="843" w:type="dxa"/>
            <w:gridSpan w:val="2"/>
            <w:shd w:val="clear" w:color="auto" w:fill="auto"/>
            <w:noWrap/>
            <w:hideMark/>
          </w:tcPr>
          <w:p w:rsidR="00AF16E7" w:rsidRPr="00721439" w:rsidRDefault="00AF16E7" w:rsidP="006B0C9D">
            <w:pPr>
              <w:spacing w:before="0" w:line="240" w:lineRule="auto"/>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c>
          <w:tcPr>
            <w:tcW w:w="1032" w:type="dxa"/>
            <w:shd w:val="clear" w:color="auto" w:fill="auto"/>
            <w:noWrap/>
            <w:hideMark/>
          </w:tcPr>
          <w:p w:rsidR="00AF16E7" w:rsidRPr="00721439" w:rsidRDefault="00AF16E7" w:rsidP="006B0C9D">
            <w:pPr>
              <w:spacing w:before="0" w:line="240" w:lineRule="auto"/>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c>
          <w:tcPr>
            <w:tcW w:w="1011" w:type="dxa"/>
            <w:shd w:val="clear" w:color="auto" w:fill="auto"/>
            <w:noWrap/>
            <w:hideMark/>
          </w:tcPr>
          <w:p w:rsidR="00AF16E7" w:rsidRPr="00721439" w:rsidRDefault="00AF16E7" w:rsidP="006B0C9D">
            <w:pPr>
              <w:spacing w:before="0" w:line="240" w:lineRule="auto"/>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c>
          <w:tcPr>
            <w:tcW w:w="928"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c>
          <w:tcPr>
            <w:tcW w:w="866"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r>
      <w:tr w:rsidR="00AF16E7" w:rsidRPr="00845F87" w:rsidTr="006B0C9D">
        <w:trPr>
          <w:trHeight w:val="20"/>
          <w:tblHeader/>
        </w:trPr>
        <w:tc>
          <w:tcPr>
            <w:tcW w:w="5420" w:type="dxa"/>
            <w:gridSpan w:val="6"/>
            <w:shd w:val="clear" w:color="auto" w:fill="auto"/>
            <w:noWrap/>
            <w:hideMark/>
          </w:tcPr>
          <w:p w:rsidR="00AF16E7" w:rsidRPr="00721439" w:rsidRDefault="00AF16E7" w:rsidP="006B0C9D">
            <w:pPr>
              <w:spacing w:before="0" w:line="240" w:lineRule="auto"/>
              <w:rPr>
                <w:rFonts w:ascii="Arial Narrow" w:eastAsia="Times New Roman" w:hAnsi="Arial Narrow" w:cs="Arial"/>
                <w:color w:val="000000"/>
                <w:sz w:val="20"/>
                <w:szCs w:val="20"/>
                <w:lang w:val="en-US" w:eastAsia="es-CO"/>
              </w:rPr>
            </w:pPr>
            <w:r w:rsidRPr="00721439">
              <w:rPr>
                <w:rFonts w:ascii="Arial Narrow" w:eastAsia="Times New Roman" w:hAnsi="Arial Narrow" w:cs="Arial"/>
                <w:color w:val="000000"/>
                <w:sz w:val="20"/>
                <w:szCs w:val="20"/>
                <w:lang w:val="en-US" w:eastAsia="es-CO"/>
              </w:rPr>
              <w:t xml:space="preserve">Logistic regression                             Number of </w:t>
            </w:r>
            <w:proofErr w:type="spellStart"/>
            <w:r w:rsidRPr="00721439">
              <w:rPr>
                <w:rFonts w:ascii="Arial Narrow" w:eastAsia="Times New Roman" w:hAnsi="Arial Narrow" w:cs="Arial"/>
                <w:color w:val="000000"/>
                <w:sz w:val="20"/>
                <w:szCs w:val="20"/>
                <w:lang w:val="en-US" w:eastAsia="es-CO"/>
              </w:rPr>
              <w:t>obs</w:t>
            </w:r>
            <w:proofErr w:type="spellEnd"/>
            <w:r w:rsidRPr="00721439">
              <w:rPr>
                <w:rFonts w:ascii="Arial Narrow" w:eastAsia="Times New Roman" w:hAnsi="Arial Narrow" w:cs="Arial"/>
                <w:color w:val="000000"/>
                <w:sz w:val="20"/>
                <w:szCs w:val="20"/>
                <w:lang w:val="en-US" w:eastAsia="es-CO"/>
              </w:rPr>
              <w:t xml:space="preserve">   =      22013</w:t>
            </w: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val="en-US" w:eastAsia="es-CO"/>
              </w:rPr>
            </w:pP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val="en-US" w:eastAsia="es-CO"/>
              </w:rPr>
            </w:pPr>
          </w:p>
        </w:tc>
        <w:tc>
          <w:tcPr>
            <w:tcW w:w="928"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val="en-US" w:eastAsia="es-CO"/>
              </w:rPr>
            </w:pPr>
          </w:p>
        </w:tc>
        <w:tc>
          <w:tcPr>
            <w:tcW w:w="866"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val="en-US" w:eastAsia="es-CO"/>
              </w:rPr>
            </w:pPr>
            <w:r w:rsidRPr="00721439">
              <w:rPr>
                <w:rFonts w:ascii="Arial Narrow" w:eastAsia="Times New Roman" w:hAnsi="Arial Narrow" w:cs="Arial"/>
                <w:color w:val="000000"/>
                <w:sz w:val="20"/>
                <w:szCs w:val="20"/>
                <w:lang w:val="en-US" w:eastAsia="es-CO"/>
              </w:rPr>
              <w:t> </w:t>
            </w:r>
          </w:p>
        </w:tc>
      </w:tr>
      <w:tr w:rsidR="00AF16E7" w:rsidRPr="00721439" w:rsidTr="006B0C9D">
        <w:trPr>
          <w:trHeight w:val="20"/>
          <w:tblHeader/>
        </w:trPr>
        <w:tc>
          <w:tcPr>
            <w:tcW w:w="5420" w:type="dxa"/>
            <w:gridSpan w:val="6"/>
            <w:shd w:val="clear" w:color="auto" w:fill="auto"/>
            <w:noWrap/>
            <w:hideMark/>
          </w:tcPr>
          <w:p w:rsidR="00AF16E7" w:rsidRPr="00721439" w:rsidRDefault="00AF16E7" w:rsidP="006B0C9D">
            <w:pPr>
              <w:spacing w:before="0" w:line="240" w:lineRule="auto"/>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LR chi2(18)     =    5941.86</w:t>
            </w: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928"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866"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r>
      <w:tr w:rsidR="00AF16E7" w:rsidRPr="00721439" w:rsidTr="006B0C9D">
        <w:trPr>
          <w:trHeight w:val="20"/>
          <w:tblHeader/>
        </w:trPr>
        <w:tc>
          <w:tcPr>
            <w:tcW w:w="5420" w:type="dxa"/>
            <w:gridSpan w:val="6"/>
            <w:shd w:val="clear" w:color="auto" w:fill="auto"/>
            <w:noWrap/>
            <w:hideMark/>
          </w:tcPr>
          <w:p w:rsidR="00AF16E7" w:rsidRPr="00721439" w:rsidRDefault="00AF16E7" w:rsidP="006B0C9D">
            <w:pPr>
              <w:spacing w:before="0" w:line="240" w:lineRule="auto"/>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Prob</w:t>
            </w:r>
            <w:proofErr w:type="spellEnd"/>
            <w:r w:rsidRPr="00721439">
              <w:rPr>
                <w:rFonts w:ascii="Arial Narrow" w:eastAsia="Times New Roman" w:hAnsi="Arial Narrow" w:cs="Arial"/>
                <w:color w:val="000000"/>
                <w:sz w:val="20"/>
                <w:szCs w:val="20"/>
                <w:lang w:eastAsia="es-CO"/>
              </w:rPr>
              <w:t xml:space="preserve"> &gt; chi2     =     0.0000</w:t>
            </w: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928"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866"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r>
      <w:tr w:rsidR="00AF16E7" w:rsidRPr="00721439" w:rsidTr="006B0C9D">
        <w:trPr>
          <w:trHeight w:val="20"/>
          <w:tblHeader/>
        </w:trPr>
        <w:tc>
          <w:tcPr>
            <w:tcW w:w="5420" w:type="dxa"/>
            <w:gridSpan w:val="6"/>
            <w:shd w:val="clear" w:color="auto" w:fill="auto"/>
            <w:noWrap/>
            <w:hideMark/>
          </w:tcPr>
          <w:p w:rsidR="00AF16E7" w:rsidRDefault="00AF16E7" w:rsidP="006B0C9D">
            <w:pPr>
              <w:spacing w:before="0" w:line="240" w:lineRule="auto"/>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xml:space="preserve">Log </w:t>
            </w:r>
            <w:proofErr w:type="spellStart"/>
            <w:r w:rsidRPr="00721439">
              <w:rPr>
                <w:rFonts w:ascii="Arial Narrow" w:eastAsia="Times New Roman" w:hAnsi="Arial Narrow" w:cs="Arial"/>
                <w:color w:val="000000"/>
                <w:sz w:val="20"/>
                <w:szCs w:val="20"/>
                <w:lang w:eastAsia="es-CO"/>
              </w:rPr>
              <w:t>likelihood</w:t>
            </w:r>
            <w:proofErr w:type="spellEnd"/>
            <w:r w:rsidRPr="00721439">
              <w:rPr>
                <w:rFonts w:ascii="Arial Narrow" w:eastAsia="Times New Roman" w:hAnsi="Arial Narrow" w:cs="Arial"/>
                <w:color w:val="000000"/>
                <w:sz w:val="20"/>
                <w:szCs w:val="20"/>
                <w:lang w:eastAsia="es-CO"/>
              </w:rPr>
              <w:t xml:space="preserve"> = -11368.066               </w:t>
            </w:r>
            <w:proofErr w:type="spellStart"/>
            <w:r w:rsidRPr="00721439">
              <w:rPr>
                <w:rFonts w:ascii="Arial Narrow" w:eastAsia="Times New Roman" w:hAnsi="Arial Narrow" w:cs="Arial"/>
                <w:color w:val="000000"/>
                <w:sz w:val="20"/>
                <w:szCs w:val="20"/>
                <w:lang w:eastAsia="es-CO"/>
              </w:rPr>
              <w:t>Pseudo</w:t>
            </w:r>
            <w:proofErr w:type="spellEnd"/>
            <w:r w:rsidRPr="00721439">
              <w:rPr>
                <w:rFonts w:ascii="Arial Narrow" w:eastAsia="Times New Roman" w:hAnsi="Arial Narrow" w:cs="Arial"/>
                <w:color w:val="000000"/>
                <w:sz w:val="20"/>
                <w:szCs w:val="20"/>
                <w:lang w:eastAsia="es-CO"/>
              </w:rPr>
              <w:t xml:space="preserve"> R2       =     0.2072</w:t>
            </w:r>
          </w:p>
          <w:p w:rsidR="00AF16E7" w:rsidRPr="00721439" w:rsidRDefault="00AF16E7" w:rsidP="006B0C9D">
            <w:pPr>
              <w:spacing w:before="0" w:line="240" w:lineRule="auto"/>
              <w:rPr>
                <w:rFonts w:ascii="Arial Narrow" w:eastAsia="Times New Roman" w:hAnsi="Arial Narrow" w:cs="Arial"/>
                <w:color w:val="000000"/>
                <w:sz w:val="20"/>
                <w:szCs w:val="20"/>
                <w:lang w:eastAsia="es-CO"/>
              </w:rPr>
            </w:pP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928"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866"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r>
      <w:tr w:rsidR="00AF16E7" w:rsidRPr="00721439" w:rsidTr="006B0C9D">
        <w:trPr>
          <w:trHeight w:val="20"/>
          <w:tblHeader/>
        </w:trPr>
        <w:tc>
          <w:tcPr>
            <w:tcW w:w="1736" w:type="dxa"/>
            <w:shd w:val="clear" w:color="auto" w:fill="auto"/>
            <w:noWrap/>
            <w:hideMark/>
          </w:tcPr>
          <w:p w:rsidR="00AF16E7" w:rsidRPr="00721439" w:rsidRDefault="00AF16E7" w:rsidP="006B0C9D">
            <w:pPr>
              <w:spacing w:before="0" w:line="240" w:lineRule="auto"/>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c>
          <w:tcPr>
            <w:tcW w:w="973" w:type="dxa"/>
            <w:gridSpan w:val="2"/>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668"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1032"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101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851"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928"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p>
        </w:tc>
        <w:tc>
          <w:tcPr>
            <w:tcW w:w="866" w:type="dxa"/>
            <w:shd w:val="clear" w:color="auto" w:fill="auto"/>
            <w:noWrap/>
            <w:hideMark/>
          </w:tcPr>
          <w:p w:rsidR="00AF16E7" w:rsidRPr="00721439" w:rsidRDefault="00AF16E7" w:rsidP="006B0C9D">
            <w:pPr>
              <w:spacing w:before="0" w:line="240" w:lineRule="auto"/>
              <w:jc w:val="center"/>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 </w:t>
            </w:r>
          </w:p>
        </w:tc>
      </w:tr>
      <w:tr w:rsidR="00AF16E7" w:rsidRPr="00721439" w:rsidTr="006B0C9D">
        <w:trPr>
          <w:trHeight w:val="20"/>
          <w:tblHeader/>
        </w:trPr>
        <w:tc>
          <w:tcPr>
            <w:tcW w:w="1736"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hideMark/>
          </w:tcPr>
          <w:p w:rsidR="00AF16E7" w:rsidRPr="00721439" w:rsidRDefault="00AF16E7" w:rsidP="006B0C9D">
            <w:pPr>
              <w:spacing w:before="0" w:line="240" w:lineRule="auto"/>
              <w:rPr>
                <w:rFonts w:ascii="Arial Narrow" w:eastAsia="Times New Roman" w:hAnsi="Arial Narrow" w:cs="Arial"/>
                <w:b/>
                <w:color w:val="000000"/>
                <w:sz w:val="20"/>
                <w:szCs w:val="20"/>
                <w:lang w:eastAsia="es-CO"/>
              </w:rPr>
            </w:pPr>
            <w:r>
              <w:rPr>
                <w:rFonts w:ascii="Arial Narrow" w:eastAsia="Times New Roman" w:hAnsi="Arial Narrow" w:cs="Arial"/>
                <w:b/>
                <w:color w:val="000000"/>
                <w:sz w:val="20"/>
                <w:szCs w:val="20"/>
                <w:lang w:eastAsia="es-CO"/>
              </w:rPr>
              <w:t>F</w:t>
            </w:r>
            <w:r w:rsidRPr="00721439">
              <w:rPr>
                <w:rFonts w:ascii="Arial Narrow" w:eastAsia="Times New Roman" w:hAnsi="Arial Narrow" w:cs="Arial"/>
                <w:b/>
                <w:color w:val="000000"/>
                <w:sz w:val="20"/>
                <w:szCs w:val="20"/>
                <w:lang w:eastAsia="es-CO"/>
              </w:rPr>
              <w:t>ijo</w:t>
            </w:r>
          </w:p>
        </w:tc>
        <w:tc>
          <w:tcPr>
            <w:tcW w:w="973" w:type="dxa"/>
            <w:gridSpan w:val="2"/>
            <w:tcBorders>
              <w:top w:val="single" w:sz="4" w:space="0" w:color="A6A6A6" w:themeColor="background1" w:themeShade="A6"/>
              <w:bottom w:val="single" w:sz="4" w:space="0" w:color="A6A6A6" w:themeColor="background1" w:themeShade="A6"/>
            </w:tcBorders>
            <w:shd w:val="clear" w:color="auto" w:fill="A6A6A6" w:themeFill="background1" w:themeFillShade="A6"/>
            <w:noWrap/>
            <w:hideMark/>
          </w:tcPr>
          <w:p w:rsidR="00AF16E7" w:rsidRPr="00721439" w:rsidRDefault="00AF16E7" w:rsidP="006B0C9D">
            <w:pPr>
              <w:spacing w:before="0" w:line="240" w:lineRule="auto"/>
              <w:jc w:val="center"/>
              <w:rPr>
                <w:rFonts w:ascii="Arial Narrow" w:eastAsia="Times New Roman" w:hAnsi="Arial Narrow" w:cs="Arial"/>
                <w:b/>
                <w:color w:val="000000"/>
                <w:sz w:val="20"/>
                <w:szCs w:val="20"/>
                <w:lang w:eastAsia="es-CO"/>
              </w:rPr>
            </w:pPr>
            <w:proofErr w:type="spellStart"/>
            <w:r w:rsidRPr="00721439">
              <w:rPr>
                <w:rFonts w:ascii="Arial Narrow" w:eastAsia="Times New Roman" w:hAnsi="Arial Narrow" w:cs="Arial"/>
                <w:b/>
                <w:color w:val="000000"/>
                <w:sz w:val="20"/>
                <w:szCs w:val="20"/>
                <w:lang w:eastAsia="es-CO"/>
              </w:rPr>
              <w:t>Coef</w:t>
            </w:r>
            <w:proofErr w:type="spellEnd"/>
            <w:r w:rsidRPr="00721439">
              <w:rPr>
                <w:rFonts w:ascii="Arial Narrow" w:eastAsia="Times New Roman" w:hAnsi="Arial Narrow" w:cs="Arial"/>
                <w:b/>
                <w:color w:val="000000"/>
                <w:sz w:val="20"/>
                <w:szCs w:val="20"/>
                <w:lang w:eastAsia="es-CO"/>
              </w:rPr>
              <w:t>.</w:t>
            </w:r>
          </w:p>
        </w:tc>
        <w:tc>
          <w:tcPr>
            <w:tcW w:w="668"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hideMark/>
          </w:tcPr>
          <w:p w:rsidR="00AF16E7" w:rsidRPr="00721439" w:rsidRDefault="00AF16E7" w:rsidP="006B0C9D">
            <w:pPr>
              <w:spacing w:before="0" w:line="240" w:lineRule="auto"/>
              <w:jc w:val="center"/>
              <w:rPr>
                <w:rFonts w:ascii="Arial Narrow" w:eastAsia="Times New Roman" w:hAnsi="Arial Narrow" w:cs="Arial"/>
                <w:b/>
                <w:color w:val="000000"/>
                <w:sz w:val="20"/>
                <w:szCs w:val="20"/>
                <w:lang w:eastAsia="es-CO"/>
              </w:rPr>
            </w:pPr>
            <w:proofErr w:type="spellStart"/>
            <w:r w:rsidRPr="00721439">
              <w:rPr>
                <w:rFonts w:ascii="Arial Narrow" w:eastAsia="Times New Roman" w:hAnsi="Arial Narrow" w:cs="Arial"/>
                <w:b/>
                <w:color w:val="000000"/>
                <w:sz w:val="20"/>
                <w:szCs w:val="20"/>
                <w:lang w:eastAsia="es-CO"/>
              </w:rPr>
              <w:t>Std.</w:t>
            </w:r>
            <w:proofErr w:type="spellEnd"/>
            <w:r w:rsidRPr="00721439">
              <w:rPr>
                <w:rFonts w:ascii="Arial Narrow" w:eastAsia="Times New Roman" w:hAnsi="Arial Narrow" w:cs="Arial"/>
                <w:b/>
                <w:color w:val="000000"/>
                <w:sz w:val="20"/>
                <w:szCs w:val="20"/>
                <w:lang w:eastAsia="es-CO"/>
              </w:rPr>
              <w:t xml:space="preserve"> </w:t>
            </w:r>
            <w:proofErr w:type="spellStart"/>
            <w:r w:rsidRPr="00721439">
              <w:rPr>
                <w:rFonts w:ascii="Arial Narrow" w:eastAsia="Times New Roman" w:hAnsi="Arial Narrow" w:cs="Arial"/>
                <w:b/>
                <w:color w:val="000000"/>
                <w:sz w:val="20"/>
                <w:szCs w:val="20"/>
                <w:lang w:eastAsia="es-CO"/>
              </w:rPr>
              <w:t>Err</w:t>
            </w:r>
            <w:proofErr w:type="spellEnd"/>
          </w:p>
        </w:tc>
        <w:tc>
          <w:tcPr>
            <w:tcW w:w="1032"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hideMark/>
          </w:tcPr>
          <w:p w:rsidR="00AF16E7" w:rsidRPr="00721439" w:rsidRDefault="00AF16E7" w:rsidP="006B0C9D">
            <w:pPr>
              <w:spacing w:before="0" w:line="240" w:lineRule="auto"/>
              <w:jc w:val="center"/>
              <w:rPr>
                <w:rFonts w:ascii="Arial Narrow" w:eastAsia="Times New Roman" w:hAnsi="Arial Narrow" w:cs="Arial"/>
                <w:b/>
                <w:color w:val="000000"/>
                <w:sz w:val="20"/>
                <w:szCs w:val="20"/>
                <w:lang w:eastAsia="es-CO"/>
              </w:rPr>
            </w:pPr>
            <w:r w:rsidRPr="00721439">
              <w:rPr>
                <w:rFonts w:ascii="Arial Narrow" w:eastAsia="Times New Roman" w:hAnsi="Arial Narrow" w:cs="Arial"/>
                <w:b/>
                <w:color w:val="000000"/>
                <w:sz w:val="20"/>
                <w:szCs w:val="20"/>
                <w:lang w:eastAsia="es-CO"/>
              </w:rPr>
              <w:t>z</w:t>
            </w:r>
          </w:p>
        </w:tc>
        <w:tc>
          <w:tcPr>
            <w:tcW w:w="1011"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hideMark/>
          </w:tcPr>
          <w:p w:rsidR="00AF16E7" w:rsidRPr="00721439" w:rsidRDefault="00AF16E7" w:rsidP="006B0C9D">
            <w:pPr>
              <w:spacing w:before="0" w:line="240" w:lineRule="auto"/>
              <w:jc w:val="center"/>
              <w:rPr>
                <w:rFonts w:ascii="Arial Narrow" w:eastAsia="Times New Roman" w:hAnsi="Arial Narrow" w:cs="Arial"/>
                <w:b/>
                <w:color w:val="000000"/>
                <w:sz w:val="20"/>
                <w:szCs w:val="20"/>
                <w:lang w:eastAsia="es-CO"/>
              </w:rPr>
            </w:pPr>
            <w:r w:rsidRPr="00721439">
              <w:rPr>
                <w:rFonts w:ascii="Arial Narrow" w:eastAsia="Times New Roman" w:hAnsi="Arial Narrow" w:cs="Arial"/>
                <w:b/>
                <w:color w:val="000000"/>
                <w:sz w:val="20"/>
                <w:szCs w:val="20"/>
                <w:lang w:eastAsia="es-CO"/>
              </w:rPr>
              <w:t>P&gt;z</w:t>
            </w:r>
          </w:p>
        </w:tc>
        <w:tc>
          <w:tcPr>
            <w:tcW w:w="1702" w:type="dxa"/>
            <w:gridSpan w:val="2"/>
            <w:tcBorders>
              <w:top w:val="single" w:sz="4" w:space="0" w:color="A6A6A6" w:themeColor="background1" w:themeShade="A6"/>
              <w:bottom w:val="single" w:sz="4" w:space="0" w:color="A6A6A6" w:themeColor="background1" w:themeShade="A6"/>
            </w:tcBorders>
            <w:shd w:val="clear" w:color="auto" w:fill="A6A6A6" w:themeFill="background1" w:themeFillShade="A6"/>
            <w:noWrap/>
            <w:hideMark/>
          </w:tcPr>
          <w:p w:rsidR="00AF16E7" w:rsidRPr="00721439" w:rsidRDefault="00AF16E7" w:rsidP="006B0C9D">
            <w:pPr>
              <w:spacing w:before="0" w:line="240" w:lineRule="auto"/>
              <w:jc w:val="center"/>
              <w:rPr>
                <w:rFonts w:ascii="Arial Narrow" w:eastAsia="Times New Roman" w:hAnsi="Arial Narrow" w:cs="Arial"/>
                <w:b/>
                <w:color w:val="000000"/>
                <w:sz w:val="20"/>
                <w:szCs w:val="20"/>
                <w:lang w:eastAsia="es-CO"/>
              </w:rPr>
            </w:pPr>
            <w:r w:rsidRPr="00721439">
              <w:rPr>
                <w:rFonts w:ascii="Arial Narrow" w:eastAsia="Times New Roman" w:hAnsi="Arial Narrow" w:cs="Arial"/>
                <w:b/>
                <w:color w:val="000000"/>
                <w:sz w:val="20"/>
                <w:szCs w:val="20"/>
                <w:lang w:eastAsia="es-CO"/>
              </w:rPr>
              <w:t xml:space="preserve">[95% Conf. </w:t>
            </w:r>
            <w:proofErr w:type="spellStart"/>
            <w:r w:rsidRPr="00721439">
              <w:rPr>
                <w:rFonts w:ascii="Arial Narrow" w:eastAsia="Times New Roman" w:hAnsi="Arial Narrow" w:cs="Arial"/>
                <w:b/>
                <w:color w:val="000000"/>
                <w:sz w:val="20"/>
                <w:szCs w:val="20"/>
                <w:lang w:eastAsia="es-CO"/>
              </w:rPr>
              <w:t>Interval</w:t>
            </w:r>
            <w:proofErr w:type="spellEnd"/>
            <w:r w:rsidRPr="00721439">
              <w:rPr>
                <w:rFonts w:ascii="Arial Narrow" w:eastAsia="Times New Roman" w:hAnsi="Arial Narrow" w:cs="Arial"/>
                <w:b/>
                <w:color w:val="000000"/>
                <w:sz w:val="20"/>
                <w:szCs w:val="20"/>
                <w:lang w:eastAsia="es-CO"/>
              </w:rPr>
              <w:t>]</w:t>
            </w:r>
          </w:p>
        </w:tc>
        <w:tc>
          <w:tcPr>
            <w:tcW w:w="928"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hideMark/>
          </w:tcPr>
          <w:p w:rsidR="00AF16E7" w:rsidRPr="00721439" w:rsidRDefault="00AF16E7" w:rsidP="006B0C9D">
            <w:pPr>
              <w:spacing w:before="0" w:line="240" w:lineRule="auto"/>
              <w:jc w:val="center"/>
              <w:rPr>
                <w:rFonts w:ascii="Arial Narrow" w:eastAsia="Times New Roman" w:hAnsi="Arial Narrow" w:cs="Arial"/>
                <w:b/>
                <w:color w:val="000000"/>
                <w:sz w:val="20"/>
                <w:szCs w:val="20"/>
                <w:lang w:eastAsia="es-CO"/>
              </w:rPr>
            </w:pPr>
            <w:proofErr w:type="spellStart"/>
            <w:r w:rsidRPr="00721439">
              <w:rPr>
                <w:rFonts w:ascii="Arial Narrow" w:eastAsia="Times New Roman" w:hAnsi="Arial Narrow" w:cs="Arial"/>
                <w:b/>
                <w:color w:val="000000"/>
                <w:sz w:val="20"/>
                <w:szCs w:val="20"/>
                <w:lang w:eastAsia="es-CO"/>
              </w:rPr>
              <w:t>Odds</w:t>
            </w:r>
            <w:proofErr w:type="spellEnd"/>
            <w:r w:rsidRPr="00721439">
              <w:rPr>
                <w:rFonts w:ascii="Arial Narrow" w:eastAsia="Times New Roman" w:hAnsi="Arial Narrow" w:cs="Arial"/>
                <w:b/>
                <w:color w:val="000000"/>
                <w:sz w:val="20"/>
                <w:szCs w:val="20"/>
                <w:lang w:eastAsia="es-CO"/>
              </w:rPr>
              <w:t xml:space="preserve"> Ratio</w:t>
            </w:r>
          </w:p>
        </w:tc>
        <w:tc>
          <w:tcPr>
            <w:tcW w:w="866"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hideMark/>
          </w:tcPr>
          <w:p w:rsidR="00AF16E7" w:rsidRPr="00721439" w:rsidRDefault="00AF16E7" w:rsidP="006B0C9D">
            <w:pPr>
              <w:spacing w:before="0" w:line="240" w:lineRule="auto"/>
              <w:jc w:val="center"/>
              <w:rPr>
                <w:rFonts w:ascii="Arial Narrow" w:eastAsia="Times New Roman" w:hAnsi="Arial Narrow" w:cs="Arial"/>
                <w:b/>
                <w:color w:val="000000"/>
                <w:sz w:val="20"/>
                <w:szCs w:val="20"/>
                <w:lang w:eastAsia="es-CO"/>
              </w:rPr>
            </w:pPr>
            <m:oMath>
              <m:r>
                <m:rPr>
                  <m:sty m:val="bi"/>
                </m:rPr>
                <w:rPr>
                  <w:rFonts w:ascii="Cambria Math" w:eastAsia="Times New Roman" w:hAnsi="Cambria Math" w:cs="Arial"/>
                  <w:color w:val="000000"/>
                  <w:sz w:val="20"/>
                  <w:szCs w:val="20"/>
                  <w:lang w:eastAsia="es-CO"/>
                </w:rPr>
                <m:t>∆p</m:t>
              </m:r>
            </m:oMath>
            <w:r w:rsidRPr="00721439">
              <w:rPr>
                <w:rFonts w:ascii="Arial Narrow" w:eastAsia="Times New Roman" w:hAnsi="Arial Narrow" w:cs="Arial"/>
                <w:b/>
                <w:color w:val="000000"/>
                <w:sz w:val="20"/>
                <w:szCs w:val="20"/>
                <w:lang w:eastAsia="es-CO"/>
              </w:rPr>
              <w:t> </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t2012</w:t>
            </w:r>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-0.477</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0.033</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-14.310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-0.542</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-0.412</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0.621</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-11.7%</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atlantica</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-2.133</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0.067</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-31.650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-2.265</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-2.001</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0.118</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-39.4%</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oriental</w:t>
            </w:r>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-1.776</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0.065</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-27.310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-1.903</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-1.648</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0.169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-35.5%</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central</w:t>
            </w:r>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-1.443</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0.063</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-23.000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-1.566</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-1.320</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0.236</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-30.9%</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pacifica</w:t>
            </w:r>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-2.589</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0.071</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-36.720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-2.727</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-2.451</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0.075</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-43.0%</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antioquia</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-0.451</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0.060</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-7.500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-0.569</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-0.333</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0.637</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-11.1%</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valle</w:t>
            </w:r>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-1.366</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0.059</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-23.090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-1.482</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-1.250</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0.255</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-29.7%</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sanandres</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-1.668</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0.079</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-21.140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-1.823</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-1.513</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0.189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-34.1%</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orinoq_amazon</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-2.422</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0.090</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-26.780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-2.599</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-2.245</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0.089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-41.8%</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educbas</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-0.269</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0.044</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-6.150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-0.354</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-0.183</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0.764</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-6.7%</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educmed</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0.303</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0.037</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8.180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0.230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0.375</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1.354</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7.5%</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eductec</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0.569</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0.045</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12.700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0.481</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0.657</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1.767</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13.9%</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educuniv</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0.969</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0.051</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19.130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0.870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1.068</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2.635</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22.5%</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edad12_17</w:t>
            </w:r>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-0.039</w:t>
            </w:r>
            <w:r w:rsidRPr="00721439">
              <w:rPr>
                <w:rFonts w:ascii="Arial Narrow" w:eastAsia="Times New Roman" w:hAnsi="Arial Narrow" w:cs="Arial"/>
                <w:color w:val="000000"/>
                <w:sz w:val="20"/>
                <w:szCs w:val="20"/>
                <w:vertAlign w:val="superscript"/>
                <w:lang w:eastAsia="es-CO"/>
              </w:rPr>
              <w:t>NO</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0.037</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-1.060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0.288</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-0.111</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0.033</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0.962</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-1.0%</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edad18_34</w:t>
            </w:r>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vertAlign w:val="superscript"/>
                <w:lang w:eastAsia="es-CO"/>
              </w:rPr>
            </w:pPr>
            <w:r w:rsidRPr="00721439">
              <w:rPr>
                <w:rFonts w:ascii="Arial Narrow" w:eastAsia="Times New Roman" w:hAnsi="Arial Narrow" w:cs="Arial"/>
                <w:color w:val="000000"/>
                <w:sz w:val="20"/>
                <w:szCs w:val="20"/>
                <w:lang w:eastAsia="es-CO"/>
              </w:rPr>
              <w:t>-0.195</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0.037</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-5.210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-0.269</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-0.122</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0.823</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-4.9%</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edad35_60</w:t>
            </w:r>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0.585</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0.042</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14.000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0.503</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0.666</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1.794</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14.2%</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edad61mas</w:t>
            </w:r>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1.169</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0.042</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27.970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1.087</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1.251</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3.219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26.3%</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proofErr w:type="spellStart"/>
            <w:r w:rsidRPr="00721439">
              <w:rPr>
                <w:rFonts w:ascii="Arial Narrow" w:eastAsia="Times New Roman" w:hAnsi="Arial Narrow" w:cs="Arial"/>
                <w:color w:val="000000"/>
                <w:sz w:val="20"/>
                <w:szCs w:val="20"/>
                <w:lang w:eastAsia="es-CO"/>
              </w:rPr>
              <w:t>ingreso_mill</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0.238</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0.015</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15.500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0.208</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0.268</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1.268</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5.9%</w:t>
            </w:r>
          </w:p>
        </w:tc>
      </w:tr>
      <w:tr w:rsidR="00AF16E7" w:rsidRPr="00721439" w:rsidTr="006B0C9D">
        <w:trPr>
          <w:trHeight w:val="272"/>
        </w:trPr>
        <w:tc>
          <w:tcPr>
            <w:tcW w:w="173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_</w:t>
            </w:r>
            <w:proofErr w:type="spellStart"/>
            <w:r w:rsidRPr="00721439">
              <w:rPr>
                <w:rFonts w:ascii="Arial Narrow" w:eastAsia="Times New Roman" w:hAnsi="Arial Narrow" w:cs="Arial"/>
                <w:color w:val="000000"/>
                <w:sz w:val="20"/>
                <w:szCs w:val="20"/>
                <w:lang w:eastAsia="es-CO"/>
              </w:rPr>
              <w:t>cons</w:t>
            </w:r>
            <w:proofErr w:type="spellEnd"/>
          </w:p>
        </w:tc>
        <w:tc>
          <w:tcPr>
            <w:tcW w:w="973" w:type="dxa"/>
            <w:gridSpan w:val="2"/>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-0.077</w:t>
            </w:r>
          </w:p>
        </w:tc>
        <w:tc>
          <w:tcPr>
            <w:tcW w:w="66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0.067</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-1.140</w:t>
            </w:r>
          </w:p>
        </w:tc>
        <w:tc>
          <w:tcPr>
            <w:tcW w:w="101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0.253</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-0.208</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0.055</w:t>
            </w:r>
          </w:p>
        </w:tc>
        <w:tc>
          <w:tcPr>
            <w:tcW w:w="92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0.926</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Arial"/>
                <w:color w:val="000000"/>
                <w:sz w:val="20"/>
                <w:szCs w:val="20"/>
                <w:lang w:eastAsia="es-CO"/>
              </w:rPr>
            </w:pPr>
            <w:r w:rsidRPr="00721439">
              <w:rPr>
                <w:rFonts w:ascii="Arial Narrow" w:eastAsia="Times New Roman" w:hAnsi="Arial Narrow" w:cs="Arial"/>
                <w:color w:val="000000"/>
                <w:sz w:val="20"/>
                <w:szCs w:val="20"/>
                <w:lang w:eastAsia="es-CO"/>
              </w:rPr>
              <w:t>-1.9%</w:t>
            </w:r>
          </w:p>
        </w:tc>
      </w:tr>
    </w:tbl>
    <w:p w:rsidR="00AF16E7" w:rsidRPr="00544B68" w:rsidRDefault="00AF16E7" w:rsidP="00AF16E7">
      <w:pPr>
        <w:widowControl w:val="0"/>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FB349B" w:rsidRDefault="00FB349B" w:rsidP="00AF16E7">
      <w:pPr>
        <w:pStyle w:val="T-Figura"/>
        <w:keepNext w:val="0"/>
        <w:keepLines w:val="0"/>
        <w:widowControl w:val="0"/>
      </w:pPr>
    </w:p>
    <w:p w:rsidR="00FB349B" w:rsidRDefault="00FB349B" w:rsidP="00AF16E7">
      <w:pPr>
        <w:pStyle w:val="T-Figura"/>
        <w:keepNext w:val="0"/>
        <w:keepLines w:val="0"/>
        <w:widowControl w:val="0"/>
      </w:pPr>
    </w:p>
    <w:p w:rsidR="00FB349B" w:rsidRDefault="00FB349B" w:rsidP="00AF16E7">
      <w:pPr>
        <w:pStyle w:val="T-Figura"/>
        <w:keepNext w:val="0"/>
        <w:keepLines w:val="0"/>
        <w:widowControl w:val="0"/>
      </w:pPr>
    </w:p>
    <w:p w:rsidR="00FB349B" w:rsidRDefault="00FB349B" w:rsidP="00AF16E7">
      <w:pPr>
        <w:pStyle w:val="T-Figura"/>
        <w:keepNext w:val="0"/>
        <w:keepLines w:val="0"/>
        <w:widowControl w:val="0"/>
      </w:pPr>
    </w:p>
    <w:p w:rsidR="00FB349B" w:rsidRDefault="00FB349B" w:rsidP="00AF16E7">
      <w:pPr>
        <w:pStyle w:val="T-Figura"/>
        <w:keepNext w:val="0"/>
        <w:keepLines w:val="0"/>
        <w:widowControl w:val="0"/>
      </w:pPr>
    </w:p>
    <w:p w:rsidR="00FB349B" w:rsidRDefault="00FB349B" w:rsidP="00AF16E7">
      <w:pPr>
        <w:pStyle w:val="T-Figura"/>
        <w:keepNext w:val="0"/>
        <w:keepLines w:val="0"/>
        <w:widowControl w:val="0"/>
      </w:pPr>
    </w:p>
    <w:p w:rsidR="00FB349B" w:rsidRDefault="00FB349B" w:rsidP="00AF16E7">
      <w:pPr>
        <w:pStyle w:val="T-Figura"/>
        <w:keepNext w:val="0"/>
        <w:keepLines w:val="0"/>
        <w:widowControl w:val="0"/>
      </w:pPr>
    </w:p>
    <w:p w:rsidR="002245F3" w:rsidRDefault="002245F3" w:rsidP="00AF16E7">
      <w:pPr>
        <w:pStyle w:val="T-Figura"/>
        <w:keepNext w:val="0"/>
        <w:keepLines w:val="0"/>
        <w:widowControl w:val="0"/>
      </w:pPr>
    </w:p>
    <w:p w:rsidR="00AF16E7" w:rsidRPr="006156B0" w:rsidRDefault="00913F11" w:rsidP="00AF16E7">
      <w:pPr>
        <w:pStyle w:val="T-Figura"/>
        <w:keepNext w:val="0"/>
        <w:keepLines w:val="0"/>
        <w:widowControl w:val="0"/>
      </w:pPr>
      <w:r>
        <w:t>Cuadro A1</w:t>
      </w:r>
      <w:r w:rsidR="00AF16E7" w:rsidRPr="006156B0">
        <w:t>.</w:t>
      </w:r>
      <w:r w:rsidR="00AF16E7">
        <w:t>3</w:t>
      </w:r>
      <w:r w:rsidR="00AF16E7" w:rsidRPr="006156B0">
        <w:t xml:space="preserve"> - Demanda de los hogares por Telefonía Fija en centros poblados e inspecciones de policía 2010 – 2012</w:t>
      </w:r>
    </w:p>
    <w:tbl>
      <w:tblPr>
        <w:tblW w:w="8742" w:type="dxa"/>
        <w:tblInd w:w="55" w:type="dxa"/>
        <w:tblCellMar>
          <w:left w:w="70" w:type="dxa"/>
          <w:right w:w="70" w:type="dxa"/>
        </w:tblCellMar>
        <w:tblLook w:val="04A0"/>
      </w:tblPr>
      <w:tblGrid>
        <w:gridCol w:w="1458"/>
        <w:gridCol w:w="967"/>
        <w:gridCol w:w="745"/>
        <w:gridCol w:w="980"/>
        <w:gridCol w:w="960"/>
        <w:gridCol w:w="884"/>
        <w:gridCol w:w="884"/>
        <w:gridCol w:w="964"/>
        <w:gridCol w:w="900"/>
      </w:tblGrid>
      <w:tr w:rsidR="00AF16E7" w:rsidRPr="00721439" w:rsidTr="006B0C9D">
        <w:trPr>
          <w:trHeight w:val="300"/>
        </w:trPr>
        <w:tc>
          <w:tcPr>
            <w:tcW w:w="3170" w:type="dxa"/>
            <w:gridSpan w:val="3"/>
            <w:shd w:val="clear" w:color="auto" w:fill="auto"/>
            <w:noWrap/>
            <w:vAlign w:val="bottom"/>
            <w:hideMark/>
          </w:tcPr>
          <w:p w:rsidR="00AF16E7" w:rsidRPr="00721439" w:rsidRDefault="00AF16E7" w:rsidP="006B0C9D">
            <w:pPr>
              <w:spacing w:before="0" w:line="240" w:lineRule="auto"/>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 CENTROS POBLADOS</w:t>
            </w:r>
          </w:p>
        </w:tc>
        <w:tc>
          <w:tcPr>
            <w:tcW w:w="980" w:type="dxa"/>
            <w:shd w:val="clear" w:color="auto" w:fill="auto"/>
            <w:noWrap/>
            <w:vAlign w:val="bottom"/>
            <w:hideMark/>
          </w:tcPr>
          <w:p w:rsidR="00AF16E7" w:rsidRPr="00721439" w:rsidRDefault="00AF16E7" w:rsidP="006B0C9D">
            <w:pPr>
              <w:spacing w:before="0" w:line="240" w:lineRule="auto"/>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960" w:type="dxa"/>
            <w:shd w:val="clear" w:color="auto" w:fill="auto"/>
            <w:noWrap/>
            <w:vAlign w:val="bottom"/>
            <w:hideMark/>
          </w:tcPr>
          <w:p w:rsidR="00AF16E7" w:rsidRPr="00721439" w:rsidRDefault="00AF16E7" w:rsidP="006B0C9D">
            <w:pPr>
              <w:spacing w:before="0" w:line="240" w:lineRule="auto"/>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900"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110" w:type="dxa"/>
            <w:gridSpan w:val="5"/>
            <w:shd w:val="clear" w:color="auto" w:fill="auto"/>
            <w:noWrap/>
            <w:vAlign w:val="bottom"/>
            <w:hideMark/>
          </w:tcPr>
          <w:p w:rsidR="00AF16E7" w:rsidRPr="00824551" w:rsidRDefault="00AF16E7" w:rsidP="006B0C9D">
            <w:pPr>
              <w:spacing w:before="0" w:line="240" w:lineRule="auto"/>
              <w:rPr>
                <w:rFonts w:ascii="Arial Narrow" w:eastAsia="Times New Roman" w:hAnsi="Arial Narrow" w:cs="Times New Roman"/>
                <w:color w:val="000000"/>
                <w:sz w:val="20"/>
                <w:szCs w:val="20"/>
                <w:lang w:val="en-US" w:eastAsia="es-CO"/>
              </w:rPr>
            </w:pPr>
            <w:r w:rsidRPr="00824551">
              <w:rPr>
                <w:rFonts w:ascii="Arial Narrow" w:eastAsia="Times New Roman" w:hAnsi="Arial Narrow" w:cs="Times New Roman"/>
                <w:color w:val="000000"/>
                <w:sz w:val="20"/>
                <w:szCs w:val="20"/>
                <w:lang w:val="en-US" w:eastAsia="es-CO"/>
              </w:rPr>
              <w:t xml:space="preserve">Logistic regression                       Number of </w:t>
            </w:r>
            <w:proofErr w:type="spellStart"/>
            <w:r w:rsidRPr="00824551">
              <w:rPr>
                <w:rFonts w:ascii="Arial Narrow" w:eastAsia="Times New Roman" w:hAnsi="Arial Narrow" w:cs="Times New Roman"/>
                <w:color w:val="000000"/>
                <w:sz w:val="20"/>
                <w:szCs w:val="20"/>
                <w:lang w:val="en-US" w:eastAsia="es-CO"/>
              </w:rPr>
              <w:t>obs</w:t>
            </w:r>
            <w:proofErr w:type="spellEnd"/>
            <w:r w:rsidRPr="00824551">
              <w:rPr>
                <w:rFonts w:ascii="Arial Narrow" w:eastAsia="Times New Roman" w:hAnsi="Arial Narrow" w:cs="Times New Roman"/>
                <w:color w:val="000000"/>
                <w:sz w:val="20"/>
                <w:szCs w:val="20"/>
                <w:lang w:val="en-US" w:eastAsia="es-CO"/>
              </w:rPr>
              <w:t xml:space="preserve">   =       5169</w:t>
            </w:r>
          </w:p>
        </w:tc>
        <w:tc>
          <w:tcPr>
            <w:tcW w:w="884"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84"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64"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00"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824551">
              <w:rPr>
                <w:rFonts w:ascii="Arial Narrow" w:eastAsia="Times New Roman" w:hAnsi="Arial Narrow" w:cs="Times New Roman"/>
                <w:color w:val="000000"/>
                <w:sz w:val="20"/>
                <w:szCs w:val="20"/>
                <w:lang w:val="en-US" w:eastAsia="es-CO"/>
              </w:rPr>
              <w:t> </w:t>
            </w:r>
          </w:p>
        </w:tc>
      </w:tr>
      <w:tr w:rsidR="00AF16E7" w:rsidRPr="00721439" w:rsidTr="006B0C9D">
        <w:trPr>
          <w:trHeight w:val="300"/>
        </w:trPr>
        <w:tc>
          <w:tcPr>
            <w:tcW w:w="5110" w:type="dxa"/>
            <w:gridSpan w:val="5"/>
            <w:shd w:val="clear" w:color="auto" w:fill="auto"/>
            <w:noWrap/>
            <w:vAlign w:val="bottom"/>
            <w:hideMark/>
          </w:tcPr>
          <w:p w:rsidR="00AF16E7" w:rsidRPr="00721439" w:rsidRDefault="00AF16E7" w:rsidP="006B0C9D">
            <w:pPr>
              <w:spacing w:before="0" w:line="240" w:lineRule="auto"/>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LR chi2(15)     =     853.60</w:t>
            </w: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r>
      <w:tr w:rsidR="00AF16E7" w:rsidRPr="00721439" w:rsidTr="006B0C9D">
        <w:trPr>
          <w:trHeight w:val="300"/>
        </w:trPr>
        <w:tc>
          <w:tcPr>
            <w:tcW w:w="5110" w:type="dxa"/>
            <w:gridSpan w:val="5"/>
            <w:shd w:val="clear" w:color="auto" w:fill="auto"/>
            <w:noWrap/>
            <w:vAlign w:val="bottom"/>
            <w:hideMark/>
          </w:tcPr>
          <w:p w:rsidR="00AF16E7" w:rsidRPr="00721439"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Prob</w:t>
            </w:r>
            <w:proofErr w:type="spellEnd"/>
            <w:r w:rsidRPr="00721439">
              <w:rPr>
                <w:rFonts w:ascii="Arial Narrow" w:eastAsia="Times New Roman" w:hAnsi="Arial Narrow" w:cs="Times New Roman"/>
                <w:color w:val="000000"/>
                <w:sz w:val="20"/>
                <w:szCs w:val="20"/>
                <w:lang w:eastAsia="es-CO"/>
              </w:rPr>
              <w:t xml:space="preserve"> &gt; chi2     =     0.0000</w:t>
            </w: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r>
      <w:tr w:rsidR="00AF16E7" w:rsidRPr="00721439" w:rsidTr="006B0C9D">
        <w:trPr>
          <w:trHeight w:val="300"/>
        </w:trPr>
        <w:tc>
          <w:tcPr>
            <w:tcW w:w="5110" w:type="dxa"/>
            <w:gridSpan w:val="5"/>
            <w:shd w:val="clear" w:color="auto" w:fill="auto"/>
            <w:noWrap/>
            <w:vAlign w:val="bottom"/>
            <w:hideMark/>
          </w:tcPr>
          <w:p w:rsidR="00AF16E7" w:rsidRPr="00721439" w:rsidRDefault="00AF16E7" w:rsidP="006B0C9D">
            <w:pPr>
              <w:spacing w:before="0" w:line="240" w:lineRule="auto"/>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xml:space="preserve">Log </w:t>
            </w:r>
            <w:proofErr w:type="spellStart"/>
            <w:r w:rsidRPr="00721439">
              <w:rPr>
                <w:rFonts w:ascii="Arial Narrow" w:eastAsia="Times New Roman" w:hAnsi="Arial Narrow" w:cs="Times New Roman"/>
                <w:color w:val="000000"/>
                <w:sz w:val="20"/>
                <w:szCs w:val="20"/>
                <w:lang w:eastAsia="es-CO"/>
              </w:rPr>
              <w:t>likelihood</w:t>
            </w:r>
            <w:proofErr w:type="spellEnd"/>
            <w:r w:rsidRPr="00721439">
              <w:rPr>
                <w:rFonts w:ascii="Arial Narrow" w:eastAsia="Times New Roman" w:hAnsi="Arial Narrow" w:cs="Times New Roman"/>
                <w:color w:val="000000"/>
                <w:sz w:val="20"/>
                <w:szCs w:val="20"/>
                <w:lang w:eastAsia="es-CO"/>
              </w:rPr>
              <w:t xml:space="preserve"> = -1191.3985         </w:t>
            </w:r>
            <w:proofErr w:type="spellStart"/>
            <w:r w:rsidRPr="00721439">
              <w:rPr>
                <w:rFonts w:ascii="Arial Narrow" w:eastAsia="Times New Roman" w:hAnsi="Arial Narrow" w:cs="Times New Roman"/>
                <w:color w:val="000000"/>
                <w:sz w:val="20"/>
                <w:szCs w:val="20"/>
                <w:lang w:eastAsia="es-CO"/>
              </w:rPr>
              <w:t>Pseudo</w:t>
            </w:r>
            <w:proofErr w:type="spellEnd"/>
            <w:r w:rsidRPr="00721439">
              <w:rPr>
                <w:rFonts w:ascii="Arial Narrow" w:eastAsia="Times New Roman" w:hAnsi="Arial Narrow" w:cs="Times New Roman"/>
                <w:color w:val="000000"/>
                <w:sz w:val="20"/>
                <w:szCs w:val="20"/>
                <w:lang w:eastAsia="es-CO"/>
              </w:rPr>
              <w:t xml:space="preserve"> R2       =     0.2638</w:t>
            </w: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r>
      <w:tr w:rsidR="00AF16E7" w:rsidRPr="00721439" w:rsidTr="006B0C9D">
        <w:trPr>
          <w:trHeight w:val="315"/>
        </w:trPr>
        <w:tc>
          <w:tcPr>
            <w:tcW w:w="1458"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721439" w:rsidRDefault="00AF16E7" w:rsidP="006B0C9D">
            <w:pPr>
              <w:spacing w:before="0" w:line="240" w:lineRule="auto"/>
              <w:rPr>
                <w:rFonts w:ascii="Arial Narrow" w:eastAsia="Times New Roman" w:hAnsi="Arial Narrow" w:cs="Times New Roman"/>
                <w:b/>
                <w:color w:val="000000"/>
                <w:sz w:val="20"/>
                <w:szCs w:val="20"/>
                <w:lang w:eastAsia="es-CO"/>
              </w:rPr>
            </w:pPr>
            <w:r>
              <w:rPr>
                <w:rFonts w:ascii="Arial Narrow" w:eastAsia="Times New Roman" w:hAnsi="Arial Narrow" w:cs="Times New Roman"/>
                <w:b/>
                <w:color w:val="000000"/>
                <w:sz w:val="20"/>
                <w:szCs w:val="20"/>
                <w:lang w:eastAsia="es-CO"/>
              </w:rPr>
              <w:t>F</w:t>
            </w:r>
            <w:r w:rsidRPr="00721439">
              <w:rPr>
                <w:rFonts w:ascii="Arial Narrow" w:eastAsia="Times New Roman" w:hAnsi="Arial Narrow" w:cs="Times New Roman"/>
                <w:b/>
                <w:color w:val="000000"/>
                <w:sz w:val="20"/>
                <w:szCs w:val="20"/>
                <w:lang w:eastAsia="es-CO"/>
              </w:rPr>
              <w:t>ijo</w:t>
            </w:r>
          </w:p>
        </w:tc>
        <w:tc>
          <w:tcPr>
            <w:tcW w:w="967"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721439">
              <w:rPr>
                <w:rFonts w:ascii="Arial Narrow" w:eastAsia="Times New Roman" w:hAnsi="Arial Narrow" w:cs="Times New Roman"/>
                <w:b/>
                <w:color w:val="000000"/>
                <w:sz w:val="20"/>
                <w:szCs w:val="20"/>
                <w:lang w:eastAsia="es-CO"/>
              </w:rPr>
              <w:t>Coef</w:t>
            </w:r>
            <w:proofErr w:type="spellEnd"/>
            <w:r w:rsidRPr="00721439">
              <w:rPr>
                <w:rFonts w:ascii="Arial Narrow" w:eastAsia="Times New Roman" w:hAnsi="Arial Narrow" w:cs="Times New Roman"/>
                <w:b/>
                <w:color w:val="000000"/>
                <w:sz w:val="20"/>
                <w:szCs w:val="20"/>
                <w:lang w:eastAsia="es-CO"/>
              </w:rPr>
              <w:t>.</w:t>
            </w:r>
          </w:p>
        </w:tc>
        <w:tc>
          <w:tcPr>
            <w:tcW w:w="745"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721439">
              <w:rPr>
                <w:rFonts w:ascii="Arial Narrow" w:eastAsia="Times New Roman" w:hAnsi="Arial Narrow" w:cs="Times New Roman"/>
                <w:b/>
                <w:color w:val="000000"/>
                <w:sz w:val="20"/>
                <w:szCs w:val="20"/>
                <w:lang w:eastAsia="es-CO"/>
              </w:rPr>
              <w:t>Std.</w:t>
            </w:r>
            <w:proofErr w:type="spellEnd"/>
            <w:r w:rsidRPr="00721439">
              <w:rPr>
                <w:rFonts w:ascii="Arial Narrow" w:eastAsia="Times New Roman" w:hAnsi="Arial Narrow" w:cs="Times New Roman"/>
                <w:b/>
                <w:color w:val="000000"/>
                <w:sz w:val="20"/>
                <w:szCs w:val="20"/>
                <w:lang w:eastAsia="es-CO"/>
              </w:rPr>
              <w:t xml:space="preserve"> </w:t>
            </w:r>
            <w:proofErr w:type="spellStart"/>
            <w:r w:rsidRPr="00721439">
              <w:rPr>
                <w:rFonts w:ascii="Arial Narrow" w:eastAsia="Times New Roman" w:hAnsi="Arial Narrow" w:cs="Times New Roman"/>
                <w:b/>
                <w:color w:val="000000"/>
                <w:sz w:val="20"/>
                <w:szCs w:val="20"/>
                <w:lang w:eastAsia="es-CO"/>
              </w:rPr>
              <w:t>Err</w:t>
            </w:r>
            <w:proofErr w:type="spellEnd"/>
          </w:p>
        </w:tc>
        <w:tc>
          <w:tcPr>
            <w:tcW w:w="98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721439">
              <w:rPr>
                <w:rFonts w:ascii="Arial Narrow" w:eastAsia="Times New Roman" w:hAnsi="Arial Narrow" w:cs="Times New Roman"/>
                <w:b/>
                <w:color w:val="000000"/>
                <w:sz w:val="20"/>
                <w:szCs w:val="20"/>
                <w:lang w:eastAsia="es-CO"/>
              </w:rPr>
              <w:t>z</w:t>
            </w:r>
          </w:p>
        </w:tc>
        <w:tc>
          <w:tcPr>
            <w:tcW w:w="96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721439">
              <w:rPr>
                <w:rFonts w:ascii="Arial Narrow" w:eastAsia="Times New Roman" w:hAnsi="Arial Narrow" w:cs="Times New Roman"/>
                <w:b/>
                <w:color w:val="000000"/>
                <w:sz w:val="20"/>
                <w:szCs w:val="20"/>
                <w:lang w:eastAsia="es-CO"/>
              </w:rPr>
              <w:t>P&gt;z</w:t>
            </w:r>
          </w:p>
        </w:tc>
        <w:tc>
          <w:tcPr>
            <w:tcW w:w="1768" w:type="dxa"/>
            <w:gridSpan w:val="2"/>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721439">
              <w:rPr>
                <w:rFonts w:ascii="Arial Narrow" w:eastAsia="Times New Roman" w:hAnsi="Arial Narrow" w:cs="Times New Roman"/>
                <w:b/>
                <w:color w:val="000000"/>
                <w:sz w:val="20"/>
                <w:szCs w:val="20"/>
                <w:lang w:eastAsia="es-CO"/>
              </w:rPr>
              <w:t xml:space="preserve">[95% Conf. </w:t>
            </w:r>
            <w:proofErr w:type="spellStart"/>
            <w:r w:rsidRPr="00721439">
              <w:rPr>
                <w:rFonts w:ascii="Arial Narrow" w:eastAsia="Times New Roman" w:hAnsi="Arial Narrow" w:cs="Times New Roman"/>
                <w:b/>
                <w:color w:val="000000"/>
                <w:sz w:val="20"/>
                <w:szCs w:val="20"/>
                <w:lang w:eastAsia="es-CO"/>
              </w:rPr>
              <w:t>Interval</w:t>
            </w:r>
            <w:proofErr w:type="spellEnd"/>
            <w:r w:rsidRPr="00721439">
              <w:rPr>
                <w:rFonts w:ascii="Arial Narrow" w:eastAsia="Times New Roman" w:hAnsi="Arial Narrow" w:cs="Times New Roman"/>
                <w:b/>
                <w:color w:val="000000"/>
                <w:sz w:val="20"/>
                <w:szCs w:val="20"/>
                <w:lang w:eastAsia="es-CO"/>
              </w:rPr>
              <w:t>]</w:t>
            </w:r>
          </w:p>
        </w:tc>
        <w:tc>
          <w:tcPr>
            <w:tcW w:w="964"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721439">
              <w:rPr>
                <w:rFonts w:ascii="Arial Narrow" w:eastAsia="Times New Roman" w:hAnsi="Arial Narrow" w:cs="Times New Roman"/>
                <w:b/>
                <w:color w:val="000000"/>
                <w:sz w:val="20"/>
                <w:szCs w:val="20"/>
                <w:lang w:eastAsia="es-CO"/>
              </w:rPr>
              <w:t>Odds</w:t>
            </w:r>
            <w:proofErr w:type="spellEnd"/>
            <w:r w:rsidRPr="00721439">
              <w:rPr>
                <w:rFonts w:ascii="Arial Narrow" w:eastAsia="Times New Roman" w:hAnsi="Arial Narrow" w:cs="Times New Roman"/>
                <w:b/>
                <w:color w:val="000000"/>
                <w:sz w:val="20"/>
                <w:szCs w:val="20"/>
                <w:lang w:eastAsia="es-CO"/>
              </w:rPr>
              <w:t xml:space="preserve"> Ratio</w:t>
            </w:r>
          </w:p>
        </w:tc>
        <w:tc>
          <w:tcPr>
            <w:tcW w:w="90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m:oMath>
              <m:r>
                <m:rPr>
                  <m:sty m:val="bi"/>
                </m:rPr>
                <w:rPr>
                  <w:rFonts w:ascii="Cambria Math" w:eastAsia="Times New Roman" w:hAnsi="Cambria Math" w:cs="Times New Roman"/>
                  <w:color w:val="000000"/>
                  <w:sz w:val="20"/>
                  <w:szCs w:val="20"/>
                  <w:lang w:eastAsia="es-CO"/>
                </w:rPr>
                <m:t>∆p</m:t>
              </m:r>
            </m:oMath>
            <w:r w:rsidRPr="00721439">
              <w:rPr>
                <w:rFonts w:ascii="Arial Narrow" w:eastAsia="Times New Roman" w:hAnsi="Arial Narrow" w:cs="Times New Roman"/>
                <w:b/>
                <w:color w:val="000000"/>
                <w:sz w:val="20"/>
                <w:szCs w:val="20"/>
                <w:lang w:eastAsia="es-CO"/>
              </w:rPr>
              <w:t> </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t2012</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-0.359</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0.108</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-3.320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-0.570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-0.147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0.699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-8.9%</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atlantica</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-2.596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0.352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-7.370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-3.286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-1.906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0.075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-43.1%</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oriental</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-0.864</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0.295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-2.930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-1.442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-0.285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0.422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-20.3%</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pacifica</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-1.417</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0.300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-4.730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-2.004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-0.829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0.243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-30.5%</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antioquia</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2.016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0.167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12.060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1.688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2.343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7.506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38.2%</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valle</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0.536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0.163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3.290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0.217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0.854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1.709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13.1%</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educbas</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-0.174</w:t>
            </w:r>
            <w:r w:rsidRPr="00721439">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0.165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-1.060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0.291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-0.497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0.149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0.840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-4.3%</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educmed</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vertAlign w:val="superscript"/>
                <w:lang w:eastAsia="es-CO"/>
              </w:rPr>
            </w:pPr>
            <w:r w:rsidRPr="00721439">
              <w:rPr>
                <w:rFonts w:ascii="Arial Narrow" w:eastAsia="Times New Roman" w:hAnsi="Arial Narrow" w:cs="Times New Roman"/>
                <w:color w:val="000000"/>
                <w:sz w:val="20"/>
                <w:szCs w:val="20"/>
                <w:lang w:eastAsia="es-CO"/>
              </w:rPr>
              <w:t>0.662</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0.125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5.310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0.418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0.907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1.939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16.0%</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eductec</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0.843</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0.171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4.930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0.508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1.179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2.324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19.9%</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educuniv</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0.620</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0.226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2.740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0.177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1.063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1.859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15.0%</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edad12_17</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-0.208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0.122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-1.710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0.087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-0.446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0.031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0.813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-5.2%</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edad18_34</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-0.428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0.126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-3.400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-0.675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-0.181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0.652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-10.5%</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edad35_60</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0.378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0.135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2.800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0.113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0.644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1.460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9.4%</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edad61mas</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0.999</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0.126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7.940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0.753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1.246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2.716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23.1%</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ingreso_mill</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0.541</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0.081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6.690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0.382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0.699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1.718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13.2%</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_</w:t>
            </w:r>
            <w:proofErr w:type="spellStart"/>
            <w:r w:rsidRPr="00721439">
              <w:rPr>
                <w:rFonts w:ascii="Arial Narrow" w:eastAsia="Times New Roman" w:hAnsi="Arial Narrow" w:cs="Times New Roman"/>
                <w:color w:val="000000"/>
                <w:sz w:val="20"/>
                <w:szCs w:val="20"/>
                <w:lang w:eastAsia="es-CO"/>
              </w:rPr>
              <w:t>cons</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-3.203</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0.235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-13.600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-3.664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-2.741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0.041</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-46.1%</w:t>
            </w:r>
          </w:p>
        </w:tc>
      </w:tr>
    </w:tbl>
    <w:p w:rsidR="00AF16E7" w:rsidRPr="00544B68" w:rsidRDefault="00AF16E7" w:rsidP="00AF16E7">
      <w:pPr>
        <w:widowControl w:val="0"/>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451299" w:rsidRDefault="00451299" w:rsidP="00AF16E7">
      <w:pPr>
        <w:widowControl w:val="0"/>
        <w:spacing w:before="120" w:after="120"/>
        <w:jc w:val="center"/>
        <w:rPr>
          <w:rFonts w:ascii="Century Gothic" w:eastAsia="Calibri" w:hAnsi="Century Gothic" w:cs="Times New Roman"/>
          <w:color w:val="404040" w:themeColor="text1" w:themeTint="BF"/>
          <w:sz w:val="18"/>
          <w:szCs w:val="18"/>
        </w:rPr>
      </w:pPr>
    </w:p>
    <w:p w:rsidR="00D963BF" w:rsidRDefault="00D963BF" w:rsidP="00AF16E7">
      <w:pPr>
        <w:widowControl w:val="0"/>
        <w:spacing w:before="120" w:after="120"/>
        <w:jc w:val="center"/>
        <w:rPr>
          <w:rFonts w:ascii="Century Gothic" w:eastAsia="Calibri" w:hAnsi="Century Gothic" w:cs="Times New Roman"/>
          <w:color w:val="404040" w:themeColor="text1" w:themeTint="BF"/>
          <w:sz w:val="18"/>
          <w:szCs w:val="18"/>
        </w:rPr>
      </w:pPr>
    </w:p>
    <w:p w:rsidR="00D963BF" w:rsidRDefault="00D963BF" w:rsidP="00AF16E7">
      <w:pPr>
        <w:widowControl w:val="0"/>
        <w:spacing w:before="120" w:after="120"/>
        <w:jc w:val="center"/>
        <w:rPr>
          <w:rFonts w:ascii="Century Gothic" w:eastAsia="Calibri" w:hAnsi="Century Gothic" w:cs="Times New Roman"/>
          <w:color w:val="404040" w:themeColor="text1" w:themeTint="BF"/>
          <w:sz w:val="18"/>
          <w:szCs w:val="18"/>
        </w:rPr>
      </w:pPr>
    </w:p>
    <w:p w:rsidR="00FB349B" w:rsidRDefault="00FB349B" w:rsidP="00AF16E7">
      <w:pPr>
        <w:widowControl w:val="0"/>
        <w:spacing w:before="120" w:after="120"/>
        <w:jc w:val="center"/>
        <w:rPr>
          <w:rFonts w:ascii="Century Gothic" w:eastAsia="Calibri" w:hAnsi="Century Gothic" w:cs="Times New Roman"/>
          <w:color w:val="404040" w:themeColor="text1" w:themeTint="BF"/>
          <w:sz w:val="18"/>
          <w:szCs w:val="18"/>
        </w:rPr>
      </w:pPr>
    </w:p>
    <w:p w:rsidR="00FB349B" w:rsidRDefault="00FB349B" w:rsidP="00AF16E7">
      <w:pPr>
        <w:widowControl w:val="0"/>
        <w:spacing w:before="120" w:after="120"/>
        <w:jc w:val="center"/>
        <w:rPr>
          <w:rFonts w:ascii="Century Gothic" w:eastAsia="Calibri" w:hAnsi="Century Gothic" w:cs="Times New Roman"/>
          <w:color w:val="404040" w:themeColor="text1" w:themeTint="BF"/>
          <w:sz w:val="18"/>
          <w:szCs w:val="18"/>
        </w:rPr>
      </w:pPr>
    </w:p>
    <w:p w:rsidR="002D4742" w:rsidRDefault="002D4742" w:rsidP="00AF16E7">
      <w:pPr>
        <w:widowControl w:val="0"/>
        <w:spacing w:before="120" w:after="120"/>
        <w:jc w:val="center"/>
        <w:rPr>
          <w:rFonts w:ascii="Century Gothic" w:eastAsia="Calibri" w:hAnsi="Century Gothic" w:cs="Times New Roman"/>
          <w:color w:val="404040" w:themeColor="text1" w:themeTint="BF"/>
          <w:sz w:val="18"/>
          <w:szCs w:val="18"/>
        </w:rPr>
      </w:pPr>
    </w:p>
    <w:p w:rsidR="00FB349B" w:rsidRDefault="00FB349B" w:rsidP="00AF16E7">
      <w:pPr>
        <w:widowControl w:val="0"/>
        <w:spacing w:before="120" w:after="120"/>
        <w:jc w:val="center"/>
        <w:rPr>
          <w:rFonts w:ascii="Century Gothic" w:eastAsia="Calibri" w:hAnsi="Century Gothic" w:cs="Times New Roman"/>
          <w:color w:val="404040" w:themeColor="text1" w:themeTint="BF"/>
          <w:sz w:val="18"/>
          <w:szCs w:val="18"/>
        </w:rPr>
      </w:pPr>
    </w:p>
    <w:p w:rsidR="00FB349B" w:rsidRPr="00A22F22" w:rsidRDefault="00FB349B" w:rsidP="00AF16E7">
      <w:pPr>
        <w:widowControl w:val="0"/>
        <w:spacing w:before="120" w:after="120"/>
        <w:jc w:val="center"/>
        <w:rPr>
          <w:rFonts w:ascii="Century Gothic" w:eastAsia="Calibri" w:hAnsi="Century Gothic" w:cs="Times New Roman"/>
          <w:color w:val="404040" w:themeColor="text1" w:themeTint="BF"/>
          <w:sz w:val="18"/>
          <w:szCs w:val="18"/>
        </w:rPr>
      </w:pPr>
    </w:p>
    <w:p w:rsidR="00AF16E7" w:rsidRPr="0090467E" w:rsidRDefault="00451299" w:rsidP="00451299">
      <w:pPr>
        <w:pStyle w:val="T-Figura"/>
        <w:keepNext w:val="0"/>
        <w:keepLines w:val="0"/>
        <w:widowControl w:val="0"/>
        <w:rPr>
          <w:rFonts w:eastAsia="Calibri"/>
        </w:rPr>
      </w:pPr>
      <w:r>
        <w:rPr>
          <w:rFonts w:eastAsia="Calibri"/>
        </w:rPr>
        <w:t>Cuadro A1</w:t>
      </w:r>
      <w:r w:rsidR="00AF16E7" w:rsidRPr="0090467E">
        <w:rPr>
          <w:rFonts w:eastAsia="Calibri"/>
        </w:rPr>
        <w:t>.</w:t>
      </w:r>
      <w:r w:rsidR="00AF16E7">
        <w:rPr>
          <w:rFonts w:eastAsia="Calibri"/>
        </w:rPr>
        <w:t xml:space="preserve">4 - </w:t>
      </w:r>
      <w:r w:rsidR="00AF16E7" w:rsidRPr="0090467E">
        <w:rPr>
          <w:rFonts w:eastAsia="Calibri"/>
        </w:rPr>
        <w:t xml:space="preserve">Demanda de los hogares por Telefonía Fija en el área rural dispersa 2010 </w:t>
      </w:r>
      <w:r w:rsidR="00AF16E7">
        <w:rPr>
          <w:rFonts w:eastAsia="Calibri"/>
        </w:rPr>
        <w:t>–</w:t>
      </w:r>
      <w:r w:rsidR="00AF16E7" w:rsidRPr="0090467E">
        <w:rPr>
          <w:rFonts w:eastAsia="Calibri"/>
        </w:rPr>
        <w:t xml:space="preserve"> 2012</w:t>
      </w:r>
    </w:p>
    <w:tbl>
      <w:tblPr>
        <w:tblW w:w="8742" w:type="dxa"/>
        <w:tblInd w:w="55" w:type="dxa"/>
        <w:tblCellMar>
          <w:left w:w="70" w:type="dxa"/>
          <w:right w:w="70" w:type="dxa"/>
        </w:tblCellMar>
        <w:tblLook w:val="04A0"/>
      </w:tblPr>
      <w:tblGrid>
        <w:gridCol w:w="1458"/>
        <w:gridCol w:w="967"/>
        <w:gridCol w:w="745"/>
        <w:gridCol w:w="980"/>
        <w:gridCol w:w="960"/>
        <w:gridCol w:w="884"/>
        <w:gridCol w:w="884"/>
        <w:gridCol w:w="964"/>
        <w:gridCol w:w="900"/>
      </w:tblGrid>
      <w:tr w:rsidR="00AF16E7" w:rsidRPr="00721439" w:rsidTr="006B0C9D">
        <w:trPr>
          <w:trHeight w:val="300"/>
        </w:trPr>
        <w:tc>
          <w:tcPr>
            <w:tcW w:w="3170" w:type="dxa"/>
            <w:gridSpan w:val="3"/>
            <w:shd w:val="clear" w:color="auto" w:fill="auto"/>
            <w:noWrap/>
            <w:vAlign w:val="bottom"/>
            <w:hideMark/>
          </w:tcPr>
          <w:p w:rsidR="00AF16E7" w:rsidRPr="00721439" w:rsidRDefault="00AF16E7" w:rsidP="006B0C9D">
            <w:pPr>
              <w:widowControl w:val="0"/>
              <w:spacing w:before="0" w:line="240" w:lineRule="auto"/>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 ÁREA RURAL DISPERSA</w:t>
            </w:r>
          </w:p>
        </w:tc>
        <w:tc>
          <w:tcPr>
            <w:tcW w:w="980" w:type="dxa"/>
            <w:shd w:val="clear" w:color="auto" w:fill="auto"/>
            <w:noWrap/>
            <w:vAlign w:val="bottom"/>
            <w:hideMark/>
          </w:tcPr>
          <w:p w:rsidR="00AF16E7" w:rsidRPr="00721439" w:rsidRDefault="00AF16E7" w:rsidP="006B0C9D">
            <w:pPr>
              <w:widowControl w:val="0"/>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960" w:type="dxa"/>
            <w:shd w:val="clear" w:color="auto" w:fill="auto"/>
            <w:noWrap/>
            <w:vAlign w:val="bottom"/>
            <w:hideMark/>
          </w:tcPr>
          <w:p w:rsidR="00AF16E7" w:rsidRPr="00721439" w:rsidRDefault="00AF16E7" w:rsidP="006B0C9D">
            <w:pPr>
              <w:widowControl w:val="0"/>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721439" w:rsidRDefault="00AF16E7" w:rsidP="006B0C9D">
            <w:pPr>
              <w:widowControl w:val="0"/>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721439" w:rsidRDefault="00AF16E7" w:rsidP="006B0C9D">
            <w:pPr>
              <w:widowControl w:val="0"/>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721439" w:rsidRDefault="00AF16E7" w:rsidP="006B0C9D">
            <w:pPr>
              <w:widowControl w:val="0"/>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c>
          <w:tcPr>
            <w:tcW w:w="900" w:type="dxa"/>
            <w:shd w:val="clear" w:color="auto" w:fill="auto"/>
            <w:noWrap/>
            <w:vAlign w:val="bottom"/>
            <w:hideMark/>
          </w:tcPr>
          <w:p w:rsidR="00AF16E7" w:rsidRPr="00721439" w:rsidRDefault="00AF16E7" w:rsidP="006B0C9D">
            <w:pPr>
              <w:widowControl w:val="0"/>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110" w:type="dxa"/>
            <w:gridSpan w:val="5"/>
            <w:shd w:val="clear" w:color="auto" w:fill="auto"/>
            <w:noWrap/>
            <w:vAlign w:val="bottom"/>
            <w:hideMark/>
          </w:tcPr>
          <w:p w:rsidR="00AF16E7" w:rsidRPr="00721439" w:rsidRDefault="00AF16E7" w:rsidP="006B0C9D">
            <w:pPr>
              <w:spacing w:before="0" w:line="240" w:lineRule="auto"/>
              <w:rPr>
                <w:rFonts w:ascii="Arial Narrow" w:eastAsia="Times New Roman" w:hAnsi="Arial Narrow" w:cs="Times New Roman"/>
                <w:color w:val="000000"/>
                <w:sz w:val="20"/>
                <w:szCs w:val="20"/>
                <w:lang w:val="en-US" w:eastAsia="es-CO"/>
              </w:rPr>
            </w:pPr>
            <w:r w:rsidRPr="00721439">
              <w:rPr>
                <w:rFonts w:ascii="Arial Narrow" w:eastAsia="Times New Roman" w:hAnsi="Arial Narrow" w:cs="Times New Roman"/>
                <w:color w:val="000000"/>
                <w:sz w:val="20"/>
                <w:szCs w:val="20"/>
                <w:lang w:val="en-US" w:eastAsia="es-CO"/>
              </w:rPr>
              <w:t xml:space="preserve">Logistic regression                       Number of </w:t>
            </w:r>
            <w:proofErr w:type="spellStart"/>
            <w:r w:rsidRPr="00721439">
              <w:rPr>
                <w:rFonts w:ascii="Arial Narrow" w:eastAsia="Times New Roman" w:hAnsi="Arial Narrow" w:cs="Times New Roman"/>
                <w:color w:val="000000"/>
                <w:sz w:val="20"/>
                <w:szCs w:val="20"/>
                <w:lang w:val="en-US" w:eastAsia="es-CO"/>
              </w:rPr>
              <w:t>obs</w:t>
            </w:r>
            <w:proofErr w:type="spellEnd"/>
            <w:r w:rsidRPr="00721439">
              <w:rPr>
                <w:rFonts w:ascii="Arial Narrow" w:eastAsia="Times New Roman" w:hAnsi="Arial Narrow" w:cs="Times New Roman"/>
                <w:color w:val="000000"/>
                <w:sz w:val="20"/>
                <w:szCs w:val="20"/>
                <w:lang w:val="en-US" w:eastAsia="es-CO"/>
              </w:rPr>
              <w:t xml:space="preserve">   =       8948</w:t>
            </w: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6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00"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721439">
              <w:rPr>
                <w:rFonts w:ascii="Arial Narrow" w:eastAsia="Times New Roman" w:hAnsi="Arial Narrow" w:cs="Times New Roman"/>
                <w:color w:val="000000"/>
                <w:sz w:val="20"/>
                <w:szCs w:val="20"/>
                <w:lang w:val="en-US" w:eastAsia="es-CO"/>
              </w:rPr>
              <w:t> </w:t>
            </w:r>
          </w:p>
        </w:tc>
      </w:tr>
      <w:tr w:rsidR="00AF16E7" w:rsidRPr="00721439" w:rsidTr="006B0C9D">
        <w:trPr>
          <w:trHeight w:val="300"/>
        </w:trPr>
        <w:tc>
          <w:tcPr>
            <w:tcW w:w="5110" w:type="dxa"/>
            <w:gridSpan w:val="5"/>
            <w:shd w:val="clear" w:color="auto" w:fill="auto"/>
            <w:noWrap/>
            <w:vAlign w:val="bottom"/>
            <w:hideMark/>
          </w:tcPr>
          <w:p w:rsidR="00AF16E7" w:rsidRPr="00721439" w:rsidRDefault="00AF16E7" w:rsidP="006B0C9D">
            <w:pPr>
              <w:spacing w:before="0" w:line="240" w:lineRule="auto"/>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LR chi2(15)     =     618.91</w:t>
            </w: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r>
      <w:tr w:rsidR="00AF16E7" w:rsidRPr="00721439" w:rsidTr="006B0C9D">
        <w:trPr>
          <w:trHeight w:val="300"/>
        </w:trPr>
        <w:tc>
          <w:tcPr>
            <w:tcW w:w="5110" w:type="dxa"/>
            <w:gridSpan w:val="5"/>
            <w:shd w:val="clear" w:color="auto" w:fill="auto"/>
            <w:noWrap/>
            <w:vAlign w:val="bottom"/>
            <w:hideMark/>
          </w:tcPr>
          <w:p w:rsidR="00AF16E7" w:rsidRPr="00721439"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Prob</w:t>
            </w:r>
            <w:proofErr w:type="spellEnd"/>
            <w:r w:rsidRPr="00721439">
              <w:rPr>
                <w:rFonts w:ascii="Arial Narrow" w:eastAsia="Times New Roman" w:hAnsi="Arial Narrow" w:cs="Times New Roman"/>
                <w:color w:val="000000"/>
                <w:sz w:val="20"/>
                <w:szCs w:val="20"/>
                <w:lang w:eastAsia="es-CO"/>
              </w:rPr>
              <w:t xml:space="preserve"> &gt; chi2     =     0.0000</w:t>
            </w: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721439" w:rsidRDefault="00AF16E7" w:rsidP="006B0C9D">
            <w:pPr>
              <w:spacing w:before="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r>
      <w:tr w:rsidR="00AF16E7" w:rsidRPr="00721439" w:rsidTr="006B0C9D">
        <w:trPr>
          <w:trHeight w:val="300"/>
        </w:trPr>
        <w:tc>
          <w:tcPr>
            <w:tcW w:w="5110" w:type="dxa"/>
            <w:gridSpan w:val="5"/>
            <w:shd w:val="clear" w:color="auto" w:fill="auto"/>
            <w:noWrap/>
            <w:vAlign w:val="bottom"/>
            <w:hideMark/>
          </w:tcPr>
          <w:p w:rsidR="00AF16E7" w:rsidRPr="00721439" w:rsidRDefault="00AF16E7" w:rsidP="00544B68">
            <w:pPr>
              <w:spacing w:before="0" w:after="240" w:line="240" w:lineRule="auto"/>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xml:space="preserve">Log </w:t>
            </w:r>
            <w:proofErr w:type="spellStart"/>
            <w:r w:rsidRPr="00721439">
              <w:rPr>
                <w:rFonts w:ascii="Arial Narrow" w:eastAsia="Times New Roman" w:hAnsi="Arial Narrow" w:cs="Times New Roman"/>
                <w:color w:val="000000"/>
                <w:sz w:val="20"/>
                <w:szCs w:val="20"/>
                <w:lang w:eastAsia="es-CO"/>
              </w:rPr>
              <w:t>likelihood</w:t>
            </w:r>
            <w:proofErr w:type="spellEnd"/>
            <w:r w:rsidRPr="00721439">
              <w:rPr>
                <w:rFonts w:ascii="Arial Narrow" w:eastAsia="Times New Roman" w:hAnsi="Arial Narrow" w:cs="Times New Roman"/>
                <w:color w:val="000000"/>
                <w:sz w:val="20"/>
                <w:szCs w:val="20"/>
                <w:lang w:eastAsia="es-CO"/>
              </w:rPr>
              <w:t xml:space="preserve"> = -956.67578         </w:t>
            </w:r>
            <w:proofErr w:type="spellStart"/>
            <w:r w:rsidRPr="00721439">
              <w:rPr>
                <w:rFonts w:ascii="Arial Narrow" w:eastAsia="Times New Roman" w:hAnsi="Arial Narrow" w:cs="Times New Roman"/>
                <w:color w:val="000000"/>
                <w:sz w:val="20"/>
                <w:szCs w:val="20"/>
                <w:lang w:eastAsia="es-CO"/>
              </w:rPr>
              <w:t>Pseudo</w:t>
            </w:r>
            <w:proofErr w:type="spellEnd"/>
            <w:r w:rsidRPr="00721439">
              <w:rPr>
                <w:rFonts w:ascii="Arial Narrow" w:eastAsia="Times New Roman" w:hAnsi="Arial Narrow" w:cs="Times New Roman"/>
                <w:color w:val="000000"/>
                <w:sz w:val="20"/>
                <w:szCs w:val="20"/>
                <w:lang w:eastAsia="es-CO"/>
              </w:rPr>
              <w:t xml:space="preserve"> R2       =     0.2444</w:t>
            </w:r>
          </w:p>
        </w:tc>
        <w:tc>
          <w:tcPr>
            <w:tcW w:w="884" w:type="dxa"/>
            <w:shd w:val="clear" w:color="auto" w:fill="auto"/>
            <w:noWrap/>
            <w:vAlign w:val="bottom"/>
            <w:hideMark/>
          </w:tcPr>
          <w:p w:rsidR="00AF16E7" w:rsidRPr="00721439" w:rsidRDefault="00AF16E7" w:rsidP="00544B68">
            <w:pPr>
              <w:spacing w:before="0" w:after="24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721439" w:rsidRDefault="00AF16E7" w:rsidP="00544B68">
            <w:pPr>
              <w:spacing w:before="0" w:after="24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721439" w:rsidRDefault="00AF16E7" w:rsidP="00544B68">
            <w:pPr>
              <w:spacing w:before="0" w:after="24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721439" w:rsidRDefault="00AF16E7" w:rsidP="00544B68">
            <w:pPr>
              <w:spacing w:before="0" w:after="240" w:line="240" w:lineRule="auto"/>
              <w:jc w:val="center"/>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 </w:t>
            </w:r>
          </w:p>
        </w:tc>
      </w:tr>
      <w:tr w:rsidR="00AF16E7" w:rsidRPr="00721439" w:rsidTr="006B0C9D">
        <w:trPr>
          <w:trHeight w:val="315"/>
        </w:trPr>
        <w:tc>
          <w:tcPr>
            <w:tcW w:w="1458" w:type="dxa"/>
            <w:shd w:val="clear" w:color="auto" w:fill="A6A6A6" w:themeFill="background1" w:themeFillShade="A6"/>
            <w:noWrap/>
            <w:vAlign w:val="bottom"/>
            <w:hideMark/>
          </w:tcPr>
          <w:p w:rsidR="00AF16E7" w:rsidRPr="00721439" w:rsidRDefault="00AF16E7" w:rsidP="00544B68">
            <w:pPr>
              <w:spacing w:before="0" w:after="240" w:line="240" w:lineRule="auto"/>
              <w:rPr>
                <w:rFonts w:ascii="Arial Narrow" w:eastAsia="Times New Roman" w:hAnsi="Arial Narrow" w:cs="Times New Roman"/>
                <w:b/>
                <w:color w:val="000000"/>
                <w:sz w:val="20"/>
                <w:szCs w:val="20"/>
                <w:lang w:eastAsia="es-CO"/>
              </w:rPr>
            </w:pPr>
            <w:r w:rsidRPr="00721439">
              <w:rPr>
                <w:rFonts w:ascii="Arial Narrow" w:eastAsia="Times New Roman" w:hAnsi="Arial Narrow" w:cs="Times New Roman"/>
                <w:b/>
                <w:color w:val="000000"/>
                <w:sz w:val="20"/>
                <w:szCs w:val="20"/>
                <w:lang w:eastAsia="es-CO"/>
              </w:rPr>
              <w:t>fijo</w:t>
            </w:r>
          </w:p>
        </w:tc>
        <w:tc>
          <w:tcPr>
            <w:tcW w:w="967" w:type="dxa"/>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721439">
              <w:rPr>
                <w:rFonts w:ascii="Arial Narrow" w:eastAsia="Times New Roman" w:hAnsi="Arial Narrow" w:cs="Times New Roman"/>
                <w:b/>
                <w:color w:val="000000"/>
                <w:sz w:val="20"/>
                <w:szCs w:val="20"/>
                <w:lang w:eastAsia="es-CO"/>
              </w:rPr>
              <w:t>Coef</w:t>
            </w:r>
            <w:proofErr w:type="spellEnd"/>
            <w:r w:rsidRPr="00721439">
              <w:rPr>
                <w:rFonts w:ascii="Arial Narrow" w:eastAsia="Times New Roman" w:hAnsi="Arial Narrow" w:cs="Times New Roman"/>
                <w:b/>
                <w:color w:val="000000"/>
                <w:sz w:val="20"/>
                <w:szCs w:val="20"/>
                <w:lang w:eastAsia="es-CO"/>
              </w:rPr>
              <w:t>.</w:t>
            </w:r>
          </w:p>
        </w:tc>
        <w:tc>
          <w:tcPr>
            <w:tcW w:w="745" w:type="dxa"/>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721439">
              <w:rPr>
                <w:rFonts w:ascii="Arial Narrow" w:eastAsia="Times New Roman" w:hAnsi="Arial Narrow" w:cs="Times New Roman"/>
                <w:b/>
                <w:color w:val="000000"/>
                <w:sz w:val="20"/>
                <w:szCs w:val="20"/>
                <w:lang w:eastAsia="es-CO"/>
              </w:rPr>
              <w:t>Std.</w:t>
            </w:r>
            <w:proofErr w:type="spellEnd"/>
            <w:r w:rsidRPr="00721439">
              <w:rPr>
                <w:rFonts w:ascii="Arial Narrow" w:eastAsia="Times New Roman" w:hAnsi="Arial Narrow" w:cs="Times New Roman"/>
                <w:b/>
                <w:color w:val="000000"/>
                <w:sz w:val="20"/>
                <w:szCs w:val="20"/>
                <w:lang w:eastAsia="es-CO"/>
              </w:rPr>
              <w:t xml:space="preserve"> </w:t>
            </w:r>
            <w:proofErr w:type="spellStart"/>
            <w:r w:rsidRPr="00721439">
              <w:rPr>
                <w:rFonts w:ascii="Arial Narrow" w:eastAsia="Times New Roman" w:hAnsi="Arial Narrow" w:cs="Times New Roman"/>
                <w:b/>
                <w:color w:val="000000"/>
                <w:sz w:val="20"/>
                <w:szCs w:val="20"/>
                <w:lang w:eastAsia="es-CO"/>
              </w:rPr>
              <w:t>Err</w:t>
            </w:r>
            <w:proofErr w:type="spellEnd"/>
          </w:p>
        </w:tc>
        <w:tc>
          <w:tcPr>
            <w:tcW w:w="980" w:type="dxa"/>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721439">
              <w:rPr>
                <w:rFonts w:ascii="Arial Narrow" w:eastAsia="Times New Roman" w:hAnsi="Arial Narrow" w:cs="Times New Roman"/>
                <w:b/>
                <w:color w:val="000000"/>
                <w:sz w:val="20"/>
                <w:szCs w:val="20"/>
                <w:lang w:eastAsia="es-CO"/>
              </w:rPr>
              <w:t>z</w:t>
            </w:r>
          </w:p>
        </w:tc>
        <w:tc>
          <w:tcPr>
            <w:tcW w:w="960" w:type="dxa"/>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721439">
              <w:rPr>
                <w:rFonts w:ascii="Arial Narrow" w:eastAsia="Times New Roman" w:hAnsi="Arial Narrow" w:cs="Times New Roman"/>
                <w:b/>
                <w:color w:val="000000"/>
                <w:sz w:val="20"/>
                <w:szCs w:val="20"/>
                <w:lang w:eastAsia="es-CO"/>
              </w:rPr>
              <w:t>P&gt;z</w:t>
            </w:r>
          </w:p>
        </w:tc>
        <w:tc>
          <w:tcPr>
            <w:tcW w:w="1768" w:type="dxa"/>
            <w:gridSpan w:val="2"/>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721439">
              <w:rPr>
                <w:rFonts w:ascii="Arial Narrow" w:eastAsia="Times New Roman" w:hAnsi="Arial Narrow" w:cs="Times New Roman"/>
                <w:b/>
                <w:color w:val="000000"/>
                <w:sz w:val="20"/>
                <w:szCs w:val="20"/>
                <w:lang w:eastAsia="es-CO"/>
              </w:rPr>
              <w:t xml:space="preserve">[95% Conf. </w:t>
            </w:r>
            <w:proofErr w:type="spellStart"/>
            <w:r w:rsidRPr="00721439">
              <w:rPr>
                <w:rFonts w:ascii="Arial Narrow" w:eastAsia="Times New Roman" w:hAnsi="Arial Narrow" w:cs="Times New Roman"/>
                <w:b/>
                <w:color w:val="000000"/>
                <w:sz w:val="20"/>
                <w:szCs w:val="20"/>
                <w:lang w:eastAsia="es-CO"/>
              </w:rPr>
              <w:t>Interval</w:t>
            </w:r>
            <w:proofErr w:type="spellEnd"/>
            <w:r w:rsidRPr="00721439">
              <w:rPr>
                <w:rFonts w:ascii="Arial Narrow" w:eastAsia="Times New Roman" w:hAnsi="Arial Narrow" w:cs="Times New Roman"/>
                <w:b/>
                <w:color w:val="000000"/>
                <w:sz w:val="20"/>
                <w:szCs w:val="20"/>
                <w:lang w:eastAsia="es-CO"/>
              </w:rPr>
              <w:t>]</w:t>
            </w:r>
          </w:p>
        </w:tc>
        <w:tc>
          <w:tcPr>
            <w:tcW w:w="964" w:type="dxa"/>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721439">
              <w:rPr>
                <w:rFonts w:ascii="Arial Narrow" w:eastAsia="Times New Roman" w:hAnsi="Arial Narrow" w:cs="Times New Roman"/>
                <w:b/>
                <w:color w:val="000000"/>
                <w:sz w:val="20"/>
                <w:szCs w:val="20"/>
                <w:lang w:eastAsia="es-CO"/>
              </w:rPr>
              <w:t>Odds</w:t>
            </w:r>
            <w:proofErr w:type="spellEnd"/>
            <w:r w:rsidRPr="00721439">
              <w:rPr>
                <w:rFonts w:ascii="Arial Narrow" w:eastAsia="Times New Roman" w:hAnsi="Arial Narrow" w:cs="Times New Roman"/>
                <w:b/>
                <w:color w:val="000000"/>
                <w:sz w:val="20"/>
                <w:szCs w:val="20"/>
                <w:lang w:eastAsia="es-CO"/>
              </w:rPr>
              <w:t xml:space="preserve"> Ratio</w:t>
            </w:r>
          </w:p>
        </w:tc>
        <w:tc>
          <w:tcPr>
            <w:tcW w:w="900" w:type="dxa"/>
            <w:shd w:val="clear" w:color="auto" w:fill="A6A6A6" w:themeFill="background1" w:themeFillShade="A6"/>
            <w:noWrap/>
            <w:vAlign w:val="bottom"/>
            <w:hideMark/>
          </w:tcPr>
          <w:p w:rsidR="00AF16E7" w:rsidRPr="00721439" w:rsidRDefault="00AF16E7" w:rsidP="006B0C9D">
            <w:pPr>
              <w:spacing w:before="0" w:line="240" w:lineRule="auto"/>
              <w:jc w:val="center"/>
              <w:rPr>
                <w:rFonts w:ascii="Arial Narrow" w:eastAsia="Times New Roman" w:hAnsi="Arial Narrow" w:cs="Times New Roman"/>
                <w:b/>
                <w:color w:val="000000"/>
                <w:sz w:val="20"/>
                <w:szCs w:val="20"/>
                <w:lang w:eastAsia="es-CO"/>
              </w:rPr>
            </w:pPr>
            <m:oMath>
              <m:r>
                <m:rPr>
                  <m:sty m:val="bi"/>
                </m:rPr>
                <w:rPr>
                  <w:rFonts w:ascii="Cambria Math" w:eastAsia="Times New Roman" w:hAnsi="Cambria Math" w:cs="Times New Roman"/>
                  <w:color w:val="000000"/>
                  <w:sz w:val="20"/>
                  <w:szCs w:val="20"/>
                  <w:lang w:eastAsia="es-CO"/>
                </w:rPr>
                <m:t>∆p</m:t>
              </m:r>
            </m:oMath>
            <w:r w:rsidRPr="00721439">
              <w:rPr>
                <w:rFonts w:ascii="Arial Narrow" w:eastAsia="Times New Roman" w:hAnsi="Arial Narrow" w:cs="Times New Roman"/>
                <w:b/>
                <w:color w:val="000000"/>
                <w:sz w:val="20"/>
                <w:szCs w:val="20"/>
                <w:lang w:eastAsia="es-CO"/>
              </w:rPr>
              <w:t> </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t2012</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-0.211</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0.130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-1.620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0.105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-0.466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0.044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0.810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-5.3%</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atlantica</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-1.466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0.615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-2.380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0.017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-2.672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-0.259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0.231</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-31.2%</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oriental</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vertAlign w:val="superscript"/>
                <w:lang w:eastAsia="es-CO"/>
              </w:rPr>
            </w:pPr>
            <w:r w:rsidRPr="00721439">
              <w:rPr>
                <w:rFonts w:ascii="Arial Narrow" w:eastAsia="Times New Roman" w:hAnsi="Arial Narrow" w:cs="Times New Roman"/>
                <w:color w:val="000000"/>
                <w:sz w:val="20"/>
                <w:szCs w:val="20"/>
                <w:lang w:eastAsia="es-CO"/>
              </w:rPr>
              <w:t>-0.293</w:t>
            </w:r>
            <w:r w:rsidRPr="00721439">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0.292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-1.000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0.317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-0.866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0.280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0.746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-7.3%</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pacifica</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-0.690</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0.367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-1.880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0.060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-1.408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0.029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0.502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-16.6%</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antioquia</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2.556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0.223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11.480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2.119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2.992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12.882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42.8%</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valle</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0.524</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0.287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1.830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0.068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-0.038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1.086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1.688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12.8%</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educbas</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-0.568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0.236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-2.410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0.016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-1.030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-0.107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0.566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-13.8%</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educmed</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0.984</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0.150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6.570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0.691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1.278</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2.675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22.8%</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eductec</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1.094</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0.254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4.310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0.596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1.592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2.987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24.9%</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educuniv</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1.398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0.287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4.860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0.834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1.961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4.046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30.2%</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edad12_17</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vertAlign w:val="superscript"/>
                <w:lang w:eastAsia="es-CO"/>
              </w:rPr>
            </w:pPr>
            <w:r w:rsidRPr="00721439">
              <w:rPr>
                <w:rFonts w:ascii="Arial Narrow" w:eastAsia="Times New Roman" w:hAnsi="Arial Narrow" w:cs="Times New Roman"/>
                <w:color w:val="000000"/>
                <w:sz w:val="20"/>
                <w:szCs w:val="20"/>
                <w:lang w:eastAsia="es-CO"/>
              </w:rPr>
              <w:t>-0.193</w:t>
            </w:r>
            <w:r w:rsidRPr="00721439">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0.146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-1.320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0.185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-0.478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0.092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0.825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-4.8%</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edad18_34</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vertAlign w:val="superscript"/>
                <w:lang w:eastAsia="es-CO"/>
              </w:rPr>
            </w:pPr>
            <w:r w:rsidRPr="00721439">
              <w:rPr>
                <w:rFonts w:ascii="Arial Narrow" w:eastAsia="Times New Roman" w:hAnsi="Arial Narrow" w:cs="Times New Roman"/>
                <w:color w:val="000000"/>
                <w:sz w:val="20"/>
                <w:szCs w:val="20"/>
                <w:lang w:eastAsia="es-CO"/>
              </w:rPr>
              <w:t>-0.230</w:t>
            </w:r>
            <w:r w:rsidRPr="00721439">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0.145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-1.590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0.111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-0.514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0.053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0.794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-5.7%</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edad35_60</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0.399</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0.162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2.460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0.014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0.081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0.717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1.490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9.8%</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edad61mas</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0.485</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0.147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3.310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0.198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0.773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1.625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11.9%</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proofErr w:type="spellStart"/>
            <w:r w:rsidRPr="00721439">
              <w:rPr>
                <w:rFonts w:ascii="Arial Narrow" w:eastAsia="Times New Roman" w:hAnsi="Arial Narrow" w:cs="Times New Roman"/>
                <w:color w:val="000000"/>
                <w:sz w:val="20"/>
                <w:szCs w:val="20"/>
                <w:lang w:eastAsia="es-CO"/>
              </w:rPr>
              <w:t>ingreso_mill</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0.205</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0.075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2.720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0.058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0.353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1.228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5.1%</w:t>
            </w:r>
          </w:p>
        </w:tc>
      </w:tr>
      <w:tr w:rsidR="00AF16E7" w:rsidRPr="00721439" w:rsidTr="006B0C9D">
        <w:trPr>
          <w:trHeight w:val="397"/>
        </w:trPr>
        <w:tc>
          <w:tcPr>
            <w:tcW w:w="1458"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lef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_</w:t>
            </w:r>
            <w:proofErr w:type="spellStart"/>
            <w:r w:rsidRPr="00721439">
              <w:rPr>
                <w:rFonts w:ascii="Arial Narrow" w:eastAsia="Times New Roman" w:hAnsi="Arial Narrow" w:cs="Times New Roman"/>
                <w:color w:val="000000"/>
                <w:sz w:val="20"/>
                <w:szCs w:val="20"/>
                <w:lang w:eastAsia="es-CO"/>
              </w:rPr>
              <w:t>cons</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-4.452</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0.336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-13.240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-5.111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-3.793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0.012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center"/>
            <w:hideMark/>
          </w:tcPr>
          <w:p w:rsidR="00AF16E7" w:rsidRPr="00721439" w:rsidRDefault="00AF16E7" w:rsidP="006B0C9D">
            <w:pPr>
              <w:spacing w:before="0" w:line="240" w:lineRule="auto"/>
              <w:jc w:val="right"/>
              <w:rPr>
                <w:rFonts w:ascii="Arial Narrow" w:eastAsia="Times New Roman" w:hAnsi="Arial Narrow" w:cs="Times New Roman"/>
                <w:color w:val="000000"/>
                <w:sz w:val="20"/>
                <w:szCs w:val="20"/>
                <w:lang w:eastAsia="es-CO"/>
              </w:rPr>
            </w:pPr>
            <w:r w:rsidRPr="00721439">
              <w:rPr>
                <w:rFonts w:ascii="Arial Narrow" w:eastAsia="Times New Roman" w:hAnsi="Arial Narrow" w:cs="Times New Roman"/>
                <w:color w:val="000000"/>
                <w:sz w:val="20"/>
                <w:szCs w:val="20"/>
                <w:lang w:eastAsia="es-CO"/>
              </w:rPr>
              <w:t>-48.8%</w:t>
            </w:r>
          </w:p>
        </w:tc>
      </w:tr>
    </w:tbl>
    <w:p w:rsidR="00AF16E7" w:rsidRPr="00544B68" w:rsidRDefault="00AF16E7" w:rsidP="00AF16E7">
      <w:pPr>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AF16E7" w:rsidRPr="00685B66" w:rsidRDefault="00AF16E7" w:rsidP="0020708C">
      <w:pPr>
        <w:pStyle w:val="Prrafodelista"/>
        <w:numPr>
          <w:ilvl w:val="0"/>
          <w:numId w:val="44"/>
        </w:numPr>
        <w:spacing w:after="120"/>
        <w:outlineLvl w:val="2"/>
        <w:rPr>
          <w:rFonts w:ascii="Century Gothic" w:eastAsia="Times New Roman" w:hAnsi="Century Gothic" w:cs="Times New Roman"/>
          <w:bCs/>
          <w:color w:val="404040"/>
          <w:lang w:eastAsia="es-ES"/>
        </w:rPr>
      </w:pPr>
      <w:r w:rsidRPr="00685B66">
        <w:rPr>
          <w:rFonts w:ascii="Century Gothic" w:eastAsia="Times New Roman" w:hAnsi="Century Gothic" w:cs="Times New Roman"/>
          <w:bCs/>
          <w:color w:val="404040"/>
          <w:lang w:eastAsia="es-ES"/>
        </w:rPr>
        <w:t>Telefonía Móvil</w:t>
      </w:r>
    </w:p>
    <w:p w:rsidR="00AF16E7" w:rsidRPr="0090467E" w:rsidRDefault="00AF16E7" w:rsidP="00AF16E7">
      <w:r w:rsidRPr="0090467E">
        <w:t>La demanda de l</w:t>
      </w:r>
      <w:r>
        <w:t>os hogares por telefonía móvil</w:t>
      </w:r>
      <w:r w:rsidRPr="0090467E">
        <w:t xml:space="preserve"> es el primer eslabón de la secuencia de acceso al mundo digital que sigue a la telefonía fija, seguida posteriormente por la televisión por suscripción y el Internet.</w:t>
      </w:r>
    </w:p>
    <w:p w:rsidR="00FB349B" w:rsidRPr="0090467E" w:rsidRDefault="00FB349B" w:rsidP="00FB349B">
      <w:r>
        <w:t>El C</w:t>
      </w:r>
      <w:r w:rsidR="00AF16E7" w:rsidRPr="0090467E">
        <w:t xml:space="preserve">uadro </w:t>
      </w:r>
      <w:r>
        <w:t>A</w:t>
      </w:r>
      <w:r w:rsidR="00AF16E7" w:rsidRPr="0090467E">
        <w:t>1.</w:t>
      </w:r>
      <w:r w:rsidR="00AF16E7">
        <w:t>5</w:t>
      </w:r>
      <w:r w:rsidR="00AF16E7" w:rsidRPr="0090467E">
        <w:t>,</w:t>
      </w:r>
      <w:r>
        <w:t xml:space="preserve"> presenta los resultados de la estimación de la demanda por telefonía móvil en las cabeceras municipales del país,</w:t>
      </w:r>
      <w:r w:rsidR="00AF16E7" w:rsidRPr="0090467E">
        <w:t xml:space="preserve"> con una muestra de 22.113 hogares</w:t>
      </w:r>
      <w:r>
        <w:t xml:space="preserve">. El </w:t>
      </w:r>
      <w:r>
        <w:lastRenderedPageBreak/>
        <w:t>Cuadro A1.6 presenta los resultados en los centros poblados menores e inspecciones de policía</w:t>
      </w:r>
      <w:r w:rsidR="00036FBA">
        <w:t xml:space="preserve"> con una muestra de 5.169 hogares;</w:t>
      </w:r>
      <w:r>
        <w:t xml:space="preserve"> y</w:t>
      </w:r>
      <w:r w:rsidR="00036FBA">
        <w:t xml:space="preserve"> finalmente</w:t>
      </w:r>
      <w:r>
        <w:t xml:space="preserve"> el Cuadro A1.7</w:t>
      </w:r>
      <w:r w:rsidR="00036FBA">
        <w:t xml:space="preserve"> presenta</w:t>
      </w:r>
      <w:r>
        <w:t xml:space="preserve"> </w:t>
      </w:r>
      <w:r w:rsidR="00036FBA">
        <w:t>los resultados para el área rural dispersa del país con una muestra de 8.948 hogares a nivel nacional.</w:t>
      </w:r>
    </w:p>
    <w:p w:rsidR="00AF16E7" w:rsidRPr="0090467E" w:rsidRDefault="00AF16E7" w:rsidP="00AF16E7">
      <w:pPr>
        <w:pStyle w:val="T-Figura"/>
        <w:rPr>
          <w:rFonts w:eastAsia="Calibri"/>
        </w:rPr>
      </w:pPr>
      <w:r>
        <w:rPr>
          <w:rFonts w:eastAsia="Calibri"/>
        </w:rPr>
        <w:t xml:space="preserve">Cuadro </w:t>
      </w:r>
      <w:r w:rsidR="00036FBA">
        <w:rPr>
          <w:rFonts w:eastAsia="Calibri"/>
        </w:rPr>
        <w:t>A1</w:t>
      </w:r>
      <w:r>
        <w:rPr>
          <w:rFonts w:eastAsia="Calibri"/>
        </w:rPr>
        <w:t>.5</w:t>
      </w:r>
      <w:r w:rsidRPr="0090467E">
        <w:rPr>
          <w:rFonts w:eastAsia="Calibri"/>
        </w:rPr>
        <w:t xml:space="preserve"> - Demanda de l</w:t>
      </w:r>
      <w:r>
        <w:rPr>
          <w:rFonts w:eastAsia="Calibri"/>
        </w:rPr>
        <w:t>os hogares por Telefonía Móvil</w:t>
      </w:r>
      <w:r w:rsidRPr="0090467E">
        <w:rPr>
          <w:rFonts w:eastAsia="Calibri"/>
        </w:rPr>
        <w:t xml:space="preserve"> en cabeceras municipales 2010 - 2012</w:t>
      </w:r>
    </w:p>
    <w:tbl>
      <w:tblPr>
        <w:tblW w:w="8738" w:type="dxa"/>
        <w:tblInd w:w="55" w:type="dxa"/>
        <w:tblCellMar>
          <w:left w:w="70" w:type="dxa"/>
          <w:right w:w="70" w:type="dxa"/>
        </w:tblCellMar>
        <w:tblLook w:val="04A0"/>
      </w:tblPr>
      <w:tblGrid>
        <w:gridCol w:w="1836"/>
        <w:gridCol w:w="798"/>
        <w:gridCol w:w="216"/>
        <w:gridCol w:w="703"/>
        <w:gridCol w:w="852"/>
        <w:gridCol w:w="701"/>
        <w:gridCol w:w="884"/>
        <w:gridCol w:w="884"/>
        <w:gridCol w:w="964"/>
        <w:gridCol w:w="900"/>
      </w:tblGrid>
      <w:tr w:rsidR="00AF16E7" w:rsidRPr="0090467E" w:rsidTr="006B0C9D">
        <w:trPr>
          <w:trHeight w:val="300"/>
        </w:trPr>
        <w:tc>
          <w:tcPr>
            <w:tcW w:w="2634" w:type="dxa"/>
            <w:gridSpan w:val="2"/>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 CABECERA</w:t>
            </w:r>
          </w:p>
        </w:tc>
        <w:tc>
          <w:tcPr>
            <w:tcW w:w="919" w:type="dxa"/>
            <w:gridSpan w:val="2"/>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c>
          <w:tcPr>
            <w:tcW w:w="852"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c>
          <w:tcPr>
            <w:tcW w:w="701"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c>
          <w:tcPr>
            <w:tcW w:w="900"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106" w:type="dxa"/>
            <w:gridSpan w:val="6"/>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val="en-US" w:eastAsia="es-CO"/>
              </w:rPr>
            </w:pPr>
            <w:r w:rsidRPr="0090467E">
              <w:rPr>
                <w:rFonts w:ascii="Arial Narrow" w:eastAsia="Times New Roman" w:hAnsi="Arial Narrow" w:cs="Times New Roman"/>
                <w:color w:val="000000"/>
                <w:sz w:val="20"/>
                <w:szCs w:val="20"/>
                <w:lang w:val="en-US" w:eastAsia="es-CO"/>
              </w:rPr>
              <w:t xml:space="preserve">Logistic regression                       Number of </w:t>
            </w:r>
            <w:proofErr w:type="spellStart"/>
            <w:r w:rsidRPr="0090467E">
              <w:rPr>
                <w:rFonts w:ascii="Arial Narrow" w:eastAsia="Times New Roman" w:hAnsi="Arial Narrow" w:cs="Times New Roman"/>
                <w:color w:val="000000"/>
                <w:sz w:val="20"/>
                <w:szCs w:val="20"/>
                <w:lang w:val="en-US" w:eastAsia="es-CO"/>
              </w:rPr>
              <w:t>obs</w:t>
            </w:r>
            <w:proofErr w:type="spellEnd"/>
            <w:r w:rsidRPr="0090467E">
              <w:rPr>
                <w:rFonts w:ascii="Arial Narrow" w:eastAsia="Times New Roman" w:hAnsi="Arial Narrow" w:cs="Times New Roman"/>
                <w:color w:val="000000"/>
                <w:sz w:val="20"/>
                <w:szCs w:val="20"/>
                <w:lang w:val="en-US" w:eastAsia="es-CO"/>
              </w:rPr>
              <w:t xml:space="preserve">   =      22013</w:t>
            </w:r>
          </w:p>
        </w:tc>
        <w:tc>
          <w:tcPr>
            <w:tcW w:w="88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8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6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00"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90467E">
              <w:rPr>
                <w:rFonts w:ascii="Arial Narrow" w:eastAsia="Times New Roman" w:hAnsi="Arial Narrow" w:cs="Times New Roman"/>
                <w:color w:val="000000"/>
                <w:sz w:val="20"/>
                <w:szCs w:val="20"/>
                <w:lang w:val="en-US" w:eastAsia="es-CO"/>
              </w:rPr>
              <w:t> </w:t>
            </w:r>
          </w:p>
        </w:tc>
      </w:tr>
      <w:tr w:rsidR="00AF16E7" w:rsidRPr="0090467E" w:rsidTr="006B0C9D">
        <w:trPr>
          <w:trHeight w:val="300"/>
        </w:trPr>
        <w:tc>
          <w:tcPr>
            <w:tcW w:w="5106" w:type="dxa"/>
            <w:gridSpan w:val="6"/>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LR chi2(18)     =    2461.18</w:t>
            </w:r>
          </w:p>
        </w:tc>
        <w:tc>
          <w:tcPr>
            <w:tcW w:w="88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r>
      <w:tr w:rsidR="00AF16E7" w:rsidRPr="0090467E" w:rsidTr="006B0C9D">
        <w:trPr>
          <w:trHeight w:val="300"/>
        </w:trPr>
        <w:tc>
          <w:tcPr>
            <w:tcW w:w="5106" w:type="dxa"/>
            <w:gridSpan w:val="6"/>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Prob</w:t>
            </w:r>
            <w:proofErr w:type="spellEnd"/>
            <w:r w:rsidRPr="0090467E">
              <w:rPr>
                <w:rFonts w:ascii="Arial Narrow" w:eastAsia="Times New Roman" w:hAnsi="Arial Narrow" w:cs="Times New Roman"/>
                <w:color w:val="000000"/>
                <w:sz w:val="20"/>
                <w:szCs w:val="20"/>
                <w:lang w:eastAsia="es-CO"/>
              </w:rPr>
              <w:t xml:space="preserve"> &gt; chi2     =     0.0000</w:t>
            </w:r>
          </w:p>
        </w:tc>
        <w:tc>
          <w:tcPr>
            <w:tcW w:w="88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r>
      <w:tr w:rsidR="00AF16E7" w:rsidRPr="0090467E" w:rsidTr="006B0C9D">
        <w:trPr>
          <w:trHeight w:val="300"/>
        </w:trPr>
        <w:tc>
          <w:tcPr>
            <w:tcW w:w="5106" w:type="dxa"/>
            <w:gridSpan w:val="6"/>
            <w:shd w:val="clear" w:color="auto" w:fill="auto"/>
            <w:noWrap/>
            <w:vAlign w:val="bottom"/>
            <w:hideMark/>
          </w:tcPr>
          <w:p w:rsidR="00AF16E7" w:rsidRPr="0090467E" w:rsidRDefault="00AF16E7" w:rsidP="00544B68">
            <w:pPr>
              <w:spacing w:before="0" w:after="24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xml:space="preserve">Log </w:t>
            </w:r>
            <w:proofErr w:type="spellStart"/>
            <w:r w:rsidRPr="0090467E">
              <w:rPr>
                <w:rFonts w:ascii="Arial Narrow" w:eastAsia="Times New Roman" w:hAnsi="Arial Narrow" w:cs="Times New Roman"/>
                <w:color w:val="000000"/>
                <w:sz w:val="20"/>
                <w:szCs w:val="20"/>
                <w:lang w:eastAsia="es-CO"/>
              </w:rPr>
              <w:t>likelihood</w:t>
            </w:r>
            <w:proofErr w:type="spellEnd"/>
            <w:r w:rsidRPr="0090467E">
              <w:rPr>
                <w:rFonts w:ascii="Arial Narrow" w:eastAsia="Times New Roman" w:hAnsi="Arial Narrow" w:cs="Times New Roman"/>
                <w:color w:val="000000"/>
                <w:sz w:val="20"/>
                <w:szCs w:val="20"/>
                <w:lang w:eastAsia="es-CO"/>
              </w:rPr>
              <w:t xml:space="preserve"> = -4327.0956         </w:t>
            </w:r>
            <w:proofErr w:type="spellStart"/>
            <w:r w:rsidRPr="0090467E">
              <w:rPr>
                <w:rFonts w:ascii="Arial Narrow" w:eastAsia="Times New Roman" w:hAnsi="Arial Narrow" w:cs="Times New Roman"/>
                <w:color w:val="000000"/>
                <w:sz w:val="20"/>
                <w:szCs w:val="20"/>
                <w:lang w:eastAsia="es-CO"/>
              </w:rPr>
              <w:t>Pseudo</w:t>
            </w:r>
            <w:proofErr w:type="spellEnd"/>
            <w:r w:rsidRPr="0090467E">
              <w:rPr>
                <w:rFonts w:ascii="Arial Narrow" w:eastAsia="Times New Roman" w:hAnsi="Arial Narrow" w:cs="Times New Roman"/>
                <w:color w:val="000000"/>
                <w:sz w:val="20"/>
                <w:szCs w:val="20"/>
                <w:lang w:eastAsia="es-CO"/>
              </w:rPr>
              <w:t xml:space="preserve"> R2       =     0.2214</w:t>
            </w:r>
          </w:p>
        </w:tc>
        <w:tc>
          <w:tcPr>
            <w:tcW w:w="884" w:type="dxa"/>
            <w:shd w:val="clear" w:color="auto" w:fill="auto"/>
            <w:noWrap/>
            <w:vAlign w:val="bottom"/>
            <w:hideMark/>
          </w:tcPr>
          <w:p w:rsidR="00AF16E7" w:rsidRPr="0090467E" w:rsidRDefault="00AF16E7" w:rsidP="00544B68">
            <w:pPr>
              <w:spacing w:before="0" w:after="24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90467E" w:rsidRDefault="00AF16E7" w:rsidP="00544B68">
            <w:pPr>
              <w:spacing w:before="0" w:after="24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90467E" w:rsidRDefault="00AF16E7" w:rsidP="00544B68">
            <w:pPr>
              <w:spacing w:before="0" w:after="24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90467E" w:rsidRDefault="00AF16E7" w:rsidP="00544B68">
            <w:pPr>
              <w:spacing w:before="0" w:after="24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 </w:t>
            </w:r>
          </w:p>
        </w:tc>
      </w:tr>
      <w:tr w:rsidR="00AF16E7" w:rsidRPr="0090467E" w:rsidTr="006B0C9D">
        <w:trPr>
          <w:trHeight w:val="315"/>
        </w:trPr>
        <w:tc>
          <w:tcPr>
            <w:tcW w:w="1836"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90467E" w:rsidRDefault="00AF16E7" w:rsidP="00544B68">
            <w:pPr>
              <w:spacing w:before="0" w:after="240" w:line="240" w:lineRule="auto"/>
              <w:rPr>
                <w:rFonts w:ascii="Arial Narrow" w:eastAsia="Times New Roman" w:hAnsi="Arial Narrow" w:cs="Times New Roman"/>
                <w:b/>
                <w:color w:val="000000"/>
                <w:sz w:val="20"/>
                <w:szCs w:val="20"/>
                <w:lang w:eastAsia="es-CO"/>
              </w:rPr>
            </w:pPr>
            <w:r>
              <w:rPr>
                <w:rFonts w:ascii="Arial Narrow" w:eastAsia="Times New Roman" w:hAnsi="Arial Narrow" w:cs="Times New Roman"/>
                <w:b/>
                <w:color w:val="000000"/>
                <w:sz w:val="20"/>
                <w:szCs w:val="20"/>
                <w:lang w:eastAsia="es-CO"/>
              </w:rPr>
              <w:t>Móvil</w:t>
            </w:r>
          </w:p>
        </w:tc>
        <w:tc>
          <w:tcPr>
            <w:tcW w:w="1014" w:type="dxa"/>
            <w:gridSpan w:val="2"/>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90467E"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90467E">
              <w:rPr>
                <w:rFonts w:ascii="Arial Narrow" w:eastAsia="Times New Roman" w:hAnsi="Arial Narrow" w:cs="Times New Roman"/>
                <w:b/>
                <w:color w:val="000000"/>
                <w:sz w:val="20"/>
                <w:szCs w:val="20"/>
                <w:lang w:eastAsia="es-CO"/>
              </w:rPr>
              <w:t>Coef</w:t>
            </w:r>
            <w:proofErr w:type="spellEnd"/>
            <w:r w:rsidRPr="0090467E">
              <w:rPr>
                <w:rFonts w:ascii="Arial Narrow" w:eastAsia="Times New Roman" w:hAnsi="Arial Narrow" w:cs="Times New Roman"/>
                <w:b/>
                <w:color w:val="000000"/>
                <w:sz w:val="20"/>
                <w:szCs w:val="20"/>
                <w:lang w:eastAsia="es-CO"/>
              </w:rPr>
              <w:t>.</w:t>
            </w:r>
          </w:p>
        </w:tc>
        <w:tc>
          <w:tcPr>
            <w:tcW w:w="703"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90467E"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90467E">
              <w:rPr>
                <w:rFonts w:ascii="Arial Narrow" w:eastAsia="Times New Roman" w:hAnsi="Arial Narrow" w:cs="Times New Roman"/>
                <w:b/>
                <w:color w:val="000000"/>
                <w:sz w:val="20"/>
                <w:szCs w:val="20"/>
                <w:lang w:eastAsia="es-CO"/>
              </w:rPr>
              <w:t>Std.</w:t>
            </w:r>
            <w:proofErr w:type="spellEnd"/>
            <w:r w:rsidRPr="0090467E">
              <w:rPr>
                <w:rFonts w:ascii="Arial Narrow" w:eastAsia="Times New Roman" w:hAnsi="Arial Narrow" w:cs="Times New Roman"/>
                <w:b/>
                <w:color w:val="000000"/>
                <w:sz w:val="20"/>
                <w:szCs w:val="20"/>
                <w:lang w:eastAsia="es-CO"/>
              </w:rPr>
              <w:t xml:space="preserve"> </w:t>
            </w:r>
            <w:proofErr w:type="spellStart"/>
            <w:r w:rsidRPr="0090467E">
              <w:rPr>
                <w:rFonts w:ascii="Arial Narrow" w:eastAsia="Times New Roman" w:hAnsi="Arial Narrow" w:cs="Times New Roman"/>
                <w:b/>
                <w:color w:val="000000"/>
                <w:sz w:val="20"/>
                <w:szCs w:val="20"/>
                <w:lang w:eastAsia="es-CO"/>
              </w:rPr>
              <w:t>Err</w:t>
            </w:r>
            <w:proofErr w:type="spellEnd"/>
          </w:p>
        </w:tc>
        <w:tc>
          <w:tcPr>
            <w:tcW w:w="852"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90467E"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90467E">
              <w:rPr>
                <w:rFonts w:ascii="Arial Narrow" w:eastAsia="Times New Roman" w:hAnsi="Arial Narrow" w:cs="Times New Roman"/>
                <w:b/>
                <w:color w:val="000000"/>
                <w:sz w:val="20"/>
                <w:szCs w:val="20"/>
                <w:lang w:eastAsia="es-CO"/>
              </w:rPr>
              <w:t>z</w:t>
            </w:r>
          </w:p>
        </w:tc>
        <w:tc>
          <w:tcPr>
            <w:tcW w:w="701"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90467E"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90467E">
              <w:rPr>
                <w:rFonts w:ascii="Arial Narrow" w:eastAsia="Times New Roman" w:hAnsi="Arial Narrow" w:cs="Times New Roman"/>
                <w:b/>
                <w:color w:val="000000"/>
                <w:sz w:val="20"/>
                <w:szCs w:val="20"/>
                <w:lang w:eastAsia="es-CO"/>
              </w:rPr>
              <w:t>P&gt;z</w:t>
            </w:r>
          </w:p>
        </w:tc>
        <w:tc>
          <w:tcPr>
            <w:tcW w:w="1768" w:type="dxa"/>
            <w:gridSpan w:val="2"/>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90467E"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90467E">
              <w:rPr>
                <w:rFonts w:ascii="Arial Narrow" w:eastAsia="Times New Roman" w:hAnsi="Arial Narrow" w:cs="Times New Roman"/>
                <w:b/>
                <w:color w:val="000000"/>
                <w:sz w:val="20"/>
                <w:szCs w:val="20"/>
                <w:lang w:eastAsia="es-CO"/>
              </w:rPr>
              <w:t xml:space="preserve">[95% Conf. </w:t>
            </w:r>
            <w:proofErr w:type="spellStart"/>
            <w:r w:rsidRPr="0090467E">
              <w:rPr>
                <w:rFonts w:ascii="Arial Narrow" w:eastAsia="Times New Roman" w:hAnsi="Arial Narrow" w:cs="Times New Roman"/>
                <w:b/>
                <w:color w:val="000000"/>
                <w:sz w:val="20"/>
                <w:szCs w:val="20"/>
                <w:lang w:eastAsia="es-CO"/>
              </w:rPr>
              <w:t>Interval</w:t>
            </w:r>
            <w:proofErr w:type="spellEnd"/>
            <w:r w:rsidRPr="0090467E">
              <w:rPr>
                <w:rFonts w:ascii="Arial Narrow" w:eastAsia="Times New Roman" w:hAnsi="Arial Narrow" w:cs="Times New Roman"/>
                <w:b/>
                <w:color w:val="000000"/>
                <w:sz w:val="20"/>
                <w:szCs w:val="20"/>
                <w:lang w:eastAsia="es-CO"/>
              </w:rPr>
              <w:t>]</w:t>
            </w:r>
          </w:p>
        </w:tc>
        <w:tc>
          <w:tcPr>
            <w:tcW w:w="964"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90467E"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90467E">
              <w:rPr>
                <w:rFonts w:ascii="Arial Narrow" w:eastAsia="Times New Roman" w:hAnsi="Arial Narrow" w:cs="Times New Roman"/>
                <w:b/>
                <w:color w:val="000000"/>
                <w:sz w:val="20"/>
                <w:szCs w:val="20"/>
                <w:lang w:eastAsia="es-CO"/>
              </w:rPr>
              <w:t>Odds</w:t>
            </w:r>
            <w:proofErr w:type="spellEnd"/>
            <w:r w:rsidRPr="0090467E">
              <w:rPr>
                <w:rFonts w:ascii="Arial Narrow" w:eastAsia="Times New Roman" w:hAnsi="Arial Narrow" w:cs="Times New Roman"/>
                <w:b/>
                <w:color w:val="000000"/>
                <w:sz w:val="20"/>
                <w:szCs w:val="20"/>
                <w:lang w:eastAsia="es-CO"/>
              </w:rPr>
              <w:t xml:space="preserve"> Ratio</w:t>
            </w:r>
          </w:p>
        </w:tc>
        <w:tc>
          <w:tcPr>
            <w:tcW w:w="90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90467E"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90467E">
              <w:rPr>
                <w:rFonts w:ascii="Arial Narrow" w:eastAsia="Times New Roman" w:hAnsi="Arial Narrow" w:cs="Times New Roman"/>
                <w:b/>
                <w:color w:val="000000"/>
                <w:sz w:val="20"/>
                <w:szCs w:val="20"/>
                <w:lang w:eastAsia="es-CO"/>
              </w:rPr>
              <w:t> </w:t>
            </w:r>
            <m:oMath>
              <m:r>
                <m:rPr>
                  <m:sty m:val="bi"/>
                </m:rPr>
                <w:rPr>
                  <w:rFonts w:ascii="Cambria Math" w:eastAsia="Times New Roman" w:hAnsi="Cambria Math" w:cs="Times New Roman"/>
                  <w:color w:val="000000"/>
                  <w:sz w:val="20"/>
                  <w:szCs w:val="20"/>
                  <w:lang w:eastAsia="es-CO"/>
                </w:rPr>
                <m:t>∆p</m:t>
              </m:r>
            </m:oMath>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t2012</w:t>
            </w:r>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0.950</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0.059</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16.060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0.834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1.066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2.586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22.1%</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atlantica</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-0.666</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0.133</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-5.020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-0.926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-0.406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0.514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-16.1%</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oriental</w:t>
            </w:r>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90467E">
              <w:rPr>
                <w:rFonts w:ascii="Arial Narrow" w:eastAsia="Times New Roman" w:hAnsi="Arial Narrow" w:cs="Times New Roman"/>
                <w:color w:val="000000"/>
                <w:sz w:val="20"/>
                <w:szCs w:val="20"/>
                <w:lang w:eastAsia="es-CO"/>
              </w:rPr>
              <w:t>0.063</w:t>
            </w:r>
            <w:r w:rsidRPr="0090467E">
              <w:rPr>
                <w:rFonts w:ascii="Arial Narrow" w:eastAsia="Times New Roman" w:hAnsi="Arial Narrow" w:cs="Times New Roman"/>
                <w:color w:val="000000"/>
                <w:sz w:val="20"/>
                <w:szCs w:val="20"/>
                <w:vertAlign w:val="superscript"/>
                <w:lang w:eastAsia="es-CO"/>
              </w:rPr>
              <w:t>NO</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0.142</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0.440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0.656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-0.216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0.342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1.065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1.6%</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central</w:t>
            </w:r>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90467E">
              <w:rPr>
                <w:rFonts w:ascii="Arial Narrow" w:eastAsia="Times New Roman" w:hAnsi="Arial Narrow" w:cs="Times New Roman"/>
                <w:color w:val="000000"/>
                <w:sz w:val="20"/>
                <w:szCs w:val="20"/>
                <w:lang w:eastAsia="es-CO"/>
              </w:rPr>
              <w:t>-0.218</w:t>
            </w:r>
            <w:r w:rsidRPr="0090467E">
              <w:rPr>
                <w:rFonts w:ascii="Arial Narrow" w:eastAsia="Times New Roman" w:hAnsi="Arial Narrow" w:cs="Times New Roman"/>
                <w:color w:val="000000"/>
                <w:sz w:val="20"/>
                <w:szCs w:val="20"/>
                <w:vertAlign w:val="superscript"/>
                <w:lang w:eastAsia="es-CO"/>
              </w:rPr>
              <w:t>NO</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0.135</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-1.610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0.107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-0.483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0.047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0.804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-5.4%</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pacifica</w:t>
            </w:r>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-0.546</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0.128</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-4.270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-0.796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-0.295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0.579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-13.3%</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antioquia</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-0.657</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0.129</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-5.100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-0.910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-0.405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0.518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-15.9%</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valle</w:t>
            </w:r>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-0.311</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0.131</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-2.370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0.018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-0.567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-0.054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0.733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-7.7%</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sanandres</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-0.997</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0.154</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-6.470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-1.300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-0.695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0.369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-23.1%</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orinoq_amazon</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-0.343</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0.157</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-2.180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0.029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-0.651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-0.035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0.710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-8.5%</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educbas</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-0.490</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0.099</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-4.940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-0.684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-0.295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0.613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-12.0%</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educmed</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0.583</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0.079</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7.350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0.428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0.739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1.792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14.2%</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eductec</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0.844</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0.137</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6.180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0.577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1.112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2.326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19.9%</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educuniv</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0.796</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0.148</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5.360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0.505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1.086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2.216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18.9%</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edad12_17</w:t>
            </w:r>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0.427</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0.072</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5.940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0.286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0.568</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1.533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10.5%</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edad18_34</w:t>
            </w:r>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1.038</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0.075</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13.930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0.892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1.184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2.823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23.8%</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edad35_60</w:t>
            </w:r>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0.872</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0.072</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12.080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0.731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1.014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2.392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20.5%</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edad61mas</w:t>
            </w:r>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-0.155</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0.075</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-2.060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0.040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-0.302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0.857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-3.9%</w:t>
            </w:r>
          </w:p>
        </w:tc>
      </w:tr>
      <w:tr w:rsidR="00AF16E7" w:rsidRPr="0090467E" w:rsidTr="006B0C9D">
        <w:trPr>
          <w:trHeight w:val="300"/>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90467E">
              <w:rPr>
                <w:rFonts w:ascii="Arial Narrow" w:eastAsia="Times New Roman" w:hAnsi="Arial Narrow" w:cs="Times New Roman"/>
                <w:color w:val="000000"/>
                <w:sz w:val="20"/>
                <w:szCs w:val="20"/>
                <w:lang w:eastAsia="es-CO"/>
              </w:rPr>
              <w:t>ingreso_mill</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0.917</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0.074</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12.410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0.772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1.062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2.501</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21.4%</w:t>
            </w:r>
          </w:p>
        </w:tc>
      </w:tr>
      <w:tr w:rsidR="00AF16E7" w:rsidRPr="0090467E" w:rsidTr="006B0C9D">
        <w:trPr>
          <w:trHeight w:val="315"/>
        </w:trPr>
        <w:tc>
          <w:tcPr>
            <w:tcW w:w="18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_</w:t>
            </w:r>
            <w:proofErr w:type="spellStart"/>
            <w:r w:rsidRPr="0090467E">
              <w:rPr>
                <w:rFonts w:ascii="Arial Narrow" w:eastAsia="Times New Roman" w:hAnsi="Arial Narrow" w:cs="Times New Roman"/>
                <w:color w:val="000000"/>
                <w:sz w:val="20"/>
                <w:szCs w:val="20"/>
                <w:lang w:eastAsia="es-CO"/>
              </w:rPr>
              <w:t>cons</w:t>
            </w:r>
            <w:proofErr w:type="spellEnd"/>
          </w:p>
        </w:tc>
        <w:tc>
          <w:tcPr>
            <w:tcW w:w="1014"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0.949</w:t>
            </w:r>
          </w:p>
        </w:tc>
        <w:tc>
          <w:tcPr>
            <w:tcW w:w="70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0.148</w:t>
            </w:r>
          </w:p>
        </w:tc>
        <w:tc>
          <w:tcPr>
            <w:tcW w:w="85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6.400</w:t>
            </w:r>
          </w:p>
        </w:tc>
        <w:tc>
          <w:tcPr>
            <w:tcW w:w="70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0.659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1.239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2.583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90467E" w:rsidRDefault="00AF16E7" w:rsidP="006B0C9D">
            <w:pPr>
              <w:spacing w:before="0" w:line="240" w:lineRule="auto"/>
              <w:jc w:val="center"/>
              <w:rPr>
                <w:rFonts w:ascii="Arial Narrow" w:eastAsia="Times New Roman" w:hAnsi="Arial Narrow" w:cs="Times New Roman"/>
                <w:color w:val="000000"/>
                <w:sz w:val="20"/>
                <w:szCs w:val="20"/>
                <w:lang w:eastAsia="es-CO"/>
              </w:rPr>
            </w:pPr>
            <w:r w:rsidRPr="0090467E">
              <w:rPr>
                <w:rFonts w:ascii="Arial Narrow" w:eastAsia="Times New Roman" w:hAnsi="Arial Narrow" w:cs="Times New Roman"/>
                <w:color w:val="000000"/>
                <w:sz w:val="20"/>
                <w:szCs w:val="20"/>
                <w:lang w:eastAsia="es-CO"/>
              </w:rPr>
              <w:t>22.1%</w:t>
            </w:r>
          </w:p>
        </w:tc>
      </w:tr>
    </w:tbl>
    <w:p w:rsidR="00AF16E7" w:rsidRPr="00544B68" w:rsidRDefault="00AF16E7" w:rsidP="00AF16E7">
      <w:pPr>
        <w:widowControl w:val="0"/>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D963BF" w:rsidRDefault="00D963BF" w:rsidP="00AF16E7">
      <w:pPr>
        <w:pStyle w:val="T-Figura"/>
        <w:keepNext w:val="0"/>
        <w:keepLines w:val="0"/>
        <w:widowControl w:val="0"/>
        <w:rPr>
          <w:rFonts w:eastAsia="Calibri"/>
        </w:rPr>
      </w:pPr>
    </w:p>
    <w:p w:rsidR="00D963BF" w:rsidRDefault="00D963BF" w:rsidP="00AF16E7">
      <w:pPr>
        <w:pStyle w:val="T-Figura"/>
        <w:keepNext w:val="0"/>
        <w:keepLines w:val="0"/>
        <w:widowControl w:val="0"/>
        <w:rPr>
          <w:rFonts w:eastAsia="Calibri"/>
        </w:rPr>
      </w:pPr>
    </w:p>
    <w:p w:rsidR="002245F3" w:rsidRDefault="002245F3" w:rsidP="00AF16E7">
      <w:pPr>
        <w:pStyle w:val="T-Figura"/>
        <w:keepNext w:val="0"/>
        <w:keepLines w:val="0"/>
        <w:widowControl w:val="0"/>
        <w:rPr>
          <w:rFonts w:eastAsia="Calibri"/>
        </w:rPr>
      </w:pPr>
    </w:p>
    <w:p w:rsidR="00D963BF" w:rsidRDefault="00D963BF" w:rsidP="00AF16E7">
      <w:pPr>
        <w:pStyle w:val="T-Figura"/>
        <w:keepNext w:val="0"/>
        <w:keepLines w:val="0"/>
        <w:widowControl w:val="0"/>
        <w:rPr>
          <w:rFonts w:eastAsia="Calibri"/>
        </w:rPr>
      </w:pPr>
    </w:p>
    <w:p w:rsidR="00D963BF" w:rsidRDefault="00D963BF" w:rsidP="00AF16E7">
      <w:pPr>
        <w:pStyle w:val="T-Figura"/>
        <w:keepNext w:val="0"/>
        <w:keepLines w:val="0"/>
        <w:widowControl w:val="0"/>
        <w:rPr>
          <w:rFonts w:eastAsia="Calibri"/>
        </w:rPr>
      </w:pPr>
    </w:p>
    <w:p w:rsidR="002245F3" w:rsidRDefault="002245F3" w:rsidP="00AF16E7">
      <w:pPr>
        <w:pStyle w:val="T-Figura"/>
        <w:keepNext w:val="0"/>
        <w:keepLines w:val="0"/>
        <w:widowControl w:val="0"/>
        <w:rPr>
          <w:rFonts w:eastAsia="Calibri"/>
        </w:rPr>
      </w:pPr>
    </w:p>
    <w:p w:rsidR="00AF16E7" w:rsidRPr="0090467E" w:rsidRDefault="00AF16E7" w:rsidP="00AF16E7">
      <w:pPr>
        <w:pStyle w:val="T-Figura"/>
        <w:keepNext w:val="0"/>
        <w:keepLines w:val="0"/>
        <w:widowControl w:val="0"/>
        <w:rPr>
          <w:rFonts w:eastAsia="Calibri"/>
        </w:rPr>
      </w:pPr>
      <w:r>
        <w:rPr>
          <w:rFonts w:eastAsia="Calibri"/>
        </w:rPr>
        <w:t xml:space="preserve">Cuadro </w:t>
      </w:r>
      <w:r w:rsidR="00036FBA">
        <w:rPr>
          <w:rFonts w:eastAsia="Calibri"/>
        </w:rPr>
        <w:t>A</w:t>
      </w:r>
      <w:r w:rsidR="00913F11">
        <w:rPr>
          <w:rFonts w:eastAsia="Calibri"/>
        </w:rPr>
        <w:t>1</w:t>
      </w:r>
      <w:r>
        <w:rPr>
          <w:rFonts w:eastAsia="Calibri"/>
        </w:rPr>
        <w:t xml:space="preserve">.6 - </w:t>
      </w:r>
      <w:r w:rsidRPr="0090467E">
        <w:rPr>
          <w:rFonts w:eastAsia="Calibri"/>
        </w:rPr>
        <w:t>Demanda de l</w:t>
      </w:r>
      <w:r>
        <w:rPr>
          <w:rFonts w:eastAsia="Calibri"/>
        </w:rPr>
        <w:t>os hogares por Telefonía móvil</w:t>
      </w:r>
      <w:r w:rsidRPr="0090467E">
        <w:rPr>
          <w:rFonts w:eastAsia="Calibri"/>
        </w:rPr>
        <w:t xml:space="preserve"> en centros poblados e inspecciones de policía 2010 - 2012</w:t>
      </w:r>
    </w:p>
    <w:tbl>
      <w:tblPr>
        <w:tblW w:w="8742" w:type="dxa"/>
        <w:tblInd w:w="55" w:type="dxa"/>
        <w:tblCellMar>
          <w:left w:w="70" w:type="dxa"/>
          <w:right w:w="70" w:type="dxa"/>
        </w:tblCellMar>
        <w:tblLook w:val="04A0"/>
      </w:tblPr>
      <w:tblGrid>
        <w:gridCol w:w="1458"/>
        <w:gridCol w:w="967"/>
        <w:gridCol w:w="745"/>
        <w:gridCol w:w="980"/>
        <w:gridCol w:w="960"/>
        <w:gridCol w:w="884"/>
        <w:gridCol w:w="884"/>
        <w:gridCol w:w="964"/>
        <w:gridCol w:w="900"/>
      </w:tblGrid>
      <w:tr w:rsidR="00AF16E7" w:rsidRPr="00F52AA7" w:rsidTr="006B0C9D">
        <w:trPr>
          <w:trHeight w:val="300"/>
        </w:trPr>
        <w:tc>
          <w:tcPr>
            <w:tcW w:w="3170" w:type="dxa"/>
            <w:gridSpan w:val="3"/>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 CENTROS POBLADOS</w:t>
            </w: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110" w:type="dxa"/>
            <w:gridSpan w:val="5"/>
            <w:shd w:val="clear" w:color="auto" w:fill="auto"/>
            <w:noWrap/>
            <w:vAlign w:val="bottom"/>
            <w:hideMark/>
          </w:tcPr>
          <w:p w:rsidR="00AF16E7" w:rsidRPr="00824551" w:rsidRDefault="00AF16E7" w:rsidP="006B0C9D">
            <w:pPr>
              <w:spacing w:before="0" w:line="240" w:lineRule="auto"/>
              <w:rPr>
                <w:rFonts w:ascii="Arial Narrow" w:eastAsia="Times New Roman" w:hAnsi="Arial Narrow" w:cs="Times New Roman"/>
                <w:color w:val="000000"/>
                <w:sz w:val="20"/>
                <w:szCs w:val="20"/>
                <w:lang w:val="en-US" w:eastAsia="es-CO"/>
              </w:rPr>
            </w:pPr>
            <w:r w:rsidRPr="00824551">
              <w:rPr>
                <w:rFonts w:ascii="Arial Narrow" w:eastAsia="Times New Roman" w:hAnsi="Arial Narrow" w:cs="Times New Roman"/>
                <w:color w:val="000000"/>
                <w:sz w:val="20"/>
                <w:szCs w:val="20"/>
                <w:lang w:val="en-US" w:eastAsia="es-CO"/>
              </w:rPr>
              <w:t xml:space="preserve">Logistic regression                       Number of </w:t>
            </w:r>
            <w:proofErr w:type="spellStart"/>
            <w:r w:rsidRPr="00824551">
              <w:rPr>
                <w:rFonts w:ascii="Arial Narrow" w:eastAsia="Times New Roman" w:hAnsi="Arial Narrow" w:cs="Times New Roman"/>
                <w:color w:val="000000"/>
                <w:sz w:val="20"/>
                <w:szCs w:val="20"/>
                <w:lang w:val="en-US" w:eastAsia="es-CO"/>
              </w:rPr>
              <w:t>obs</w:t>
            </w:r>
            <w:proofErr w:type="spellEnd"/>
            <w:r w:rsidRPr="00824551">
              <w:rPr>
                <w:rFonts w:ascii="Arial Narrow" w:eastAsia="Times New Roman" w:hAnsi="Arial Narrow" w:cs="Times New Roman"/>
                <w:color w:val="000000"/>
                <w:sz w:val="20"/>
                <w:szCs w:val="20"/>
                <w:lang w:val="en-US" w:eastAsia="es-CO"/>
              </w:rPr>
              <w:t xml:space="preserve">   =       5169</w:t>
            </w:r>
          </w:p>
        </w:tc>
        <w:tc>
          <w:tcPr>
            <w:tcW w:w="884"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84"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64"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00"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824551">
              <w:rPr>
                <w:rFonts w:ascii="Arial Narrow" w:eastAsia="Times New Roman" w:hAnsi="Arial Narrow" w:cs="Times New Roman"/>
                <w:color w:val="000000"/>
                <w:sz w:val="20"/>
                <w:szCs w:val="20"/>
                <w:lang w:val="en-US" w:eastAsia="es-CO"/>
              </w:rPr>
              <w:t> </w:t>
            </w:r>
          </w:p>
        </w:tc>
      </w:tr>
      <w:tr w:rsidR="00AF16E7" w:rsidRPr="00F52AA7" w:rsidTr="006B0C9D">
        <w:trPr>
          <w:trHeight w:val="300"/>
        </w:trPr>
        <w:tc>
          <w:tcPr>
            <w:tcW w:w="5110" w:type="dxa"/>
            <w:gridSpan w:val="5"/>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LR chi2(15)     =     824.58</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10" w:type="dxa"/>
            <w:gridSpan w:val="5"/>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Prob</w:t>
            </w:r>
            <w:proofErr w:type="spellEnd"/>
            <w:r w:rsidRPr="00F52AA7">
              <w:rPr>
                <w:rFonts w:ascii="Arial Narrow" w:eastAsia="Times New Roman" w:hAnsi="Arial Narrow" w:cs="Times New Roman"/>
                <w:color w:val="000000"/>
                <w:sz w:val="20"/>
                <w:szCs w:val="20"/>
                <w:lang w:eastAsia="es-CO"/>
              </w:rPr>
              <w:t xml:space="preserve"> &gt; chi2     =     0.0000</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10" w:type="dxa"/>
            <w:gridSpan w:val="5"/>
            <w:shd w:val="clear" w:color="auto" w:fill="auto"/>
            <w:noWrap/>
            <w:vAlign w:val="bottom"/>
            <w:hideMark/>
          </w:tcPr>
          <w:p w:rsidR="00AF16E7" w:rsidRPr="00F52AA7" w:rsidRDefault="00AF16E7" w:rsidP="00544B68">
            <w:pPr>
              <w:spacing w:before="0" w:after="24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xml:space="preserve">Log </w:t>
            </w:r>
            <w:proofErr w:type="spellStart"/>
            <w:r w:rsidRPr="00F52AA7">
              <w:rPr>
                <w:rFonts w:ascii="Arial Narrow" w:eastAsia="Times New Roman" w:hAnsi="Arial Narrow" w:cs="Times New Roman"/>
                <w:color w:val="000000"/>
                <w:sz w:val="20"/>
                <w:szCs w:val="20"/>
                <w:lang w:eastAsia="es-CO"/>
              </w:rPr>
              <w:t>likelihood</w:t>
            </w:r>
            <w:proofErr w:type="spellEnd"/>
            <w:r w:rsidRPr="00F52AA7">
              <w:rPr>
                <w:rFonts w:ascii="Arial Narrow" w:eastAsia="Times New Roman" w:hAnsi="Arial Narrow" w:cs="Times New Roman"/>
                <w:color w:val="000000"/>
                <w:sz w:val="20"/>
                <w:szCs w:val="20"/>
                <w:lang w:eastAsia="es-CO"/>
              </w:rPr>
              <w:t xml:space="preserve"> = -1799.6553         </w:t>
            </w:r>
            <w:proofErr w:type="spellStart"/>
            <w:r w:rsidRPr="00F52AA7">
              <w:rPr>
                <w:rFonts w:ascii="Arial Narrow" w:eastAsia="Times New Roman" w:hAnsi="Arial Narrow" w:cs="Times New Roman"/>
                <w:color w:val="000000"/>
                <w:sz w:val="20"/>
                <w:szCs w:val="20"/>
                <w:lang w:eastAsia="es-CO"/>
              </w:rPr>
              <w:t>Pseudo</w:t>
            </w:r>
            <w:proofErr w:type="spellEnd"/>
            <w:r w:rsidRPr="00F52AA7">
              <w:rPr>
                <w:rFonts w:ascii="Arial Narrow" w:eastAsia="Times New Roman" w:hAnsi="Arial Narrow" w:cs="Times New Roman"/>
                <w:color w:val="000000"/>
                <w:sz w:val="20"/>
                <w:szCs w:val="20"/>
                <w:lang w:eastAsia="es-CO"/>
              </w:rPr>
              <w:t xml:space="preserve"> R2       =     0.1864</w:t>
            </w:r>
          </w:p>
        </w:tc>
        <w:tc>
          <w:tcPr>
            <w:tcW w:w="884" w:type="dxa"/>
            <w:shd w:val="clear" w:color="auto" w:fill="auto"/>
            <w:noWrap/>
            <w:vAlign w:val="bottom"/>
            <w:hideMark/>
          </w:tcPr>
          <w:p w:rsidR="00AF16E7" w:rsidRPr="00F52AA7" w:rsidRDefault="00AF16E7" w:rsidP="00544B68">
            <w:pPr>
              <w:spacing w:before="0" w:after="24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544B68">
            <w:pPr>
              <w:spacing w:before="0" w:after="24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544B68">
            <w:pPr>
              <w:spacing w:before="0" w:after="24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544B68">
            <w:pPr>
              <w:spacing w:before="0" w:after="24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15"/>
        </w:trPr>
        <w:tc>
          <w:tcPr>
            <w:tcW w:w="1458"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544B68">
            <w:pPr>
              <w:spacing w:before="0" w:after="240" w:line="240" w:lineRule="auto"/>
              <w:rPr>
                <w:rFonts w:ascii="Arial Narrow" w:eastAsia="Times New Roman" w:hAnsi="Arial Narrow" w:cs="Times New Roman"/>
                <w:b/>
                <w:color w:val="000000"/>
                <w:sz w:val="20"/>
                <w:szCs w:val="20"/>
                <w:lang w:eastAsia="es-CO"/>
              </w:rPr>
            </w:pPr>
            <w:r>
              <w:rPr>
                <w:rFonts w:ascii="Arial Narrow" w:eastAsia="Times New Roman" w:hAnsi="Arial Narrow" w:cs="Times New Roman"/>
                <w:b/>
                <w:color w:val="000000"/>
                <w:sz w:val="20"/>
                <w:szCs w:val="20"/>
                <w:lang w:eastAsia="es-CO"/>
              </w:rPr>
              <w:t>Móvil</w:t>
            </w:r>
          </w:p>
        </w:tc>
        <w:tc>
          <w:tcPr>
            <w:tcW w:w="967"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Coef</w:t>
            </w:r>
            <w:proofErr w:type="spellEnd"/>
            <w:r w:rsidRPr="00F52AA7">
              <w:rPr>
                <w:rFonts w:ascii="Arial Narrow" w:eastAsia="Times New Roman" w:hAnsi="Arial Narrow" w:cs="Times New Roman"/>
                <w:b/>
                <w:color w:val="000000"/>
                <w:sz w:val="20"/>
                <w:szCs w:val="20"/>
                <w:lang w:eastAsia="es-CO"/>
              </w:rPr>
              <w:t>.</w:t>
            </w:r>
          </w:p>
        </w:tc>
        <w:tc>
          <w:tcPr>
            <w:tcW w:w="745"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Std.</w:t>
            </w:r>
            <w:proofErr w:type="spellEnd"/>
            <w:r w:rsidRPr="00F52AA7">
              <w:rPr>
                <w:rFonts w:ascii="Arial Narrow" w:eastAsia="Times New Roman" w:hAnsi="Arial Narrow" w:cs="Times New Roman"/>
                <w:b/>
                <w:color w:val="000000"/>
                <w:sz w:val="20"/>
                <w:szCs w:val="20"/>
                <w:lang w:eastAsia="es-CO"/>
              </w:rPr>
              <w:t xml:space="preserve"> </w:t>
            </w:r>
            <w:proofErr w:type="spellStart"/>
            <w:r w:rsidRPr="00F52AA7">
              <w:rPr>
                <w:rFonts w:ascii="Arial Narrow" w:eastAsia="Times New Roman" w:hAnsi="Arial Narrow" w:cs="Times New Roman"/>
                <w:b/>
                <w:color w:val="000000"/>
                <w:sz w:val="20"/>
                <w:szCs w:val="20"/>
                <w:lang w:eastAsia="es-CO"/>
              </w:rPr>
              <w:t>Err</w:t>
            </w:r>
            <w:proofErr w:type="spellEnd"/>
          </w:p>
        </w:tc>
        <w:tc>
          <w:tcPr>
            <w:tcW w:w="98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z</w:t>
            </w:r>
          </w:p>
        </w:tc>
        <w:tc>
          <w:tcPr>
            <w:tcW w:w="96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P&gt;z</w:t>
            </w:r>
          </w:p>
        </w:tc>
        <w:tc>
          <w:tcPr>
            <w:tcW w:w="1768" w:type="dxa"/>
            <w:gridSpan w:val="2"/>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 xml:space="preserve">[95% Conf. </w:t>
            </w:r>
            <w:proofErr w:type="spellStart"/>
            <w:r w:rsidRPr="00F52AA7">
              <w:rPr>
                <w:rFonts w:ascii="Arial Narrow" w:eastAsia="Times New Roman" w:hAnsi="Arial Narrow" w:cs="Times New Roman"/>
                <w:b/>
                <w:color w:val="000000"/>
                <w:sz w:val="20"/>
                <w:szCs w:val="20"/>
                <w:lang w:eastAsia="es-CO"/>
              </w:rPr>
              <w:t>Interval</w:t>
            </w:r>
            <w:proofErr w:type="spellEnd"/>
            <w:r w:rsidRPr="00F52AA7">
              <w:rPr>
                <w:rFonts w:ascii="Arial Narrow" w:eastAsia="Times New Roman" w:hAnsi="Arial Narrow" w:cs="Times New Roman"/>
                <w:b/>
                <w:color w:val="000000"/>
                <w:sz w:val="20"/>
                <w:szCs w:val="20"/>
                <w:lang w:eastAsia="es-CO"/>
              </w:rPr>
              <w:t>]</w:t>
            </w:r>
          </w:p>
        </w:tc>
        <w:tc>
          <w:tcPr>
            <w:tcW w:w="964"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Odds</w:t>
            </w:r>
            <w:proofErr w:type="spellEnd"/>
            <w:r w:rsidRPr="00F52AA7">
              <w:rPr>
                <w:rFonts w:ascii="Arial Narrow" w:eastAsia="Times New Roman" w:hAnsi="Arial Narrow" w:cs="Times New Roman"/>
                <w:b/>
                <w:color w:val="000000"/>
                <w:sz w:val="20"/>
                <w:szCs w:val="20"/>
                <w:lang w:eastAsia="es-CO"/>
              </w:rPr>
              <w:t xml:space="preserve"> Ratio</w:t>
            </w:r>
          </w:p>
        </w:tc>
        <w:tc>
          <w:tcPr>
            <w:tcW w:w="90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 </w:t>
            </w:r>
            <m:oMath>
              <m:r>
                <m:rPr>
                  <m:sty m:val="bi"/>
                </m:rPr>
                <w:rPr>
                  <w:rFonts w:ascii="Cambria Math" w:eastAsia="Times New Roman" w:hAnsi="Cambria Math" w:cs="Times New Roman"/>
                  <w:color w:val="000000"/>
                  <w:sz w:val="20"/>
                  <w:szCs w:val="20"/>
                  <w:lang w:eastAsia="es-CO"/>
                </w:rPr>
                <m:t>∆p</m:t>
              </m:r>
            </m:oMath>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t2012</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0.714</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0.086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8.310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0.545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0.882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2.042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17.1%</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atlantica</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-0.657</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0.143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-4.600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-0.937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-0.377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0.518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-15.9%</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oriental</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0.670</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0.262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2.550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0.011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1.184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1.954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16.1%</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pacifica</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-0.892</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-5.800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-1.194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-0.591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0.410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-20.9%</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antioquia</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-0.853</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0.162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-5.280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-1.170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-0.536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0.426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-20.1%</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valle</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-0.048</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0.756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-0.351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0.255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0.953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educbas</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-0.636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0.191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-3.320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-1.011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-0.261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0.529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-15.4%</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educmed</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0.641</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0.125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5.140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0.396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0.885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1.898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15.5%</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eductec</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1.085</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0.324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3.350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0.450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1.720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2.960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24.7%</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educuniv</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0.851</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0.440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1.940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0.053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-0.011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1.713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2.342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20.1%</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edad12_17</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0.327</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0.098</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3.330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0.135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0.519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1.387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8.1%</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edad18_34</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0.762</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0.106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7.220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0.555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0.969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2.142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18.2%</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edad35_60</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0.973</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0.102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9.550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0.773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1.173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2.647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22.6%</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edad61mas</w:t>
            </w:r>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0.195</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0.108</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-0.016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0.406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1.215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4.9%</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ingreso_mill</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1.265</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0.147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8.610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0.978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1.553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3.545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28.0%</w:t>
            </w:r>
          </w:p>
        </w:tc>
      </w:tr>
      <w:tr w:rsidR="00AF16E7" w:rsidRPr="00F52AA7" w:rsidTr="006B0C9D">
        <w:trPr>
          <w:trHeight w:val="315"/>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_</w:t>
            </w:r>
            <w:proofErr w:type="spellStart"/>
            <w:r w:rsidRPr="00F52AA7">
              <w:rPr>
                <w:rFonts w:ascii="Arial Narrow" w:eastAsia="Times New Roman" w:hAnsi="Arial Narrow" w:cs="Times New Roman"/>
                <w:color w:val="000000"/>
                <w:sz w:val="20"/>
                <w:szCs w:val="20"/>
                <w:lang w:eastAsia="es-CO"/>
              </w:rPr>
              <w:t>cons</w:t>
            </w:r>
            <w:proofErr w:type="spellEnd"/>
          </w:p>
        </w:tc>
        <w:tc>
          <w:tcPr>
            <w:tcW w:w="96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0.483</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0.235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0.039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0.024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0.943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1.622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11.9%</w:t>
            </w:r>
          </w:p>
        </w:tc>
      </w:tr>
    </w:tbl>
    <w:p w:rsidR="00AF16E7" w:rsidRPr="00544B68" w:rsidRDefault="00AF16E7" w:rsidP="00AF16E7">
      <w:pPr>
        <w:widowControl w:val="0"/>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AF16E7" w:rsidRDefault="00AF16E7" w:rsidP="00AF16E7">
      <w:pPr>
        <w:widowControl w:val="0"/>
        <w:spacing w:before="0" w:after="120"/>
        <w:rPr>
          <w:rFonts w:eastAsia="Calibri"/>
        </w:rPr>
      </w:pPr>
      <w:r>
        <w:rPr>
          <w:rFonts w:eastAsia="Calibri"/>
        </w:rPr>
        <w:br w:type="page"/>
      </w:r>
    </w:p>
    <w:p w:rsidR="001267EB" w:rsidRDefault="001267EB" w:rsidP="00AF16E7">
      <w:pPr>
        <w:pStyle w:val="T-Figura"/>
        <w:keepNext w:val="0"/>
        <w:keepLines w:val="0"/>
        <w:widowControl w:val="0"/>
        <w:spacing w:before="0"/>
        <w:rPr>
          <w:rFonts w:eastAsia="Calibri"/>
        </w:rPr>
      </w:pPr>
    </w:p>
    <w:p w:rsidR="00AF16E7" w:rsidRPr="00F52AA7" w:rsidRDefault="00AF16E7" w:rsidP="00AF16E7">
      <w:pPr>
        <w:pStyle w:val="T-Figura"/>
        <w:keepNext w:val="0"/>
        <w:keepLines w:val="0"/>
        <w:widowControl w:val="0"/>
        <w:spacing w:before="0"/>
        <w:rPr>
          <w:rFonts w:eastAsia="Calibri"/>
        </w:rPr>
      </w:pPr>
      <w:r>
        <w:rPr>
          <w:rFonts w:eastAsia="Calibri"/>
        </w:rPr>
        <w:t xml:space="preserve">Cuadro </w:t>
      </w:r>
      <w:r w:rsidR="00036FBA">
        <w:rPr>
          <w:rFonts w:eastAsia="Calibri"/>
        </w:rPr>
        <w:t>A</w:t>
      </w:r>
      <w:r w:rsidR="00913F11">
        <w:rPr>
          <w:rFonts w:eastAsia="Calibri"/>
        </w:rPr>
        <w:t>1</w:t>
      </w:r>
      <w:r>
        <w:rPr>
          <w:rFonts w:eastAsia="Calibri"/>
        </w:rPr>
        <w:t xml:space="preserve">.7 - </w:t>
      </w:r>
      <w:r w:rsidRPr="00F52AA7">
        <w:rPr>
          <w:rFonts w:eastAsia="Calibri"/>
        </w:rPr>
        <w:t>Demanda de los hogares po</w:t>
      </w:r>
      <w:r>
        <w:rPr>
          <w:rFonts w:eastAsia="Calibri"/>
        </w:rPr>
        <w:t>r Telefonía Móvil</w:t>
      </w:r>
      <w:r w:rsidRPr="00F52AA7">
        <w:rPr>
          <w:rFonts w:eastAsia="Calibri"/>
        </w:rPr>
        <w:t xml:space="preserve"> en el área rural dispersa 2010 - 2012</w:t>
      </w:r>
    </w:p>
    <w:tbl>
      <w:tblPr>
        <w:tblW w:w="8742" w:type="dxa"/>
        <w:tblInd w:w="55" w:type="dxa"/>
        <w:tblCellMar>
          <w:left w:w="70" w:type="dxa"/>
          <w:right w:w="70" w:type="dxa"/>
        </w:tblCellMar>
        <w:tblLook w:val="04A0"/>
      </w:tblPr>
      <w:tblGrid>
        <w:gridCol w:w="1458"/>
        <w:gridCol w:w="798"/>
        <w:gridCol w:w="169"/>
        <w:gridCol w:w="745"/>
        <w:gridCol w:w="980"/>
        <w:gridCol w:w="960"/>
        <w:gridCol w:w="884"/>
        <w:gridCol w:w="884"/>
        <w:gridCol w:w="964"/>
        <w:gridCol w:w="900"/>
      </w:tblGrid>
      <w:tr w:rsidR="00AF16E7" w:rsidRPr="00F52AA7" w:rsidTr="006B0C9D">
        <w:trPr>
          <w:trHeight w:val="300"/>
        </w:trPr>
        <w:tc>
          <w:tcPr>
            <w:tcW w:w="3170" w:type="dxa"/>
            <w:gridSpan w:val="4"/>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 ÁREA RURAL DISPERSA</w:t>
            </w: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1458" w:type="dxa"/>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798"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14"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110" w:type="dxa"/>
            <w:gridSpan w:val="6"/>
            <w:shd w:val="clear" w:color="auto" w:fill="auto"/>
            <w:noWrap/>
            <w:vAlign w:val="bottom"/>
            <w:hideMark/>
          </w:tcPr>
          <w:p w:rsidR="00AF16E7" w:rsidRPr="00C97CEB" w:rsidRDefault="00AF16E7" w:rsidP="006B0C9D">
            <w:pPr>
              <w:spacing w:before="0" w:line="240" w:lineRule="auto"/>
              <w:rPr>
                <w:rFonts w:ascii="Arial Narrow" w:eastAsia="Times New Roman" w:hAnsi="Arial Narrow" w:cs="Times New Roman"/>
                <w:color w:val="000000"/>
                <w:sz w:val="20"/>
                <w:szCs w:val="20"/>
                <w:lang w:val="en-US" w:eastAsia="es-CO"/>
              </w:rPr>
            </w:pPr>
            <w:r w:rsidRPr="00824551">
              <w:rPr>
                <w:rFonts w:ascii="Arial Narrow" w:eastAsia="Times New Roman" w:hAnsi="Arial Narrow" w:cs="Times New Roman"/>
                <w:color w:val="000000"/>
                <w:sz w:val="20"/>
                <w:szCs w:val="20"/>
                <w:lang w:val="en-US" w:eastAsia="es-CO"/>
              </w:rPr>
              <w:t xml:space="preserve">Logistic regression                       Number of </w:t>
            </w:r>
            <w:proofErr w:type="spellStart"/>
            <w:r w:rsidRPr="00824551">
              <w:rPr>
                <w:rFonts w:ascii="Arial Narrow" w:eastAsia="Times New Roman" w:hAnsi="Arial Narrow" w:cs="Times New Roman"/>
                <w:color w:val="000000"/>
                <w:sz w:val="20"/>
                <w:szCs w:val="20"/>
                <w:lang w:val="en-US" w:eastAsia="es-CO"/>
              </w:rPr>
              <w:t>obs</w:t>
            </w:r>
            <w:proofErr w:type="spellEnd"/>
            <w:r w:rsidRPr="00824551">
              <w:rPr>
                <w:rFonts w:ascii="Arial Narrow" w:eastAsia="Times New Roman" w:hAnsi="Arial Narrow" w:cs="Times New Roman"/>
                <w:color w:val="000000"/>
                <w:sz w:val="20"/>
                <w:szCs w:val="20"/>
                <w:lang w:val="en-US" w:eastAsia="es-CO"/>
              </w:rPr>
              <w:t xml:space="preserve">   =       894</w:t>
            </w:r>
            <w:r w:rsidRPr="00C97CEB">
              <w:rPr>
                <w:rFonts w:ascii="Arial Narrow" w:eastAsia="Times New Roman" w:hAnsi="Arial Narrow" w:cs="Times New Roman"/>
                <w:color w:val="000000"/>
                <w:sz w:val="20"/>
                <w:szCs w:val="20"/>
                <w:lang w:val="en-US" w:eastAsia="es-CO"/>
              </w:rPr>
              <w:t>8</w:t>
            </w:r>
          </w:p>
        </w:tc>
        <w:tc>
          <w:tcPr>
            <w:tcW w:w="884" w:type="dxa"/>
            <w:shd w:val="clear" w:color="auto" w:fill="auto"/>
            <w:noWrap/>
            <w:vAlign w:val="bottom"/>
            <w:hideMark/>
          </w:tcPr>
          <w:p w:rsidR="00AF16E7" w:rsidRPr="00C97CEB"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84" w:type="dxa"/>
            <w:shd w:val="clear" w:color="auto" w:fill="auto"/>
            <w:noWrap/>
            <w:vAlign w:val="bottom"/>
            <w:hideMark/>
          </w:tcPr>
          <w:p w:rsidR="00AF16E7" w:rsidRPr="00C97CEB"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64" w:type="dxa"/>
            <w:shd w:val="clear" w:color="auto" w:fill="auto"/>
            <w:noWrap/>
            <w:vAlign w:val="bottom"/>
            <w:hideMark/>
          </w:tcPr>
          <w:p w:rsidR="00AF16E7" w:rsidRPr="00C97CEB"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00" w:type="dxa"/>
            <w:shd w:val="clear" w:color="auto" w:fill="auto"/>
            <w:noWrap/>
            <w:vAlign w:val="bottom"/>
            <w:hideMark/>
          </w:tcPr>
          <w:p w:rsidR="00AF16E7" w:rsidRPr="00C97CEB"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C97CEB">
              <w:rPr>
                <w:rFonts w:ascii="Arial Narrow" w:eastAsia="Times New Roman" w:hAnsi="Arial Narrow" w:cs="Times New Roman"/>
                <w:color w:val="000000"/>
                <w:sz w:val="20"/>
                <w:szCs w:val="20"/>
                <w:lang w:val="en-US" w:eastAsia="es-CO"/>
              </w:rPr>
              <w:t> </w:t>
            </w:r>
          </w:p>
        </w:tc>
      </w:tr>
      <w:tr w:rsidR="00AF16E7" w:rsidRPr="00F52AA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LR chi2(15)     =     963.50</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Prob</w:t>
            </w:r>
            <w:proofErr w:type="spellEnd"/>
            <w:r w:rsidRPr="00F52AA7">
              <w:rPr>
                <w:rFonts w:ascii="Arial Narrow" w:eastAsia="Times New Roman" w:hAnsi="Arial Narrow" w:cs="Times New Roman"/>
                <w:color w:val="000000"/>
                <w:sz w:val="20"/>
                <w:szCs w:val="20"/>
                <w:lang w:eastAsia="es-CO"/>
              </w:rPr>
              <w:t xml:space="preserve"> &gt; chi2     =     0.0000</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xml:space="preserve">Log </w:t>
            </w:r>
            <w:proofErr w:type="spellStart"/>
            <w:r w:rsidRPr="00F52AA7">
              <w:rPr>
                <w:rFonts w:ascii="Arial Narrow" w:eastAsia="Times New Roman" w:hAnsi="Arial Narrow" w:cs="Times New Roman"/>
                <w:color w:val="000000"/>
                <w:sz w:val="20"/>
                <w:szCs w:val="20"/>
                <w:lang w:eastAsia="es-CO"/>
              </w:rPr>
              <w:t>likelihood</w:t>
            </w:r>
            <w:proofErr w:type="spellEnd"/>
            <w:r w:rsidRPr="00F52AA7">
              <w:rPr>
                <w:rFonts w:ascii="Arial Narrow" w:eastAsia="Times New Roman" w:hAnsi="Arial Narrow" w:cs="Times New Roman"/>
                <w:color w:val="000000"/>
                <w:sz w:val="20"/>
                <w:szCs w:val="20"/>
                <w:lang w:eastAsia="es-CO"/>
              </w:rPr>
              <w:t xml:space="preserve"> = -3312.4266        </w:t>
            </w:r>
            <w:proofErr w:type="spellStart"/>
            <w:r w:rsidRPr="00F52AA7">
              <w:rPr>
                <w:rFonts w:ascii="Arial Narrow" w:eastAsia="Times New Roman" w:hAnsi="Arial Narrow" w:cs="Times New Roman"/>
                <w:color w:val="000000"/>
                <w:sz w:val="20"/>
                <w:szCs w:val="20"/>
                <w:lang w:eastAsia="es-CO"/>
              </w:rPr>
              <w:t>Pseudo</w:t>
            </w:r>
            <w:proofErr w:type="spellEnd"/>
            <w:r w:rsidRPr="00F52AA7">
              <w:rPr>
                <w:rFonts w:ascii="Arial Narrow" w:eastAsia="Times New Roman" w:hAnsi="Arial Narrow" w:cs="Times New Roman"/>
                <w:color w:val="000000"/>
                <w:sz w:val="20"/>
                <w:szCs w:val="20"/>
                <w:lang w:eastAsia="es-CO"/>
              </w:rPr>
              <w:t xml:space="preserve"> R2       =     0.1270</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1458" w:type="dxa"/>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7"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45"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15"/>
        </w:trPr>
        <w:tc>
          <w:tcPr>
            <w:tcW w:w="1458" w:type="dxa"/>
            <w:shd w:val="clear" w:color="auto" w:fill="A6A6A6" w:themeFill="background1" w:themeFillShade="A6"/>
            <w:noWrap/>
            <w:vAlign w:val="bottom"/>
            <w:hideMark/>
          </w:tcPr>
          <w:p w:rsidR="00AF16E7" w:rsidRPr="00F52AA7" w:rsidRDefault="00AF16E7" w:rsidP="006B0C9D">
            <w:pPr>
              <w:spacing w:before="0" w:line="240" w:lineRule="auto"/>
              <w:rPr>
                <w:rFonts w:ascii="Arial Narrow" w:eastAsia="Times New Roman" w:hAnsi="Arial Narrow" w:cs="Times New Roman"/>
                <w:b/>
                <w:color w:val="000000"/>
                <w:sz w:val="20"/>
                <w:szCs w:val="20"/>
                <w:lang w:eastAsia="es-CO"/>
              </w:rPr>
            </w:pPr>
            <w:r>
              <w:rPr>
                <w:rFonts w:ascii="Arial Narrow" w:eastAsia="Times New Roman" w:hAnsi="Arial Narrow" w:cs="Times New Roman"/>
                <w:b/>
                <w:color w:val="000000"/>
                <w:sz w:val="20"/>
                <w:szCs w:val="20"/>
                <w:lang w:eastAsia="es-CO"/>
              </w:rPr>
              <w:t>Móvil</w:t>
            </w:r>
          </w:p>
        </w:tc>
        <w:tc>
          <w:tcPr>
            <w:tcW w:w="967" w:type="dxa"/>
            <w:gridSpan w:val="2"/>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Coef</w:t>
            </w:r>
            <w:proofErr w:type="spellEnd"/>
            <w:r w:rsidRPr="00F52AA7">
              <w:rPr>
                <w:rFonts w:ascii="Arial Narrow" w:eastAsia="Times New Roman" w:hAnsi="Arial Narrow" w:cs="Times New Roman"/>
                <w:b/>
                <w:color w:val="000000"/>
                <w:sz w:val="20"/>
                <w:szCs w:val="20"/>
                <w:lang w:eastAsia="es-CO"/>
              </w:rPr>
              <w:t>.</w:t>
            </w:r>
          </w:p>
        </w:tc>
        <w:tc>
          <w:tcPr>
            <w:tcW w:w="745" w:type="dxa"/>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Std.</w:t>
            </w:r>
            <w:proofErr w:type="spellEnd"/>
            <w:r w:rsidRPr="00F52AA7">
              <w:rPr>
                <w:rFonts w:ascii="Arial Narrow" w:eastAsia="Times New Roman" w:hAnsi="Arial Narrow" w:cs="Times New Roman"/>
                <w:b/>
                <w:color w:val="000000"/>
                <w:sz w:val="20"/>
                <w:szCs w:val="20"/>
                <w:lang w:eastAsia="es-CO"/>
              </w:rPr>
              <w:t xml:space="preserve"> </w:t>
            </w:r>
            <w:proofErr w:type="spellStart"/>
            <w:r w:rsidRPr="00F52AA7">
              <w:rPr>
                <w:rFonts w:ascii="Arial Narrow" w:eastAsia="Times New Roman" w:hAnsi="Arial Narrow" w:cs="Times New Roman"/>
                <w:b/>
                <w:color w:val="000000"/>
                <w:sz w:val="20"/>
                <w:szCs w:val="20"/>
                <w:lang w:eastAsia="es-CO"/>
              </w:rPr>
              <w:t>Err</w:t>
            </w:r>
            <w:proofErr w:type="spellEnd"/>
          </w:p>
        </w:tc>
        <w:tc>
          <w:tcPr>
            <w:tcW w:w="980" w:type="dxa"/>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z</w:t>
            </w:r>
          </w:p>
        </w:tc>
        <w:tc>
          <w:tcPr>
            <w:tcW w:w="960" w:type="dxa"/>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P&gt;z</w:t>
            </w:r>
          </w:p>
        </w:tc>
        <w:tc>
          <w:tcPr>
            <w:tcW w:w="1768" w:type="dxa"/>
            <w:gridSpan w:val="2"/>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 xml:space="preserve">[95% Conf. </w:t>
            </w:r>
            <w:proofErr w:type="spellStart"/>
            <w:r w:rsidRPr="00F52AA7">
              <w:rPr>
                <w:rFonts w:ascii="Arial Narrow" w:eastAsia="Times New Roman" w:hAnsi="Arial Narrow" w:cs="Times New Roman"/>
                <w:b/>
                <w:color w:val="000000"/>
                <w:sz w:val="20"/>
                <w:szCs w:val="20"/>
                <w:lang w:eastAsia="es-CO"/>
              </w:rPr>
              <w:t>Interval</w:t>
            </w:r>
            <w:proofErr w:type="spellEnd"/>
            <w:r w:rsidRPr="00F52AA7">
              <w:rPr>
                <w:rFonts w:ascii="Arial Narrow" w:eastAsia="Times New Roman" w:hAnsi="Arial Narrow" w:cs="Times New Roman"/>
                <w:b/>
                <w:color w:val="000000"/>
                <w:sz w:val="20"/>
                <w:szCs w:val="20"/>
                <w:lang w:eastAsia="es-CO"/>
              </w:rPr>
              <w:t>]</w:t>
            </w:r>
          </w:p>
        </w:tc>
        <w:tc>
          <w:tcPr>
            <w:tcW w:w="964" w:type="dxa"/>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Odds</w:t>
            </w:r>
            <w:proofErr w:type="spellEnd"/>
            <w:r w:rsidRPr="00F52AA7">
              <w:rPr>
                <w:rFonts w:ascii="Arial Narrow" w:eastAsia="Times New Roman" w:hAnsi="Arial Narrow" w:cs="Times New Roman"/>
                <w:b/>
                <w:color w:val="000000"/>
                <w:sz w:val="20"/>
                <w:szCs w:val="20"/>
                <w:lang w:eastAsia="es-CO"/>
              </w:rPr>
              <w:t xml:space="preserve"> Ratio</w:t>
            </w:r>
          </w:p>
        </w:tc>
        <w:tc>
          <w:tcPr>
            <w:tcW w:w="900" w:type="dxa"/>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 </w:t>
            </w:r>
            <m:oMath>
              <m:r>
                <m:rPr>
                  <m:sty m:val="bi"/>
                </m:rPr>
                <w:rPr>
                  <w:rFonts w:ascii="Cambria Math" w:eastAsia="Times New Roman" w:hAnsi="Cambria Math" w:cs="Times New Roman"/>
                  <w:color w:val="000000"/>
                  <w:sz w:val="20"/>
                  <w:szCs w:val="20"/>
                  <w:lang w:eastAsia="es-CO"/>
                </w:rPr>
                <m:t>∆p</m:t>
              </m:r>
            </m:oMath>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t2012</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0.702</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11.120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0.578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0.825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2.017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16.9%</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atlantica</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-0.716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0.113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-6.360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-0.936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-0.495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0.489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-17.2%</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oriental</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0.597</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0.108</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5.530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0.385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0.809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1.817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14.5%</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pacifica</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-0.574</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0.095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-6.030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-0.760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-0.387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0.563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-14.0%</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antioquia</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-0.345</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0.104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-3.320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-0.549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-0.142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0.708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-8.5%</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valle</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0.584</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3.810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0.283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0.885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1.793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14.2%</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educbas</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0.374</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0.191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1.960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0.050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0.748</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1.454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9.2%</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educmed</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0.787</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0.114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6.880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0.563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1.011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2.197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18.7%</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eductec</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1.110</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0.355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3.130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0.415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1.805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3.033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25.2%</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educuniv</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1.728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0.484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3.570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0.779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2.678</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5.631</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34.9%</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edad12_17</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0.436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5.790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0.288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0.584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1.547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10.7%</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edad18_34</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0.521</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6.930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0.374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0.668</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1.683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12.7%</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edad35_60</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0.568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7.800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0.426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0.711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1.766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13.8%</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edad61mas</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-0.186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-2.490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0.013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-0.332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-0.040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0.830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-4.6%</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ingreso_mill</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0.927</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0.116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8.010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1.154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2.527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21.7%</w:t>
            </w:r>
          </w:p>
        </w:tc>
      </w:tr>
      <w:tr w:rsidR="00AF16E7" w:rsidRPr="00F52AA7" w:rsidTr="006B0C9D">
        <w:trPr>
          <w:trHeight w:val="315"/>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_</w:t>
            </w:r>
            <w:proofErr w:type="spellStart"/>
            <w:r w:rsidRPr="00F52AA7">
              <w:rPr>
                <w:rFonts w:ascii="Arial Narrow" w:eastAsia="Times New Roman" w:hAnsi="Arial Narrow" w:cs="Times New Roman"/>
                <w:color w:val="000000"/>
                <w:sz w:val="20"/>
                <w:szCs w:val="20"/>
                <w:lang w:eastAsia="es-CO"/>
              </w:rPr>
              <w:t>cons</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-0.035</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0.210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0.867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-0.447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0.377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0.965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w:t>
            </w:r>
          </w:p>
        </w:tc>
      </w:tr>
    </w:tbl>
    <w:p w:rsidR="00AF16E7" w:rsidRPr="00544B68" w:rsidRDefault="00AF16E7" w:rsidP="00AF16E7">
      <w:pPr>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AF16E7" w:rsidRPr="00685B66" w:rsidRDefault="00AF16E7" w:rsidP="0020708C">
      <w:pPr>
        <w:pStyle w:val="Ttulo3"/>
        <w:numPr>
          <w:ilvl w:val="0"/>
          <w:numId w:val="44"/>
        </w:numPr>
        <w:rPr>
          <w:sz w:val="26"/>
          <w:szCs w:val="26"/>
        </w:rPr>
      </w:pPr>
      <w:r w:rsidRPr="00685B66">
        <w:rPr>
          <w:sz w:val="26"/>
          <w:szCs w:val="26"/>
        </w:rPr>
        <w:t>Televisión por Suscripción</w:t>
      </w:r>
    </w:p>
    <w:p w:rsidR="00AF16E7" w:rsidRPr="00F52AA7" w:rsidRDefault="00AF16E7" w:rsidP="00AF16E7">
      <w:r w:rsidRPr="00F52AA7">
        <w:t>La demanda de los hogares por televisión por suscripción es el segundo eslabón de la secuencia de acceso al mundo digital, seguida posteriormente por el Internet.</w:t>
      </w:r>
      <w:r w:rsidR="00923FEE">
        <w:t xml:space="preserve"> E</w:t>
      </w:r>
      <w:r w:rsidR="00913F11">
        <w:t>l Cuadro A1</w:t>
      </w:r>
      <w:r w:rsidR="00923FEE">
        <w:t xml:space="preserve">.8 presenta la demanda de los hogares por televisión por suscripción en las cabeceras municipales del país; </w:t>
      </w:r>
      <w:r w:rsidR="00913F11">
        <w:t>el cuadro A1</w:t>
      </w:r>
      <w:r w:rsidR="00923FEE">
        <w:t>.9 esta demanda en centros poblados menores e inspecciones de policía</w:t>
      </w:r>
      <w:r w:rsidR="00913F11">
        <w:t>; y el cuadro A1</w:t>
      </w:r>
      <w:r w:rsidR="00923FEE">
        <w:t>.10 esta demanda en el área rural dispersa.</w:t>
      </w:r>
    </w:p>
    <w:p w:rsidR="00AF16E7" w:rsidRPr="00F52AA7" w:rsidRDefault="00AF16E7" w:rsidP="00AF16E7">
      <w:r w:rsidRPr="00F52AA7">
        <w:t xml:space="preserve"> </w:t>
      </w:r>
    </w:p>
    <w:p w:rsidR="006069A0" w:rsidRDefault="006069A0" w:rsidP="00AF16E7">
      <w:pPr>
        <w:pStyle w:val="T-Figura"/>
        <w:rPr>
          <w:rFonts w:eastAsia="Calibri"/>
        </w:rPr>
      </w:pPr>
    </w:p>
    <w:p w:rsidR="00AF16E7" w:rsidRPr="00F52AA7" w:rsidRDefault="00AF16E7" w:rsidP="00AF16E7">
      <w:pPr>
        <w:pStyle w:val="T-Figura"/>
        <w:rPr>
          <w:rFonts w:eastAsia="Calibri"/>
        </w:rPr>
      </w:pPr>
      <w:r>
        <w:rPr>
          <w:rFonts w:eastAsia="Calibri"/>
        </w:rPr>
        <w:t xml:space="preserve">Cuadro </w:t>
      </w:r>
      <w:r w:rsidR="00923FEE">
        <w:rPr>
          <w:rFonts w:eastAsia="Calibri"/>
        </w:rPr>
        <w:t>A</w:t>
      </w:r>
      <w:r w:rsidR="00913F11">
        <w:rPr>
          <w:rFonts w:eastAsia="Calibri"/>
        </w:rPr>
        <w:t>1</w:t>
      </w:r>
      <w:r w:rsidRPr="00F52AA7">
        <w:rPr>
          <w:rFonts w:eastAsia="Calibri"/>
        </w:rPr>
        <w:t>.</w:t>
      </w:r>
      <w:r>
        <w:rPr>
          <w:rFonts w:eastAsia="Calibri"/>
        </w:rPr>
        <w:t xml:space="preserve">8 - </w:t>
      </w:r>
      <w:r w:rsidRPr="00F52AA7">
        <w:rPr>
          <w:rFonts w:eastAsia="Calibri"/>
        </w:rPr>
        <w:t>Demanda de los hogares por Televisión por Suscripción en cabeceras municipales 2010 - 2012</w:t>
      </w:r>
    </w:p>
    <w:tbl>
      <w:tblPr>
        <w:tblW w:w="8825" w:type="dxa"/>
        <w:tblInd w:w="55" w:type="dxa"/>
        <w:tblCellMar>
          <w:left w:w="70" w:type="dxa"/>
          <w:right w:w="70" w:type="dxa"/>
        </w:tblCellMar>
        <w:tblLook w:val="04A0"/>
      </w:tblPr>
      <w:tblGrid>
        <w:gridCol w:w="1636"/>
        <w:gridCol w:w="798"/>
        <w:gridCol w:w="133"/>
        <w:gridCol w:w="686"/>
        <w:gridCol w:w="980"/>
        <w:gridCol w:w="960"/>
        <w:gridCol w:w="884"/>
        <w:gridCol w:w="884"/>
        <w:gridCol w:w="964"/>
        <w:gridCol w:w="900"/>
      </w:tblGrid>
      <w:tr w:rsidR="00AF16E7" w:rsidRPr="00F52AA7" w:rsidTr="006B0C9D">
        <w:trPr>
          <w:trHeight w:val="300"/>
        </w:trPr>
        <w:tc>
          <w:tcPr>
            <w:tcW w:w="2434" w:type="dxa"/>
            <w:gridSpan w:val="2"/>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 CABECERA</w:t>
            </w:r>
          </w:p>
        </w:tc>
        <w:tc>
          <w:tcPr>
            <w:tcW w:w="819"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1636" w:type="dxa"/>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798"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19"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193"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val="en-US" w:eastAsia="es-CO"/>
              </w:rPr>
            </w:pPr>
            <w:r w:rsidRPr="00F52AA7">
              <w:rPr>
                <w:rFonts w:ascii="Arial Narrow" w:eastAsia="Times New Roman" w:hAnsi="Arial Narrow" w:cs="Times New Roman"/>
                <w:color w:val="000000"/>
                <w:sz w:val="20"/>
                <w:szCs w:val="20"/>
                <w:lang w:val="en-US" w:eastAsia="es-CO"/>
              </w:rPr>
              <w:t xml:space="preserve">Logistic regression                       Number of </w:t>
            </w:r>
            <w:proofErr w:type="spellStart"/>
            <w:r w:rsidRPr="00F52AA7">
              <w:rPr>
                <w:rFonts w:ascii="Arial Narrow" w:eastAsia="Times New Roman" w:hAnsi="Arial Narrow" w:cs="Times New Roman"/>
                <w:color w:val="000000"/>
                <w:sz w:val="20"/>
                <w:szCs w:val="20"/>
                <w:lang w:val="en-US" w:eastAsia="es-CO"/>
              </w:rPr>
              <w:t>obs</w:t>
            </w:r>
            <w:proofErr w:type="spellEnd"/>
            <w:r w:rsidRPr="00F52AA7">
              <w:rPr>
                <w:rFonts w:ascii="Arial Narrow" w:eastAsia="Times New Roman" w:hAnsi="Arial Narrow" w:cs="Times New Roman"/>
                <w:color w:val="000000"/>
                <w:sz w:val="20"/>
                <w:szCs w:val="20"/>
                <w:lang w:val="en-US" w:eastAsia="es-CO"/>
              </w:rPr>
              <w:t xml:space="preserve">   =      22013</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F52AA7">
              <w:rPr>
                <w:rFonts w:ascii="Arial Narrow" w:eastAsia="Times New Roman" w:hAnsi="Arial Narrow" w:cs="Times New Roman"/>
                <w:color w:val="000000"/>
                <w:sz w:val="20"/>
                <w:szCs w:val="20"/>
                <w:lang w:val="en-US" w:eastAsia="es-CO"/>
              </w:rPr>
              <w:t> </w:t>
            </w:r>
          </w:p>
        </w:tc>
      </w:tr>
      <w:tr w:rsidR="00AF16E7" w:rsidRPr="00F52AA7" w:rsidTr="006B0C9D">
        <w:trPr>
          <w:trHeight w:val="300"/>
        </w:trPr>
        <w:tc>
          <w:tcPr>
            <w:tcW w:w="5193"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LR chi2(18)     =    3541.30</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93"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Prob</w:t>
            </w:r>
            <w:proofErr w:type="spellEnd"/>
            <w:r w:rsidRPr="00F52AA7">
              <w:rPr>
                <w:rFonts w:ascii="Arial Narrow" w:eastAsia="Times New Roman" w:hAnsi="Arial Narrow" w:cs="Times New Roman"/>
                <w:color w:val="000000"/>
                <w:sz w:val="20"/>
                <w:szCs w:val="20"/>
                <w:lang w:eastAsia="es-CO"/>
              </w:rPr>
              <w:t xml:space="preserve"> &gt; chi2     =     0.0000</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93"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xml:space="preserve">Log </w:t>
            </w:r>
            <w:proofErr w:type="spellStart"/>
            <w:r w:rsidRPr="00F52AA7">
              <w:rPr>
                <w:rFonts w:ascii="Arial Narrow" w:eastAsia="Times New Roman" w:hAnsi="Arial Narrow" w:cs="Times New Roman"/>
                <w:color w:val="000000"/>
                <w:sz w:val="20"/>
                <w:szCs w:val="20"/>
                <w:lang w:eastAsia="es-CO"/>
              </w:rPr>
              <w:t>likelihood</w:t>
            </w:r>
            <w:proofErr w:type="spellEnd"/>
            <w:r w:rsidRPr="00F52AA7">
              <w:rPr>
                <w:rFonts w:ascii="Arial Narrow" w:eastAsia="Times New Roman" w:hAnsi="Arial Narrow" w:cs="Times New Roman"/>
                <w:color w:val="000000"/>
                <w:sz w:val="20"/>
                <w:szCs w:val="20"/>
                <w:lang w:eastAsia="es-CO"/>
              </w:rPr>
              <w:t xml:space="preserve"> =  -12937.42           </w:t>
            </w:r>
            <w:proofErr w:type="spellStart"/>
            <w:r w:rsidRPr="00F52AA7">
              <w:rPr>
                <w:rFonts w:ascii="Arial Narrow" w:eastAsia="Times New Roman" w:hAnsi="Arial Narrow" w:cs="Times New Roman"/>
                <w:color w:val="000000"/>
                <w:sz w:val="20"/>
                <w:szCs w:val="20"/>
                <w:lang w:eastAsia="es-CO"/>
              </w:rPr>
              <w:t>Pseudo</w:t>
            </w:r>
            <w:proofErr w:type="spellEnd"/>
            <w:r w:rsidRPr="00F52AA7">
              <w:rPr>
                <w:rFonts w:ascii="Arial Narrow" w:eastAsia="Times New Roman" w:hAnsi="Arial Narrow" w:cs="Times New Roman"/>
                <w:color w:val="000000"/>
                <w:sz w:val="20"/>
                <w:szCs w:val="20"/>
                <w:lang w:eastAsia="es-CO"/>
              </w:rPr>
              <w:t xml:space="preserve"> R2       =     0.1204</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1636" w:type="dxa"/>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31"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686"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15"/>
        </w:trPr>
        <w:tc>
          <w:tcPr>
            <w:tcW w:w="1636"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tvsusc</w:t>
            </w:r>
            <w:proofErr w:type="spellEnd"/>
          </w:p>
        </w:tc>
        <w:tc>
          <w:tcPr>
            <w:tcW w:w="931" w:type="dxa"/>
            <w:gridSpan w:val="2"/>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Coef</w:t>
            </w:r>
            <w:proofErr w:type="spellEnd"/>
            <w:r w:rsidRPr="00F52AA7">
              <w:rPr>
                <w:rFonts w:ascii="Arial Narrow" w:eastAsia="Times New Roman" w:hAnsi="Arial Narrow" w:cs="Times New Roman"/>
                <w:b/>
                <w:color w:val="000000"/>
                <w:sz w:val="20"/>
                <w:szCs w:val="20"/>
                <w:lang w:eastAsia="es-CO"/>
              </w:rPr>
              <w:t>.</w:t>
            </w:r>
          </w:p>
        </w:tc>
        <w:tc>
          <w:tcPr>
            <w:tcW w:w="686"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Std.</w:t>
            </w:r>
            <w:proofErr w:type="spellEnd"/>
            <w:r w:rsidRPr="00F52AA7">
              <w:rPr>
                <w:rFonts w:ascii="Arial Narrow" w:eastAsia="Times New Roman" w:hAnsi="Arial Narrow" w:cs="Times New Roman"/>
                <w:b/>
                <w:color w:val="000000"/>
                <w:sz w:val="20"/>
                <w:szCs w:val="20"/>
                <w:lang w:eastAsia="es-CO"/>
              </w:rPr>
              <w:t xml:space="preserve"> </w:t>
            </w:r>
            <w:proofErr w:type="spellStart"/>
            <w:r w:rsidRPr="00F52AA7">
              <w:rPr>
                <w:rFonts w:ascii="Arial Narrow" w:eastAsia="Times New Roman" w:hAnsi="Arial Narrow" w:cs="Times New Roman"/>
                <w:b/>
                <w:color w:val="000000"/>
                <w:sz w:val="20"/>
                <w:szCs w:val="20"/>
                <w:lang w:eastAsia="es-CO"/>
              </w:rPr>
              <w:t>Err</w:t>
            </w:r>
            <w:proofErr w:type="spellEnd"/>
          </w:p>
        </w:tc>
        <w:tc>
          <w:tcPr>
            <w:tcW w:w="980"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z</w:t>
            </w:r>
          </w:p>
        </w:tc>
        <w:tc>
          <w:tcPr>
            <w:tcW w:w="960"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P&gt;z</w:t>
            </w:r>
          </w:p>
        </w:tc>
        <w:tc>
          <w:tcPr>
            <w:tcW w:w="1768" w:type="dxa"/>
            <w:gridSpan w:val="2"/>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 xml:space="preserve">[95% Conf. </w:t>
            </w:r>
            <w:proofErr w:type="spellStart"/>
            <w:r w:rsidRPr="00F52AA7">
              <w:rPr>
                <w:rFonts w:ascii="Arial Narrow" w:eastAsia="Times New Roman" w:hAnsi="Arial Narrow" w:cs="Times New Roman"/>
                <w:b/>
                <w:color w:val="000000"/>
                <w:sz w:val="20"/>
                <w:szCs w:val="20"/>
                <w:lang w:eastAsia="es-CO"/>
              </w:rPr>
              <w:t>Interval</w:t>
            </w:r>
            <w:proofErr w:type="spellEnd"/>
            <w:r w:rsidRPr="00F52AA7">
              <w:rPr>
                <w:rFonts w:ascii="Arial Narrow" w:eastAsia="Times New Roman" w:hAnsi="Arial Narrow" w:cs="Times New Roman"/>
                <w:b/>
                <w:color w:val="000000"/>
                <w:sz w:val="20"/>
                <w:szCs w:val="20"/>
                <w:lang w:eastAsia="es-CO"/>
              </w:rPr>
              <w:t>]</w:t>
            </w:r>
          </w:p>
        </w:tc>
        <w:tc>
          <w:tcPr>
            <w:tcW w:w="964"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Odds</w:t>
            </w:r>
            <w:proofErr w:type="spellEnd"/>
            <w:r w:rsidRPr="00F52AA7">
              <w:rPr>
                <w:rFonts w:ascii="Arial Narrow" w:eastAsia="Times New Roman" w:hAnsi="Arial Narrow" w:cs="Times New Roman"/>
                <w:b/>
                <w:color w:val="000000"/>
                <w:sz w:val="20"/>
                <w:szCs w:val="20"/>
                <w:lang w:eastAsia="es-CO"/>
              </w:rPr>
              <w:t xml:space="preserve"> Ratio</w:t>
            </w:r>
          </w:p>
        </w:tc>
        <w:tc>
          <w:tcPr>
            <w:tcW w:w="900"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m:oMath>
              <m:r>
                <m:rPr>
                  <m:sty m:val="bi"/>
                </m:rPr>
                <w:rPr>
                  <w:rFonts w:ascii="Cambria Math" w:eastAsia="Times New Roman" w:hAnsi="Cambria Math" w:cs="Times New Roman"/>
                  <w:color w:val="000000"/>
                  <w:sz w:val="20"/>
                  <w:szCs w:val="20"/>
                  <w:lang w:eastAsia="es-CO"/>
                </w:rPr>
                <m:t>∆p</m:t>
              </m:r>
            </m:oMath>
            <w:r w:rsidRPr="00F52AA7">
              <w:rPr>
                <w:rFonts w:ascii="Arial Narrow" w:eastAsia="Times New Roman" w:hAnsi="Arial Narrow" w:cs="Times New Roman"/>
                <w:b/>
                <w:color w:val="000000"/>
                <w:sz w:val="20"/>
                <w:szCs w:val="20"/>
                <w:lang w:eastAsia="es-CO"/>
              </w:rPr>
              <w:t> </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t2012</w:t>
            </w:r>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0.210</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0.031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6.890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0.270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1.234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5.2%</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atlantica</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-1.123</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-18.340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-1.243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-1.003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0.325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-25.5%</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oriental</w:t>
            </w:r>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-0.300</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-4.810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-0.422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-0.178</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0.741</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-7.4%</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central</w:t>
            </w:r>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-0.184</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-2.970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-0.306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0.832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-4.6%</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pacifica</w:t>
            </w:r>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-0.757</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0.059</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-12.740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-0.873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-0.640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0.469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-18.1%</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antioquia</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0.183</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2.900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0.059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0.307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1.201</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4.6%</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valle</w:t>
            </w:r>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0.206</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3.380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0.087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0.325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1.228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5.1%</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sanandres</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-1.517</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-19.670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-1.668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-1.366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0.219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-32.0%</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orinoq_amazon</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-0.465</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-6.220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-0.612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-0.319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0.628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-11.4%</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educbas</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-0.396</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0.041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-9.690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-0.476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-0.316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0.673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-9.8%</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educmed</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0.305</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0.034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8.850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0.237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0.372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1.356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7.6%</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eductec</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0.432</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0.046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9.470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0.343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0.521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1.540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10.6%</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educuniv</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0.666</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0.054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12.370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0.561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0.772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1.947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16.1%</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edad12_17</w:t>
            </w:r>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-0.021</w:t>
            </w:r>
            <w:r w:rsidRPr="00F52AA7">
              <w:rPr>
                <w:rFonts w:ascii="Arial Narrow" w:eastAsia="Times New Roman" w:hAnsi="Arial Narrow" w:cs="Times New Roman"/>
                <w:color w:val="000000"/>
                <w:sz w:val="20"/>
                <w:szCs w:val="20"/>
                <w:vertAlign w:val="superscript"/>
                <w:lang w:eastAsia="es-CO"/>
              </w:rPr>
              <w:t>NO</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0.034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0.525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-0.087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0.044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0.979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edad18_34</w:t>
            </w:r>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0.025</w:t>
            </w:r>
            <w:r w:rsidRPr="00F52AA7">
              <w:rPr>
                <w:rFonts w:ascii="Arial Narrow" w:eastAsia="Times New Roman" w:hAnsi="Arial Narrow" w:cs="Times New Roman"/>
                <w:color w:val="000000"/>
                <w:sz w:val="20"/>
                <w:szCs w:val="20"/>
                <w:vertAlign w:val="superscript"/>
                <w:lang w:eastAsia="es-CO"/>
              </w:rPr>
              <w:t>NO</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0.035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0.475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-0.044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0.094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1.025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edad35_60</w:t>
            </w:r>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0.143</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0.037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3.820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0.216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1.153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3.6%</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edad61mas</w:t>
            </w:r>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0.157</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0.039</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4.060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0.081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0.233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1.170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3.9%</w:t>
            </w:r>
          </w:p>
        </w:tc>
      </w:tr>
      <w:tr w:rsidR="00AF16E7" w:rsidRPr="00F52AA7" w:rsidTr="006B0C9D">
        <w:trPr>
          <w:trHeight w:val="300"/>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ingreso_mill</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0.420</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0.021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20.340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0.380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0.461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1.522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10.4%</w:t>
            </w:r>
          </w:p>
        </w:tc>
      </w:tr>
      <w:tr w:rsidR="00AF16E7" w:rsidRPr="00F52AA7" w:rsidTr="006B0C9D">
        <w:trPr>
          <w:trHeight w:val="315"/>
        </w:trPr>
        <w:tc>
          <w:tcPr>
            <w:tcW w:w="16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_</w:t>
            </w:r>
            <w:proofErr w:type="spellStart"/>
            <w:r w:rsidRPr="00F52AA7">
              <w:rPr>
                <w:rFonts w:ascii="Arial Narrow" w:eastAsia="Times New Roman" w:hAnsi="Arial Narrow" w:cs="Times New Roman"/>
                <w:color w:val="000000"/>
                <w:sz w:val="20"/>
                <w:szCs w:val="20"/>
                <w:lang w:eastAsia="es-CO"/>
              </w:rPr>
              <w:t>cons</w:t>
            </w:r>
            <w:proofErr w:type="spellEnd"/>
          </w:p>
        </w:tc>
        <w:tc>
          <w:tcPr>
            <w:tcW w:w="9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0.136</w:t>
            </w:r>
          </w:p>
        </w:tc>
        <w:tc>
          <w:tcPr>
            <w:tcW w:w="68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0.040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0.266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1.146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3.4%</w:t>
            </w:r>
          </w:p>
        </w:tc>
      </w:tr>
    </w:tbl>
    <w:p w:rsidR="00AF16E7" w:rsidRPr="00544B68" w:rsidRDefault="00AF16E7" w:rsidP="00AF16E7">
      <w:pPr>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AF16E7" w:rsidRDefault="00AF16E7" w:rsidP="00AF16E7">
      <w:pPr>
        <w:spacing w:before="120" w:after="120"/>
        <w:jc w:val="center"/>
        <w:rPr>
          <w:rFonts w:ascii="Century Gothic" w:eastAsia="Calibri" w:hAnsi="Century Gothic" w:cs="Times New Roman"/>
          <w:color w:val="404040" w:themeColor="text1" w:themeTint="BF"/>
          <w:sz w:val="18"/>
          <w:szCs w:val="18"/>
        </w:rPr>
      </w:pPr>
    </w:p>
    <w:p w:rsidR="00923FEE" w:rsidRDefault="00923FEE" w:rsidP="00AF16E7">
      <w:pPr>
        <w:spacing w:before="120" w:after="120"/>
        <w:jc w:val="center"/>
        <w:rPr>
          <w:rFonts w:ascii="Century Gothic" w:eastAsia="Calibri" w:hAnsi="Century Gothic" w:cs="Times New Roman"/>
          <w:color w:val="404040" w:themeColor="text1" w:themeTint="BF"/>
          <w:sz w:val="18"/>
          <w:szCs w:val="18"/>
        </w:rPr>
      </w:pPr>
    </w:p>
    <w:p w:rsidR="00923FEE" w:rsidRDefault="00923FEE" w:rsidP="00AF16E7">
      <w:pPr>
        <w:spacing w:before="120" w:after="120"/>
        <w:jc w:val="center"/>
        <w:rPr>
          <w:rFonts w:ascii="Century Gothic" w:eastAsia="Calibri" w:hAnsi="Century Gothic" w:cs="Times New Roman"/>
          <w:color w:val="404040" w:themeColor="text1" w:themeTint="BF"/>
          <w:sz w:val="18"/>
          <w:szCs w:val="18"/>
        </w:rPr>
      </w:pPr>
    </w:p>
    <w:p w:rsidR="00923FEE" w:rsidRDefault="00923FEE" w:rsidP="002D4742">
      <w:pPr>
        <w:widowControl w:val="0"/>
        <w:spacing w:before="120" w:after="120"/>
        <w:jc w:val="center"/>
        <w:rPr>
          <w:rFonts w:ascii="Century Gothic" w:eastAsia="Calibri" w:hAnsi="Century Gothic" w:cs="Times New Roman"/>
          <w:color w:val="404040" w:themeColor="text1" w:themeTint="BF"/>
          <w:sz w:val="18"/>
          <w:szCs w:val="18"/>
        </w:rPr>
      </w:pPr>
    </w:p>
    <w:p w:rsidR="00923FEE" w:rsidRPr="0090467E" w:rsidRDefault="00923FEE" w:rsidP="002D4742">
      <w:pPr>
        <w:widowControl w:val="0"/>
        <w:spacing w:before="120" w:after="120"/>
        <w:jc w:val="center"/>
        <w:rPr>
          <w:rFonts w:ascii="Century Gothic" w:eastAsia="Calibri" w:hAnsi="Century Gothic" w:cs="Times New Roman"/>
          <w:color w:val="404040" w:themeColor="text1" w:themeTint="BF"/>
          <w:sz w:val="18"/>
          <w:szCs w:val="18"/>
        </w:rPr>
      </w:pPr>
    </w:p>
    <w:p w:rsidR="002D4742" w:rsidRDefault="002D4742" w:rsidP="002D4742">
      <w:pPr>
        <w:pStyle w:val="T-Figura"/>
        <w:keepNext w:val="0"/>
        <w:keepLines w:val="0"/>
        <w:widowControl w:val="0"/>
        <w:rPr>
          <w:rFonts w:eastAsia="Calibri"/>
        </w:rPr>
      </w:pPr>
    </w:p>
    <w:p w:rsidR="002D4742" w:rsidRDefault="002D4742" w:rsidP="002D4742">
      <w:pPr>
        <w:pStyle w:val="T-Figura"/>
        <w:keepNext w:val="0"/>
        <w:keepLines w:val="0"/>
        <w:widowControl w:val="0"/>
        <w:rPr>
          <w:rFonts w:eastAsia="Calibri"/>
        </w:rPr>
      </w:pPr>
    </w:p>
    <w:p w:rsidR="002D4742" w:rsidRDefault="002D4742" w:rsidP="002D4742">
      <w:pPr>
        <w:pStyle w:val="T-Figura"/>
        <w:keepNext w:val="0"/>
        <w:keepLines w:val="0"/>
        <w:widowControl w:val="0"/>
        <w:rPr>
          <w:rFonts w:eastAsia="Calibri"/>
        </w:rPr>
      </w:pPr>
    </w:p>
    <w:p w:rsidR="00AF16E7" w:rsidRPr="00F52AA7" w:rsidRDefault="00913F11" w:rsidP="002D4742">
      <w:pPr>
        <w:pStyle w:val="T-Figura"/>
        <w:keepNext w:val="0"/>
        <w:keepLines w:val="0"/>
        <w:widowControl w:val="0"/>
        <w:rPr>
          <w:rFonts w:eastAsia="Calibri"/>
        </w:rPr>
      </w:pPr>
      <w:r>
        <w:rPr>
          <w:rFonts w:eastAsia="Calibri"/>
        </w:rPr>
        <w:t>Cuadro A1</w:t>
      </w:r>
      <w:r w:rsidR="00AF16E7">
        <w:rPr>
          <w:rFonts w:eastAsia="Calibri"/>
        </w:rPr>
        <w:t>.9 - D</w:t>
      </w:r>
      <w:r w:rsidR="00AF16E7" w:rsidRPr="00F52AA7">
        <w:rPr>
          <w:rFonts w:eastAsia="Calibri"/>
        </w:rPr>
        <w:t>emanda de los hogares por Televisión por Suscripción en centros poblados e inspecciones de policía 2010 - 2012</w:t>
      </w:r>
    </w:p>
    <w:tbl>
      <w:tblPr>
        <w:tblW w:w="8742" w:type="dxa"/>
        <w:tblInd w:w="55" w:type="dxa"/>
        <w:tblCellMar>
          <w:left w:w="70" w:type="dxa"/>
          <w:right w:w="70" w:type="dxa"/>
        </w:tblCellMar>
        <w:tblLook w:val="04A0"/>
      </w:tblPr>
      <w:tblGrid>
        <w:gridCol w:w="1458"/>
        <w:gridCol w:w="798"/>
        <w:gridCol w:w="169"/>
        <w:gridCol w:w="745"/>
        <w:gridCol w:w="980"/>
        <w:gridCol w:w="960"/>
        <w:gridCol w:w="884"/>
        <w:gridCol w:w="884"/>
        <w:gridCol w:w="964"/>
        <w:gridCol w:w="900"/>
      </w:tblGrid>
      <w:tr w:rsidR="00AF16E7" w:rsidRPr="00F52AA7" w:rsidTr="006B0C9D">
        <w:trPr>
          <w:trHeight w:val="300"/>
        </w:trPr>
        <w:tc>
          <w:tcPr>
            <w:tcW w:w="3170" w:type="dxa"/>
            <w:gridSpan w:val="4"/>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 CENTROS POBLADOS</w:t>
            </w: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1458" w:type="dxa"/>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798"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14"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110" w:type="dxa"/>
            <w:gridSpan w:val="6"/>
            <w:shd w:val="clear" w:color="auto" w:fill="auto"/>
            <w:noWrap/>
            <w:vAlign w:val="bottom"/>
            <w:hideMark/>
          </w:tcPr>
          <w:p w:rsidR="00AF16E7" w:rsidRPr="00824551" w:rsidRDefault="00AF16E7" w:rsidP="006B0C9D">
            <w:pPr>
              <w:spacing w:before="0" w:line="240" w:lineRule="auto"/>
              <w:rPr>
                <w:rFonts w:ascii="Arial Narrow" w:eastAsia="Times New Roman" w:hAnsi="Arial Narrow" w:cs="Times New Roman"/>
                <w:color w:val="000000"/>
                <w:sz w:val="20"/>
                <w:szCs w:val="20"/>
                <w:lang w:val="en-US" w:eastAsia="es-CO"/>
              </w:rPr>
            </w:pPr>
            <w:r w:rsidRPr="00824551">
              <w:rPr>
                <w:rFonts w:ascii="Arial Narrow" w:eastAsia="Times New Roman" w:hAnsi="Arial Narrow" w:cs="Times New Roman"/>
                <w:color w:val="000000"/>
                <w:sz w:val="20"/>
                <w:szCs w:val="20"/>
                <w:lang w:val="en-US" w:eastAsia="es-CO"/>
              </w:rPr>
              <w:t xml:space="preserve">Logistic regression                       Number of </w:t>
            </w:r>
            <w:proofErr w:type="spellStart"/>
            <w:r w:rsidRPr="00824551">
              <w:rPr>
                <w:rFonts w:ascii="Arial Narrow" w:eastAsia="Times New Roman" w:hAnsi="Arial Narrow" w:cs="Times New Roman"/>
                <w:color w:val="000000"/>
                <w:sz w:val="20"/>
                <w:szCs w:val="20"/>
                <w:lang w:val="en-US" w:eastAsia="es-CO"/>
              </w:rPr>
              <w:t>obs</w:t>
            </w:r>
            <w:proofErr w:type="spellEnd"/>
            <w:r w:rsidRPr="00824551">
              <w:rPr>
                <w:rFonts w:ascii="Arial Narrow" w:eastAsia="Times New Roman" w:hAnsi="Arial Narrow" w:cs="Times New Roman"/>
                <w:color w:val="000000"/>
                <w:sz w:val="20"/>
                <w:szCs w:val="20"/>
                <w:lang w:val="en-US" w:eastAsia="es-CO"/>
              </w:rPr>
              <w:t xml:space="preserve">   =       5169</w:t>
            </w:r>
          </w:p>
        </w:tc>
        <w:tc>
          <w:tcPr>
            <w:tcW w:w="884"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84"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64"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00" w:type="dxa"/>
            <w:shd w:val="clear" w:color="auto" w:fill="auto"/>
            <w:noWrap/>
            <w:vAlign w:val="bottom"/>
            <w:hideMark/>
          </w:tcPr>
          <w:p w:rsidR="00AF16E7" w:rsidRPr="00824551"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824551">
              <w:rPr>
                <w:rFonts w:ascii="Arial Narrow" w:eastAsia="Times New Roman" w:hAnsi="Arial Narrow" w:cs="Times New Roman"/>
                <w:color w:val="000000"/>
                <w:sz w:val="20"/>
                <w:szCs w:val="20"/>
                <w:lang w:val="en-US" w:eastAsia="es-CO"/>
              </w:rPr>
              <w:t> </w:t>
            </w:r>
          </w:p>
        </w:tc>
      </w:tr>
      <w:tr w:rsidR="00AF16E7" w:rsidRPr="00F52AA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LR chi2(15)     =     624.90</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Prob</w:t>
            </w:r>
            <w:proofErr w:type="spellEnd"/>
            <w:r w:rsidRPr="00F52AA7">
              <w:rPr>
                <w:rFonts w:ascii="Arial Narrow" w:eastAsia="Times New Roman" w:hAnsi="Arial Narrow" w:cs="Times New Roman"/>
                <w:color w:val="000000"/>
                <w:sz w:val="20"/>
                <w:szCs w:val="20"/>
                <w:lang w:eastAsia="es-CO"/>
              </w:rPr>
              <w:t xml:space="preserve"> &gt; chi2     =     0.0000</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xml:space="preserve">Log </w:t>
            </w:r>
            <w:proofErr w:type="spellStart"/>
            <w:r w:rsidRPr="00F52AA7">
              <w:rPr>
                <w:rFonts w:ascii="Arial Narrow" w:eastAsia="Times New Roman" w:hAnsi="Arial Narrow" w:cs="Times New Roman"/>
                <w:color w:val="000000"/>
                <w:sz w:val="20"/>
                <w:szCs w:val="20"/>
                <w:lang w:eastAsia="es-CO"/>
              </w:rPr>
              <w:t>likelihood</w:t>
            </w:r>
            <w:proofErr w:type="spellEnd"/>
            <w:r w:rsidRPr="00F52AA7">
              <w:rPr>
                <w:rFonts w:ascii="Arial Narrow" w:eastAsia="Times New Roman" w:hAnsi="Arial Narrow" w:cs="Times New Roman"/>
                <w:color w:val="000000"/>
                <w:sz w:val="20"/>
                <w:szCs w:val="20"/>
                <w:lang w:eastAsia="es-CO"/>
              </w:rPr>
              <w:t xml:space="preserve"> =  -2894.536           </w:t>
            </w:r>
            <w:proofErr w:type="spellStart"/>
            <w:r w:rsidRPr="00F52AA7">
              <w:rPr>
                <w:rFonts w:ascii="Arial Narrow" w:eastAsia="Times New Roman" w:hAnsi="Arial Narrow" w:cs="Times New Roman"/>
                <w:color w:val="000000"/>
                <w:sz w:val="20"/>
                <w:szCs w:val="20"/>
                <w:lang w:eastAsia="es-CO"/>
              </w:rPr>
              <w:t>Pseudo</w:t>
            </w:r>
            <w:proofErr w:type="spellEnd"/>
            <w:r w:rsidRPr="00F52AA7">
              <w:rPr>
                <w:rFonts w:ascii="Arial Narrow" w:eastAsia="Times New Roman" w:hAnsi="Arial Narrow" w:cs="Times New Roman"/>
                <w:color w:val="000000"/>
                <w:sz w:val="20"/>
                <w:szCs w:val="20"/>
                <w:lang w:eastAsia="es-CO"/>
              </w:rPr>
              <w:t xml:space="preserve"> R2       =     0.0974</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1458" w:type="dxa"/>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7"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45"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15"/>
        </w:trPr>
        <w:tc>
          <w:tcPr>
            <w:tcW w:w="1458" w:type="dxa"/>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7"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45"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15"/>
        </w:trPr>
        <w:tc>
          <w:tcPr>
            <w:tcW w:w="1458"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tvsusc</w:t>
            </w:r>
            <w:proofErr w:type="spellEnd"/>
          </w:p>
        </w:tc>
        <w:tc>
          <w:tcPr>
            <w:tcW w:w="967" w:type="dxa"/>
            <w:gridSpan w:val="2"/>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Coef</w:t>
            </w:r>
            <w:proofErr w:type="spellEnd"/>
            <w:r w:rsidRPr="00F52AA7">
              <w:rPr>
                <w:rFonts w:ascii="Arial Narrow" w:eastAsia="Times New Roman" w:hAnsi="Arial Narrow" w:cs="Times New Roman"/>
                <w:b/>
                <w:color w:val="000000"/>
                <w:sz w:val="20"/>
                <w:szCs w:val="20"/>
                <w:lang w:eastAsia="es-CO"/>
              </w:rPr>
              <w:t>.</w:t>
            </w:r>
          </w:p>
        </w:tc>
        <w:tc>
          <w:tcPr>
            <w:tcW w:w="745"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Std.</w:t>
            </w:r>
            <w:proofErr w:type="spellEnd"/>
            <w:r w:rsidRPr="00F52AA7">
              <w:rPr>
                <w:rFonts w:ascii="Arial Narrow" w:eastAsia="Times New Roman" w:hAnsi="Arial Narrow" w:cs="Times New Roman"/>
                <w:b/>
                <w:color w:val="000000"/>
                <w:sz w:val="20"/>
                <w:szCs w:val="20"/>
                <w:lang w:eastAsia="es-CO"/>
              </w:rPr>
              <w:t xml:space="preserve"> </w:t>
            </w:r>
            <w:proofErr w:type="spellStart"/>
            <w:r w:rsidRPr="00F52AA7">
              <w:rPr>
                <w:rFonts w:ascii="Arial Narrow" w:eastAsia="Times New Roman" w:hAnsi="Arial Narrow" w:cs="Times New Roman"/>
                <w:b/>
                <w:color w:val="000000"/>
                <w:sz w:val="20"/>
                <w:szCs w:val="20"/>
                <w:lang w:eastAsia="es-CO"/>
              </w:rPr>
              <w:t>Err</w:t>
            </w:r>
            <w:proofErr w:type="spellEnd"/>
          </w:p>
        </w:tc>
        <w:tc>
          <w:tcPr>
            <w:tcW w:w="980"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z</w:t>
            </w:r>
          </w:p>
        </w:tc>
        <w:tc>
          <w:tcPr>
            <w:tcW w:w="960"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P&gt;z</w:t>
            </w:r>
          </w:p>
        </w:tc>
        <w:tc>
          <w:tcPr>
            <w:tcW w:w="1768" w:type="dxa"/>
            <w:gridSpan w:val="2"/>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 xml:space="preserve">[95% Conf. </w:t>
            </w:r>
            <w:proofErr w:type="spellStart"/>
            <w:r w:rsidRPr="00F52AA7">
              <w:rPr>
                <w:rFonts w:ascii="Arial Narrow" w:eastAsia="Times New Roman" w:hAnsi="Arial Narrow" w:cs="Times New Roman"/>
                <w:b/>
                <w:color w:val="000000"/>
                <w:sz w:val="20"/>
                <w:szCs w:val="20"/>
                <w:lang w:eastAsia="es-CO"/>
              </w:rPr>
              <w:t>Interval</w:t>
            </w:r>
            <w:proofErr w:type="spellEnd"/>
            <w:r w:rsidRPr="00F52AA7">
              <w:rPr>
                <w:rFonts w:ascii="Arial Narrow" w:eastAsia="Times New Roman" w:hAnsi="Arial Narrow" w:cs="Times New Roman"/>
                <w:b/>
                <w:color w:val="000000"/>
                <w:sz w:val="20"/>
                <w:szCs w:val="20"/>
                <w:lang w:eastAsia="es-CO"/>
              </w:rPr>
              <w:t>]</w:t>
            </w:r>
          </w:p>
        </w:tc>
        <w:tc>
          <w:tcPr>
            <w:tcW w:w="964"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Odds</w:t>
            </w:r>
            <w:proofErr w:type="spellEnd"/>
            <w:r w:rsidRPr="00F52AA7">
              <w:rPr>
                <w:rFonts w:ascii="Arial Narrow" w:eastAsia="Times New Roman" w:hAnsi="Arial Narrow" w:cs="Times New Roman"/>
                <w:b/>
                <w:color w:val="000000"/>
                <w:sz w:val="20"/>
                <w:szCs w:val="20"/>
                <w:lang w:eastAsia="es-CO"/>
              </w:rPr>
              <w:t xml:space="preserve"> Ratio</w:t>
            </w:r>
          </w:p>
        </w:tc>
        <w:tc>
          <w:tcPr>
            <w:tcW w:w="900" w:type="dxa"/>
            <w:tcBorders>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m:oMath>
              <m:r>
                <m:rPr>
                  <m:sty m:val="bi"/>
                </m:rPr>
                <w:rPr>
                  <w:rFonts w:ascii="Cambria Math" w:eastAsia="Times New Roman" w:hAnsi="Cambria Math" w:cs="Times New Roman"/>
                  <w:color w:val="000000"/>
                  <w:sz w:val="20"/>
                  <w:szCs w:val="20"/>
                  <w:lang w:eastAsia="es-CO"/>
                </w:rPr>
                <m:t>∆p</m:t>
              </m:r>
            </m:oMath>
            <w:r w:rsidRPr="00F52AA7">
              <w:rPr>
                <w:rFonts w:ascii="Arial Narrow" w:eastAsia="Times New Roman" w:hAnsi="Arial Narrow" w:cs="Times New Roman"/>
                <w:b/>
                <w:color w:val="000000"/>
                <w:sz w:val="20"/>
                <w:szCs w:val="20"/>
                <w:lang w:eastAsia="es-CO"/>
              </w:rPr>
              <w:t> </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t2012</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0.377</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5.680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0.247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0.508</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1.458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9.3%</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atlantica</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-0.593</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0.110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-5.400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-0.808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-0.378</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0.553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-14.4%</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oriental</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-0.134</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0.141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-0.950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0.344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-0.411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0.143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0.875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-3.3%</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pacifica</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0.028</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0.118</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0.811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-0.204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0.261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1.029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antioquia</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0.689</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0.118</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5.840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0.458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0.920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1.991</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16.6%</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valle</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0.603</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0.103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5.870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0.804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1.827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14.6%</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educbas</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-0.175</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0.102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0.087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-0.375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0.025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0.840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-4.4%</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educmed</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0.353</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4.740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0.207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0.499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1.424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8.7%</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eductec</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0.646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0.117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5.510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0.416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0.876</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1.908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15.6%</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educuniv</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0.509</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0.158</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3.210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0.199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0.819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1.664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12.5%</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edad12_17</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0.047</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0.508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-0.091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0.185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1.048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edad18_34</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-0.106</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0.162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-0.255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0.043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0.899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-2.7%</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edad35_60</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0.006</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0.080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0.080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0.937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0.162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1.006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edad61mas</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-0.155</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0.080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-1.930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0.053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-0.313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0.856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-3.9%</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ingreso_mill</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0.631</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10.160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0.509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0.753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1.880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15.3%</w:t>
            </w:r>
          </w:p>
        </w:tc>
      </w:tr>
      <w:tr w:rsidR="00AF16E7" w:rsidRPr="00F52AA7" w:rsidTr="006B0C9D">
        <w:trPr>
          <w:trHeight w:val="315"/>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_</w:t>
            </w:r>
            <w:proofErr w:type="spellStart"/>
            <w:r w:rsidRPr="00F52AA7">
              <w:rPr>
                <w:rFonts w:ascii="Arial Narrow" w:eastAsia="Times New Roman" w:hAnsi="Arial Narrow" w:cs="Times New Roman"/>
                <w:color w:val="000000"/>
                <w:sz w:val="20"/>
                <w:szCs w:val="20"/>
                <w:lang w:eastAsia="es-CO"/>
              </w:rPr>
              <w:t>cons</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-1.486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0.145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-10.270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-1.770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-1.202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0.226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-31.5%</w:t>
            </w:r>
          </w:p>
        </w:tc>
      </w:tr>
    </w:tbl>
    <w:p w:rsidR="00AF16E7" w:rsidRPr="00544B68" w:rsidRDefault="00AF16E7" w:rsidP="00AF16E7">
      <w:pPr>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AF16E7" w:rsidRDefault="00AF16E7" w:rsidP="00AF16E7">
      <w:pPr>
        <w:spacing w:before="0" w:after="120"/>
        <w:rPr>
          <w:rFonts w:ascii="Century Gothic" w:eastAsia="Calibri" w:hAnsi="Century Gothic" w:cs="Times New Roman"/>
          <w:color w:val="404040" w:themeColor="text1" w:themeTint="BF"/>
          <w:sz w:val="18"/>
          <w:szCs w:val="18"/>
        </w:rPr>
      </w:pPr>
      <w:r>
        <w:rPr>
          <w:rFonts w:ascii="Century Gothic" w:eastAsia="Calibri" w:hAnsi="Century Gothic" w:cs="Times New Roman"/>
          <w:color w:val="404040" w:themeColor="text1" w:themeTint="BF"/>
          <w:sz w:val="18"/>
          <w:szCs w:val="18"/>
        </w:rPr>
        <w:br w:type="page"/>
      </w:r>
    </w:p>
    <w:p w:rsidR="006069A0" w:rsidRDefault="006069A0" w:rsidP="00AF16E7">
      <w:pPr>
        <w:pStyle w:val="T-Figura"/>
        <w:rPr>
          <w:rFonts w:eastAsia="Calibri"/>
        </w:rPr>
      </w:pPr>
    </w:p>
    <w:p w:rsidR="00AF16E7" w:rsidRPr="00F52AA7" w:rsidRDefault="00913F11" w:rsidP="00AF16E7">
      <w:pPr>
        <w:pStyle w:val="T-Figura"/>
        <w:rPr>
          <w:rFonts w:eastAsia="Calibri"/>
        </w:rPr>
      </w:pPr>
      <w:r>
        <w:rPr>
          <w:rFonts w:eastAsia="Calibri"/>
        </w:rPr>
        <w:t>Cuadro A1</w:t>
      </w:r>
      <w:r w:rsidR="00AF16E7">
        <w:rPr>
          <w:rFonts w:eastAsia="Calibri"/>
        </w:rPr>
        <w:t xml:space="preserve">.10 - </w:t>
      </w:r>
      <w:r w:rsidR="00AF16E7" w:rsidRPr="00F52AA7">
        <w:rPr>
          <w:rFonts w:eastAsia="Calibri"/>
        </w:rPr>
        <w:t>Demanda de los hogares por Televisión por Suscripción en el área rural dispersa 2010 - 2012</w:t>
      </w:r>
    </w:p>
    <w:tbl>
      <w:tblPr>
        <w:tblW w:w="8742" w:type="dxa"/>
        <w:tblInd w:w="55" w:type="dxa"/>
        <w:tblCellMar>
          <w:left w:w="70" w:type="dxa"/>
          <w:right w:w="70" w:type="dxa"/>
        </w:tblCellMar>
        <w:tblLook w:val="04A0"/>
      </w:tblPr>
      <w:tblGrid>
        <w:gridCol w:w="1458"/>
        <w:gridCol w:w="798"/>
        <w:gridCol w:w="169"/>
        <w:gridCol w:w="745"/>
        <w:gridCol w:w="980"/>
        <w:gridCol w:w="960"/>
        <w:gridCol w:w="884"/>
        <w:gridCol w:w="884"/>
        <w:gridCol w:w="964"/>
        <w:gridCol w:w="900"/>
      </w:tblGrid>
      <w:tr w:rsidR="00AF16E7" w:rsidRPr="00F52AA7" w:rsidTr="006B0C9D">
        <w:trPr>
          <w:trHeight w:val="300"/>
        </w:trPr>
        <w:tc>
          <w:tcPr>
            <w:tcW w:w="3170" w:type="dxa"/>
            <w:gridSpan w:val="4"/>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 ÁREA RURAL DISPERSA</w:t>
            </w: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1458" w:type="dxa"/>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798"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14"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val="en-US" w:eastAsia="es-CO"/>
              </w:rPr>
            </w:pPr>
            <w:r w:rsidRPr="00F52AA7">
              <w:rPr>
                <w:rFonts w:ascii="Arial Narrow" w:eastAsia="Times New Roman" w:hAnsi="Arial Narrow" w:cs="Times New Roman"/>
                <w:color w:val="000000"/>
                <w:sz w:val="20"/>
                <w:szCs w:val="20"/>
                <w:lang w:val="en-US" w:eastAsia="es-CO"/>
              </w:rPr>
              <w:t xml:space="preserve">Logistic regression                       Number of </w:t>
            </w:r>
            <w:proofErr w:type="spellStart"/>
            <w:r w:rsidRPr="00F52AA7">
              <w:rPr>
                <w:rFonts w:ascii="Arial Narrow" w:eastAsia="Times New Roman" w:hAnsi="Arial Narrow" w:cs="Times New Roman"/>
                <w:color w:val="000000"/>
                <w:sz w:val="20"/>
                <w:szCs w:val="20"/>
                <w:lang w:val="en-US" w:eastAsia="es-CO"/>
              </w:rPr>
              <w:t>obs</w:t>
            </w:r>
            <w:proofErr w:type="spellEnd"/>
            <w:r w:rsidRPr="00F52AA7">
              <w:rPr>
                <w:rFonts w:ascii="Arial Narrow" w:eastAsia="Times New Roman" w:hAnsi="Arial Narrow" w:cs="Times New Roman"/>
                <w:color w:val="000000"/>
                <w:sz w:val="20"/>
                <w:szCs w:val="20"/>
                <w:lang w:val="en-US" w:eastAsia="es-CO"/>
              </w:rPr>
              <w:t xml:space="preserve">   =       8948</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F52AA7">
              <w:rPr>
                <w:rFonts w:ascii="Arial Narrow" w:eastAsia="Times New Roman" w:hAnsi="Arial Narrow" w:cs="Times New Roman"/>
                <w:color w:val="000000"/>
                <w:sz w:val="20"/>
                <w:szCs w:val="20"/>
                <w:lang w:val="en-US" w:eastAsia="es-CO"/>
              </w:rPr>
              <w:t> </w:t>
            </w:r>
          </w:p>
        </w:tc>
      </w:tr>
      <w:tr w:rsidR="00AF16E7" w:rsidRPr="00F52AA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LR chi2(15)     =     428.18</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Prob</w:t>
            </w:r>
            <w:proofErr w:type="spellEnd"/>
            <w:r w:rsidRPr="00F52AA7">
              <w:rPr>
                <w:rFonts w:ascii="Arial Narrow" w:eastAsia="Times New Roman" w:hAnsi="Arial Narrow" w:cs="Times New Roman"/>
                <w:color w:val="000000"/>
                <w:sz w:val="20"/>
                <w:szCs w:val="20"/>
                <w:lang w:eastAsia="es-CO"/>
              </w:rPr>
              <w:t xml:space="preserve"> &gt; chi2     =     0.0000</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5110" w:type="dxa"/>
            <w:gridSpan w:val="6"/>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xml:space="preserve">Log </w:t>
            </w:r>
            <w:proofErr w:type="spellStart"/>
            <w:r w:rsidRPr="00F52AA7">
              <w:rPr>
                <w:rFonts w:ascii="Arial Narrow" w:eastAsia="Times New Roman" w:hAnsi="Arial Narrow" w:cs="Times New Roman"/>
                <w:color w:val="000000"/>
                <w:sz w:val="20"/>
                <w:szCs w:val="20"/>
                <w:lang w:eastAsia="es-CO"/>
              </w:rPr>
              <w:t>likelihood</w:t>
            </w:r>
            <w:proofErr w:type="spellEnd"/>
            <w:r w:rsidRPr="00F52AA7">
              <w:rPr>
                <w:rFonts w:ascii="Arial Narrow" w:eastAsia="Times New Roman" w:hAnsi="Arial Narrow" w:cs="Times New Roman"/>
                <w:color w:val="000000"/>
                <w:sz w:val="20"/>
                <w:szCs w:val="20"/>
                <w:lang w:eastAsia="es-CO"/>
              </w:rPr>
              <w:t xml:space="preserve"> = -2258.6891         </w:t>
            </w:r>
            <w:proofErr w:type="spellStart"/>
            <w:r w:rsidRPr="00F52AA7">
              <w:rPr>
                <w:rFonts w:ascii="Arial Narrow" w:eastAsia="Times New Roman" w:hAnsi="Arial Narrow" w:cs="Times New Roman"/>
                <w:color w:val="000000"/>
                <w:sz w:val="20"/>
                <w:szCs w:val="20"/>
                <w:lang w:eastAsia="es-CO"/>
              </w:rPr>
              <w:t>Pseudo</w:t>
            </w:r>
            <w:proofErr w:type="spellEnd"/>
            <w:r w:rsidRPr="00F52AA7">
              <w:rPr>
                <w:rFonts w:ascii="Arial Narrow" w:eastAsia="Times New Roman" w:hAnsi="Arial Narrow" w:cs="Times New Roman"/>
                <w:color w:val="000000"/>
                <w:sz w:val="20"/>
                <w:szCs w:val="20"/>
                <w:lang w:eastAsia="es-CO"/>
              </w:rPr>
              <w:t xml:space="preserve"> R2       =     0.0866</w:t>
            </w: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00"/>
        </w:trPr>
        <w:tc>
          <w:tcPr>
            <w:tcW w:w="1458" w:type="dxa"/>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7" w:type="dxa"/>
            <w:gridSpan w:val="2"/>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45"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15"/>
        </w:trPr>
        <w:tc>
          <w:tcPr>
            <w:tcW w:w="1458" w:type="dxa"/>
            <w:tcBorders>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c>
          <w:tcPr>
            <w:tcW w:w="967" w:type="dxa"/>
            <w:gridSpan w:val="2"/>
            <w:tcBorders>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45" w:type="dxa"/>
            <w:tcBorders>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80" w:type="dxa"/>
            <w:tcBorders>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0" w:type="dxa"/>
            <w:tcBorders>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tcBorders>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84" w:type="dxa"/>
            <w:tcBorders>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64" w:type="dxa"/>
            <w:tcBorders>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tcBorders>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 </w:t>
            </w:r>
          </w:p>
        </w:tc>
      </w:tr>
      <w:tr w:rsidR="00AF16E7" w:rsidRPr="00F52AA7" w:rsidTr="006B0C9D">
        <w:trPr>
          <w:trHeight w:val="315"/>
        </w:trPr>
        <w:tc>
          <w:tcPr>
            <w:tcW w:w="1458"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tvsusc</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Coef</w:t>
            </w:r>
            <w:proofErr w:type="spellEnd"/>
            <w:r w:rsidRPr="00F52AA7">
              <w:rPr>
                <w:rFonts w:ascii="Arial Narrow" w:eastAsia="Times New Roman" w:hAnsi="Arial Narrow" w:cs="Times New Roman"/>
                <w:b/>
                <w:color w:val="000000"/>
                <w:sz w:val="20"/>
                <w:szCs w:val="20"/>
                <w:lang w:eastAsia="es-CO"/>
              </w:rPr>
              <w:t>.</w:t>
            </w:r>
          </w:p>
        </w:tc>
        <w:tc>
          <w:tcPr>
            <w:tcW w:w="745"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Std.</w:t>
            </w:r>
            <w:proofErr w:type="spellEnd"/>
            <w:r w:rsidRPr="00F52AA7">
              <w:rPr>
                <w:rFonts w:ascii="Arial Narrow" w:eastAsia="Times New Roman" w:hAnsi="Arial Narrow" w:cs="Times New Roman"/>
                <w:b/>
                <w:color w:val="000000"/>
                <w:sz w:val="20"/>
                <w:szCs w:val="20"/>
                <w:lang w:eastAsia="es-CO"/>
              </w:rPr>
              <w:t xml:space="preserve"> </w:t>
            </w:r>
            <w:proofErr w:type="spellStart"/>
            <w:r w:rsidRPr="00F52AA7">
              <w:rPr>
                <w:rFonts w:ascii="Arial Narrow" w:eastAsia="Times New Roman" w:hAnsi="Arial Narrow" w:cs="Times New Roman"/>
                <w:b/>
                <w:color w:val="000000"/>
                <w:sz w:val="20"/>
                <w:szCs w:val="20"/>
                <w:lang w:eastAsia="es-CO"/>
              </w:rPr>
              <w:t>Err</w:t>
            </w:r>
            <w:proofErr w:type="spellEnd"/>
          </w:p>
        </w:tc>
        <w:tc>
          <w:tcPr>
            <w:tcW w:w="98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z</w:t>
            </w:r>
          </w:p>
        </w:tc>
        <w:tc>
          <w:tcPr>
            <w:tcW w:w="96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P&gt;z</w:t>
            </w:r>
          </w:p>
        </w:tc>
        <w:tc>
          <w:tcPr>
            <w:tcW w:w="1768" w:type="dxa"/>
            <w:gridSpan w:val="2"/>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F52AA7">
              <w:rPr>
                <w:rFonts w:ascii="Arial Narrow" w:eastAsia="Times New Roman" w:hAnsi="Arial Narrow" w:cs="Times New Roman"/>
                <w:b/>
                <w:color w:val="000000"/>
                <w:sz w:val="20"/>
                <w:szCs w:val="20"/>
                <w:lang w:eastAsia="es-CO"/>
              </w:rPr>
              <w:t xml:space="preserve">[95% Conf. </w:t>
            </w:r>
            <w:proofErr w:type="spellStart"/>
            <w:r w:rsidRPr="00F52AA7">
              <w:rPr>
                <w:rFonts w:ascii="Arial Narrow" w:eastAsia="Times New Roman" w:hAnsi="Arial Narrow" w:cs="Times New Roman"/>
                <w:b/>
                <w:color w:val="000000"/>
                <w:sz w:val="20"/>
                <w:szCs w:val="20"/>
                <w:lang w:eastAsia="es-CO"/>
              </w:rPr>
              <w:t>Interval</w:t>
            </w:r>
            <w:proofErr w:type="spellEnd"/>
            <w:r w:rsidRPr="00F52AA7">
              <w:rPr>
                <w:rFonts w:ascii="Arial Narrow" w:eastAsia="Times New Roman" w:hAnsi="Arial Narrow" w:cs="Times New Roman"/>
                <w:b/>
                <w:color w:val="000000"/>
                <w:sz w:val="20"/>
                <w:szCs w:val="20"/>
                <w:lang w:eastAsia="es-CO"/>
              </w:rPr>
              <w:t>]</w:t>
            </w:r>
          </w:p>
        </w:tc>
        <w:tc>
          <w:tcPr>
            <w:tcW w:w="964"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F52AA7">
              <w:rPr>
                <w:rFonts w:ascii="Arial Narrow" w:eastAsia="Times New Roman" w:hAnsi="Arial Narrow" w:cs="Times New Roman"/>
                <w:b/>
                <w:color w:val="000000"/>
                <w:sz w:val="20"/>
                <w:szCs w:val="20"/>
                <w:lang w:eastAsia="es-CO"/>
              </w:rPr>
              <w:t>Odds</w:t>
            </w:r>
            <w:proofErr w:type="spellEnd"/>
            <w:r w:rsidRPr="00F52AA7">
              <w:rPr>
                <w:rFonts w:ascii="Arial Narrow" w:eastAsia="Times New Roman" w:hAnsi="Arial Narrow" w:cs="Times New Roman"/>
                <w:b/>
                <w:color w:val="000000"/>
                <w:sz w:val="20"/>
                <w:szCs w:val="20"/>
                <w:lang w:eastAsia="es-CO"/>
              </w:rPr>
              <w:t xml:space="preserve"> Ratio</w:t>
            </w:r>
          </w:p>
        </w:tc>
        <w:tc>
          <w:tcPr>
            <w:tcW w:w="900" w:type="dxa"/>
            <w:tcBorders>
              <w:top w:val="single" w:sz="4" w:space="0" w:color="A6A6A6" w:themeColor="background1" w:themeShade="A6"/>
              <w:bottom w:val="single" w:sz="4" w:space="0" w:color="A6A6A6" w:themeColor="background1" w:themeShade="A6"/>
            </w:tcBorders>
            <w:shd w:val="clear" w:color="auto" w:fill="A6A6A6" w:themeFill="background1" w:themeFillShade="A6"/>
            <w:noWrap/>
            <w:vAlign w:val="bottom"/>
            <w:hideMark/>
          </w:tcPr>
          <w:p w:rsidR="00AF16E7" w:rsidRPr="00F52AA7" w:rsidRDefault="00AF16E7" w:rsidP="006B0C9D">
            <w:pPr>
              <w:spacing w:before="0" w:line="240" w:lineRule="auto"/>
              <w:jc w:val="center"/>
              <w:rPr>
                <w:rFonts w:ascii="Arial Narrow" w:eastAsia="Times New Roman" w:hAnsi="Arial Narrow" w:cs="Times New Roman"/>
                <w:b/>
                <w:color w:val="000000"/>
                <w:sz w:val="20"/>
                <w:szCs w:val="20"/>
                <w:lang w:eastAsia="es-CO"/>
              </w:rPr>
            </w:pPr>
            <m:oMath>
              <m:r>
                <m:rPr>
                  <m:sty m:val="bi"/>
                </m:rPr>
                <w:rPr>
                  <w:rFonts w:ascii="Cambria Math" w:eastAsia="Times New Roman" w:hAnsi="Cambria Math" w:cs="Times New Roman"/>
                  <w:color w:val="000000"/>
                  <w:sz w:val="20"/>
                  <w:szCs w:val="20"/>
                  <w:lang w:eastAsia="es-CO"/>
                </w:rPr>
                <m:t>∆p</m:t>
              </m:r>
            </m:oMath>
            <w:r w:rsidRPr="00F52AA7">
              <w:rPr>
                <w:rFonts w:ascii="Arial Narrow" w:eastAsia="Times New Roman" w:hAnsi="Arial Narrow" w:cs="Times New Roman"/>
                <w:b/>
                <w:color w:val="000000"/>
                <w:sz w:val="20"/>
                <w:szCs w:val="20"/>
                <w:lang w:eastAsia="es-CO"/>
              </w:rPr>
              <w:t> </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t2012</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0.229</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0.085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2.690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0.395</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1.257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5.7%</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atlantica</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-0.660</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0.179</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-3.680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-1.011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-0.308</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0.517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-15.9%</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oriental</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-0.071</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0.120</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0.555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-0.306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0.164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0.932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-1.8%</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pacifica</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-0.498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0.142</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-3.500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-0.776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-0.219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0.608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-12.2%</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antioquia</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-0.040</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0.133</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0.766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0.221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0.961</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valle</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0.320</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0.134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2.390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0.017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0.058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0.582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1.377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7.9%</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educbas</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-0.356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0.151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-2.350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0.019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-0.652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0.700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-8.8%</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educmed</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0.698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0.094</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7.390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0.513</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0.883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2.009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16.8%</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eductec</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0.870</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0.176</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4.960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0.526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1.214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2.387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20.5%</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educuniv</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1.048</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0.197</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5.320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0.662</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1.434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2.851</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24.0%</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edad12_17</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-0.011</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0.091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-0.120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0.905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-0.188</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0.167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0.989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edad18_34</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0.042</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0.095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0.450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0.655</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-0.144</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0.229</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1.043</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1.1%</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edad35_60</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0.062</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0.101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0.610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0.541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-0.136</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0.260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1.064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1.5%</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edad61mas</w:t>
            </w:r>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F52AA7">
              <w:rPr>
                <w:rFonts w:ascii="Arial Narrow" w:eastAsia="Times New Roman" w:hAnsi="Arial Narrow" w:cs="Times New Roman"/>
                <w:color w:val="000000"/>
                <w:sz w:val="20"/>
                <w:szCs w:val="20"/>
                <w:lang w:eastAsia="es-CO"/>
              </w:rPr>
              <w:t>-0.123</w:t>
            </w:r>
            <w:r w:rsidRPr="00F52AA7">
              <w:rPr>
                <w:rFonts w:ascii="Arial Narrow" w:eastAsia="Times New Roman" w:hAnsi="Arial Narrow" w:cs="Times New Roman"/>
                <w:color w:val="000000"/>
                <w:sz w:val="20"/>
                <w:szCs w:val="20"/>
                <w:vertAlign w:val="superscript"/>
                <w:lang w:eastAsia="es-CO"/>
              </w:rPr>
              <w:t>NO</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0.099</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-1.250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0.211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-0.317</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0.070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0.884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-3.1%</w:t>
            </w:r>
          </w:p>
        </w:tc>
      </w:tr>
      <w:tr w:rsidR="00AF16E7" w:rsidRPr="00F52AA7" w:rsidTr="006B0C9D">
        <w:trPr>
          <w:trHeight w:val="300"/>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F52AA7">
              <w:rPr>
                <w:rFonts w:ascii="Arial Narrow" w:eastAsia="Times New Roman" w:hAnsi="Arial Narrow" w:cs="Times New Roman"/>
                <w:color w:val="000000"/>
                <w:sz w:val="20"/>
                <w:szCs w:val="20"/>
                <w:lang w:eastAsia="es-CO"/>
              </w:rPr>
              <w:t>ingreso_mill</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0.556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0.065</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8.590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0.429</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0.683</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1.744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13.6%</w:t>
            </w:r>
          </w:p>
        </w:tc>
      </w:tr>
      <w:tr w:rsidR="00AF16E7" w:rsidRPr="00F52AA7" w:rsidTr="006B0C9D">
        <w:trPr>
          <w:trHeight w:val="315"/>
        </w:trPr>
        <w:tc>
          <w:tcPr>
            <w:tcW w:w="1458"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_</w:t>
            </w:r>
            <w:proofErr w:type="spellStart"/>
            <w:r w:rsidRPr="00F52AA7">
              <w:rPr>
                <w:rFonts w:ascii="Arial Narrow" w:eastAsia="Times New Roman" w:hAnsi="Arial Narrow" w:cs="Times New Roman"/>
                <w:color w:val="000000"/>
                <w:sz w:val="20"/>
                <w:szCs w:val="20"/>
                <w:lang w:eastAsia="es-CO"/>
              </w:rPr>
              <w:t>cons</w:t>
            </w:r>
            <w:proofErr w:type="spellEnd"/>
          </w:p>
        </w:tc>
        <w:tc>
          <w:tcPr>
            <w:tcW w:w="967"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-2.776</w:t>
            </w:r>
          </w:p>
        </w:tc>
        <w:tc>
          <w:tcPr>
            <w:tcW w:w="745"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0.191</w:t>
            </w:r>
          </w:p>
        </w:tc>
        <w:tc>
          <w:tcPr>
            <w:tcW w:w="98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-14.500</w:t>
            </w:r>
          </w:p>
        </w:tc>
        <w:tc>
          <w:tcPr>
            <w:tcW w:w="9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0.000</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-3.151</w:t>
            </w:r>
          </w:p>
        </w:tc>
        <w:tc>
          <w:tcPr>
            <w:tcW w:w="88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-2.401</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0.062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F52AA7" w:rsidRDefault="00AF16E7" w:rsidP="006B0C9D">
            <w:pPr>
              <w:spacing w:before="0" w:line="240" w:lineRule="auto"/>
              <w:jc w:val="center"/>
              <w:rPr>
                <w:rFonts w:ascii="Arial Narrow" w:eastAsia="Times New Roman" w:hAnsi="Arial Narrow" w:cs="Times New Roman"/>
                <w:color w:val="000000"/>
                <w:sz w:val="20"/>
                <w:szCs w:val="20"/>
                <w:lang w:eastAsia="es-CO"/>
              </w:rPr>
            </w:pPr>
            <w:r w:rsidRPr="00F52AA7">
              <w:rPr>
                <w:rFonts w:ascii="Arial Narrow" w:eastAsia="Times New Roman" w:hAnsi="Arial Narrow" w:cs="Times New Roman"/>
                <w:color w:val="000000"/>
                <w:sz w:val="20"/>
                <w:szCs w:val="20"/>
                <w:lang w:eastAsia="es-CO"/>
              </w:rPr>
              <w:t>-44.1%</w:t>
            </w:r>
          </w:p>
        </w:tc>
      </w:tr>
    </w:tbl>
    <w:p w:rsidR="00AF16E7" w:rsidRPr="00544B68" w:rsidRDefault="00AF16E7" w:rsidP="00AF16E7">
      <w:pPr>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AF16E7" w:rsidRPr="00685B66" w:rsidRDefault="00AF16E7" w:rsidP="0020708C">
      <w:pPr>
        <w:pStyle w:val="Ttulo3"/>
        <w:numPr>
          <w:ilvl w:val="0"/>
          <w:numId w:val="44"/>
        </w:numPr>
        <w:rPr>
          <w:sz w:val="26"/>
          <w:szCs w:val="26"/>
        </w:rPr>
      </w:pPr>
      <w:r w:rsidRPr="00685B66">
        <w:rPr>
          <w:sz w:val="26"/>
          <w:szCs w:val="26"/>
        </w:rPr>
        <w:t>Internet</w:t>
      </w:r>
    </w:p>
    <w:p w:rsidR="00923FEE" w:rsidRDefault="00AF16E7" w:rsidP="002D4742">
      <w:pPr>
        <w:widowControl w:val="0"/>
      </w:pPr>
      <w:r w:rsidRPr="00F52AA7">
        <w:t xml:space="preserve">La demanda de los hogares por servicios de internet es el tercero y último eslabón de la secuencia de acceso al mundo digital que se ha examinado dentro de esta indagación. </w:t>
      </w:r>
      <w:r w:rsidR="00913F11">
        <w:t>Los cuadros A1.11, A1.12 y A1.13 presentan los resultados de la estimación de la demanda en las cabeceras municipales del país, en los centros poblados e inspecciones de policía y en el área rural dispersa del país.</w:t>
      </w:r>
    </w:p>
    <w:p w:rsidR="00913F11" w:rsidRDefault="00913F11" w:rsidP="002D4742">
      <w:pPr>
        <w:pStyle w:val="T-Figura"/>
        <w:keepNext w:val="0"/>
        <w:keepLines w:val="0"/>
        <w:widowControl w:val="0"/>
        <w:rPr>
          <w:rFonts w:eastAsia="Calibri"/>
        </w:rPr>
      </w:pPr>
    </w:p>
    <w:p w:rsidR="002D4742" w:rsidRDefault="002D4742" w:rsidP="002D4742">
      <w:pPr>
        <w:pStyle w:val="T-Figura"/>
        <w:keepNext w:val="0"/>
        <w:keepLines w:val="0"/>
        <w:widowControl w:val="0"/>
        <w:rPr>
          <w:rFonts w:eastAsia="Calibri"/>
        </w:rPr>
      </w:pPr>
    </w:p>
    <w:p w:rsidR="00AF16E7" w:rsidRPr="00CF0D7D" w:rsidRDefault="00913F11" w:rsidP="002D4742">
      <w:pPr>
        <w:pStyle w:val="T-Figura"/>
        <w:keepNext w:val="0"/>
        <w:keepLines w:val="0"/>
        <w:widowControl w:val="0"/>
        <w:rPr>
          <w:rFonts w:eastAsia="Calibri"/>
        </w:rPr>
      </w:pPr>
      <w:r>
        <w:rPr>
          <w:rFonts w:eastAsia="Calibri"/>
        </w:rPr>
        <w:t>Cuadro A1</w:t>
      </w:r>
      <w:r w:rsidR="00AF16E7">
        <w:rPr>
          <w:rFonts w:eastAsia="Calibri"/>
        </w:rPr>
        <w:t>.11</w:t>
      </w:r>
      <w:r w:rsidR="00AF16E7" w:rsidRPr="00CF0D7D">
        <w:rPr>
          <w:rFonts w:eastAsia="Calibri"/>
        </w:rPr>
        <w:t xml:space="preserve"> - Demanda de los hogares por Internet en cabeceras municipales 2010 - 2012</w:t>
      </w:r>
    </w:p>
    <w:tbl>
      <w:tblPr>
        <w:tblW w:w="8865" w:type="dxa"/>
        <w:tblCellMar>
          <w:left w:w="70" w:type="dxa"/>
          <w:right w:w="70" w:type="dxa"/>
        </w:tblCellMar>
        <w:tblLook w:val="04A0"/>
      </w:tblPr>
      <w:tblGrid>
        <w:gridCol w:w="1621"/>
        <w:gridCol w:w="964"/>
        <w:gridCol w:w="876"/>
        <w:gridCol w:w="1073"/>
        <w:gridCol w:w="1051"/>
        <w:gridCol w:w="760"/>
        <w:gridCol w:w="760"/>
        <w:gridCol w:w="860"/>
        <w:gridCol w:w="900"/>
      </w:tblGrid>
      <w:tr w:rsidR="00AF16E7" w:rsidRPr="00CF0D7D" w:rsidTr="006B0C9D">
        <w:trPr>
          <w:trHeight w:val="300"/>
        </w:trPr>
        <w:tc>
          <w:tcPr>
            <w:tcW w:w="2585" w:type="dxa"/>
            <w:gridSpan w:val="2"/>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 INTERNET</w:t>
            </w:r>
          </w:p>
        </w:tc>
        <w:tc>
          <w:tcPr>
            <w:tcW w:w="87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1073"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10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8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90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2585" w:type="dxa"/>
            <w:gridSpan w:val="2"/>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 CABECERA</w:t>
            </w:r>
          </w:p>
        </w:tc>
        <w:tc>
          <w:tcPr>
            <w:tcW w:w="87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73"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1621"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7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73"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585" w:type="dxa"/>
            <w:gridSpan w:val="5"/>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val="en-US" w:eastAsia="es-CO"/>
              </w:rPr>
            </w:pPr>
            <w:r w:rsidRPr="00CF0D7D">
              <w:rPr>
                <w:rFonts w:ascii="Arial Narrow" w:eastAsia="Times New Roman" w:hAnsi="Arial Narrow" w:cs="Times New Roman"/>
                <w:color w:val="000000"/>
                <w:sz w:val="20"/>
                <w:szCs w:val="20"/>
                <w:lang w:val="en-US" w:eastAsia="es-CO"/>
              </w:rPr>
              <w:t xml:space="preserve">Logistic regression                               Number of </w:t>
            </w:r>
            <w:proofErr w:type="spellStart"/>
            <w:r w:rsidRPr="00CF0D7D">
              <w:rPr>
                <w:rFonts w:ascii="Arial Narrow" w:eastAsia="Times New Roman" w:hAnsi="Arial Narrow" w:cs="Times New Roman"/>
                <w:color w:val="000000"/>
                <w:sz w:val="20"/>
                <w:szCs w:val="20"/>
                <w:lang w:val="en-US" w:eastAsia="es-CO"/>
              </w:rPr>
              <w:t>obs</w:t>
            </w:r>
            <w:proofErr w:type="spellEnd"/>
            <w:r w:rsidRPr="00CF0D7D">
              <w:rPr>
                <w:rFonts w:ascii="Arial Narrow" w:eastAsia="Times New Roman" w:hAnsi="Arial Narrow" w:cs="Times New Roman"/>
                <w:color w:val="000000"/>
                <w:sz w:val="20"/>
                <w:szCs w:val="20"/>
                <w:lang w:val="en-US" w:eastAsia="es-CO"/>
              </w:rPr>
              <w:t xml:space="preserve">   =      22013</w:t>
            </w: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0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CF0D7D">
              <w:rPr>
                <w:rFonts w:ascii="Arial Narrow" w:eastAsia="Times New Roman" w:hAnsi="Arial Narrow" w:cs="Times New Roman"/>
                <w:color w:val="000000"/>
                <w:sz w:val="20"/>
                <w:szCs w:val="20"/>
                <w:lang w:val="en-US" w:eastAsia="es-CO"/>
              </w:rPr>
              <w:t> </w:t>
            </w:r>
          </w:p>
        </w:tc>
      </w:tr>
      <w:tr w:rsidR="00AF16E7" w:rsidRPr="00CF0D7D" w:rsidTr="006B0C9D">
        <w:trPr>
          <w:trHeight w:val="300"/>
        </w:trPr>
        <w:tc>
          <w:tcPr>
            <w:tcW w:w="5585" w:type="dxa"/>
            <w:gridSpan w:val="5"/>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LR chi2(18)     =    7026.63</w:t>
            </w: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5585" w:type="dxa"/>
            <w:gridSpan w:val="5"/>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Prob</w:t>
            </w:r>
            <w:proofErr w:type="spellEnd"/>
            <w:r w:rsidRPr="00CF0D7D">
              <w:rPr>
                <w:rFonts w:ascii="Arial Narrow" w:eastAsia="Times New Roman" w:hAnsi="Arial Narrow" w:cs="Times New Roman"/>
                <w:color w:val="000000"/>
                <w:sz w:val="20"/>
                <w:szCs w:val="20"/>
                <w:lang w:eastAsia="es-CO"/>
              </w:rPr>
              <w:t xml:space="preserve"> &gt; chi2     =     0.0000</w:t>
            </w: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5585" w:type="dxa"/>
            <w:gridSpan w:val="5"/>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xml:space="preserve">Log </w:t>
            </w:r>
            <w:proofErr w:type="spellStart"/>
            <w:r w:rsidRPr="00CF0D7D">
              <w:rPr>
                <w:rFonts w:ascii="Arial Narrow" w:eastAsia="Times New Roman" w:hAnsi="Arial Narrow" w:cs="Times New Roman"/>
                <w:color w:val="000000"/>
                <w:sz w:val="20"/>
                <w:szCs w:val="20"/>
                <w:lang w:eastAsia="es-CO"/>
              </w:rPr>
              <w:t>likelihood</w:t>
            </w:r>
            <w:proofErr w:type="spellEnd"/>
            <w:r w:rsidRPr="00CF0D7D">
              <w:rPr>
                <w:rFonts w:ascii="Arial Narrow" w:eastAsia="Times New Roman" w:hAnsi="Arial Narrow" w:cs="Times New Roman"/>
                <w:color w:val="000000"/>
                <w:sz w:val="20"/>
                <w:szCs w:val="20"/>
                <w:lang w:eastAsia="es-CO"/>
              </w:rPr>
              <w:t xml:space="preserve"> = -9522.6718                 </w:t>
            </w:r>
            <w:proofErr w:type="spellStart"/>
            <w:r w:rsidRPr="00CF0D7D">
              <w:rPr>
                <w:rFonts w:ascii="Arial Narrow" w:eastAsia="Times New Roman" w:hAnsi="Arial Narrow" w:cs="Times New Roman"/>
                <w:color w:val="000000"/>
                <w:sz w:val="20"/>
                <w:szCs w:val="20"/>
                <w:lang w:eastAsia="es-CO"/>
              </w:rPr>
              <w:t>Pseudo</w:t>
            </w:r>
            <w:proofErr w:type="spellEnd"/>
            <w:r w:rsidRPr="00CF0D7D">
              <w:rPr>
                <w:rFonts w:ascii="Arial Narrow" w:eastAsia="Times New Roman" w:hAnsi="Arial Narrow" w:cs="Times New Roman"/>
                <w:color w:val="000000"/>
                <w:sz w:val="20"/>
                <w:szCs w:val="20"/>
                <w:lang w:eastAsia="es-CO"/>
              </w:rPr>
              <w:t xml:space="preserve"> R2       =     0.2695</w:t>
            </w: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1621"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964"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7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73"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15"/>
        </w:trPr>
        <w:tc>
          <w:tcPr>
            <w:tcW w:w="1621"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
        </w:tc>
        <w:tc>
          <w:tcPr>
            <w:tcW w:w="964"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7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73"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00"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645"/>
        </w:trPr>
        <w:tc>
          <w:tcPr>
            <w:tcW w:w="1621" w:type="dxa"/>
            <w:tcBorders>
              <w:bottom w:val="single" w:sz="4" w:space="0" w:color="A6A6A6" w:themeColor="background1" w:themeShade="A6"/>
            </w:tcBorders>
            <w:shd w:val="clear" w:color="auto" w:fill="A6A6A6" w:themeFill="background1" w:themeFillShade="A6"/>
            <w:vAlign w:val="center"/>
            <w:hideMark/>
          </w:tcPr>
          <w:p w:rsidR="00AF16E7" w:rsidRPr="00CF0D7D" w:rsidRDefault="00AF16E7" w:rsidP="006B0C9D">
            <w:pPr>
              <w:spacing w:before="0" w:line="240" w:lineRule="auto"/>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internet</w:t>
            </w:r>
          </w:p>
        </w:tc>
        <w:tc>
          <w:tcPr>
            <w:tcW w:w="964" w:type="dxa"/>
            <w:tcBorders>
              <w:bottom w:val="single" w:sz="4" w:space="0" w:color="A6A6A6" w:themeColor="background1" w:themeShade="A6"/>
            </w:tcBorders>
            <w:shd w:val="clear" w:color="auto" w:fill="A6A6A6" w:themeFill="background1" w:themeFillShade="A6"/>
            <w:vAlign w:val="center"/>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CF0D7D">
              <w:rPr>
                <w:rFonts w:ascii="Arial Narrow" w:eastAsia="Times New Roman" w:hAnsi="Arial Narrow" w:cs="Times New Roman"/>
                <w:b/>
                <w:color w:val="000000"/>
                <w:sz w:val="20"/>
                <w:szCs w:val="20"/>
                <w:lang w:eastAsia="es-CO"/>
              </w:rPr>
              <w:t>Coef</w:t>
            </w:r>
            <w:proofErr w:type="spellEnd"/>
            <w:r w:rsidRPr="00CF0D7D">
              <w:rPr>
                <w:rFonts w:ascii="Arial Narrow" w:eastAsia="Times New Roman" w:hAnsi="Arial Narrow" w:cs="Times New Roman"/>
                <w:b/>
                <w:color w:val="000000"/>
                <w:sz w:val="20"/>
                <w:szCs w:val="20"/>
                <w:lang w:eastAsia="es-CO"/>
              </w:rPr>
              <w:t>.</w:t>
            </w:r>
          </w:p>
        </w:tc>
        <w:tc>
          <w:tcPr>
            <w:tcW w:w="876" w:type="dxa"/>
            <w:tcBorders>
              <w:bottom w:val="single" w:sz="4" w:space="0" w:color="A6A6A6" w:themeColor="background1" w:themeShade="A6"/>
            </w:tcBorders>
            <w:shd w:val="clear" w:color="auto" w:fill="A6A6A6" w:themeFill="background1" w:themeFillShade="A6"/>
            <w:vAlign w:val="center"/>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CF0D7D">
              <w:rPr>
                <w:rFonts w:ascii="Arial Narrow" w:eastAsia="Times New Roman" w:hAnsi="Arial Narrow" w:cs="Times New Roman"/>
                <w:b/>
                <w:color w:val="000000"/>
                <w:sz w:val="20"/>
                <w:szCs w:val="20"/>
                <w:lang w:eastAsia="es-CO"/>
              </w:rPr>
              <w:t>Std.</w:t>
            </w:r>
            <w:proofErr w:type="spellEnd"/>
            <w:r w:rsidRPr="00CF0D7D">
              <w:rPr>
                <w:rFonts w:ascii="Arial Narrow" w:eastAsia="Times New Roman" w:hAnsi="Arial Narrow" w:cs="Times New Roman"/>
                <w:b/>
                <w:color w:val="000000"/>
                <w:sz w:val="20"/>
                <w:szCs w:val="20"/>
                <w:lang w:eastAsia="es-CO"/>
              </w:rPr>
              <w:t xml:space="preserve"> </w:t>
            </w:r>
            <w:proofErr w:type="spellStart"/>
            <w:r w:rsidRPr="00CF0D7D">
              <w:rPr>
                <w:rFonts w:ascii="Arial Narrow" w:eastAsia="Times New Roman" w:hAnsi="Arial Narrow" w:cs="Times New Roman"/>
                <w:b/>
                <w:color w:val="000000"/>
                <w:sz w:val="20"/>
                <w:szCs w:val="20"/>
                <w:lang w:eastAsia="es-CO"/>
              </w:rPr>
              <w:t>Err</w:t>
            </w:r>
            <w:proofErr w:type="spellEnd"/>
          </w:p>
        </w:tc>
        <w:tc>
          <w:tcPr>
            <w:tcW w:w="1073" w:type="dxa"/>
            <w:tcBorders>
              <w:bottom w:val="single" w:sz="4" w:space="0" w:color="A6A6A6" w:themeColor="background1" w:themeShade="A6"/>
            </w:tcBorders>
            <w:shd w:val="clear" w:color="auto" w:fill="A6A6A6" w:themeFill="background1" w:themeFillShade="A6"/>
            <w:vAlign w:val="center"/>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z</w:t>
            </w:r>
          </w:p>
        </w:tc>
        <w:tc>
          <w:tcPr>
            <w:tcW w:w="1051" w:type="dxa"/>
            <w:tcBorders>
              <w:bottom w:val="single" w:sz="4" w:space="0" w:color="A6A6A6" w:themeColor="background1" w:themeShade="A6"/>
            </w:tcBorders>
            <w:shd w:val="clear" w:color="auto" w:fill="A6A6A6" w:themeFill="background1" w:themeFillShade="A6"/>
            <w:vAlign w:val="center"/>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P&gt;z</w:t>
            </w:r>
          </w:p>
        </w:tc>
        <w:tc>
          <w:tcPr>
            <w:tcW w:w="1520" w:type="dxa"/>
            <w:gridSpan w:val="2"/>
            <w:tcBorders>
              <w:bottom w:val="single" w:sz="4" w:space="0" w:color="A6A6A6" w:themeColor="background1" w:themeShade="A6"/>
            </w:tcBorders>
            <w:shd w:val="clear" w:color="auto" w:fill="A6A6A6" w:themeFill="background1" w:themeFillShade="A6"/>
            <w:vAlign w:val="center"/>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 xml:space="preserve">[95% Conf. </w:t>
            </w:r>
            <w:proofErr w:type="spellStart"/>
            <w:r w:rsidRPr="00CF0D7D">
              <w:rPr>
                <w:rFonts w:ascii="Arial Narrow" w:eastAsia="Times New Roman" w:hAnsi="Arial Narrow" w:cs="Times New Roman"/>
                <w:b/>
                <w:color w:val="000000"/>
                <w:sz w:val="20"/>
                <w:szCs w:val="20"/>
                <w:lang w:eastAsia="es-CO"/>
              </w:rPr>
              <w:t>Interval</w:t>
            </w:r>
            <w:proofErr w:type="spellEnd"/>
            <w:r w:rsidRPr="00CF0D7D">
              <w:rPr>
                <w:rFonts w:ascii="Arial Narrow" w:eastAsia="Times New Roman" w:hAnsi="Arial Narrow" w:cs="Times New Roman"/>
                <w:b/>
                <w:color w:val="000000"/>
                <w:sz w:val="20"/>
                <w:szCs w:val="20"/>
                <w:lang w:eastAsia="es-CO"/>
              </w:rPr>
              <w:t>]</w:t>
            </w:r>
          </w:p>
        </w:tc>
        <w:tc>
          <w:tcPr>
            <w:tcW w:w="860" w:type="dxa"/>
            <w:tcBorders>
              <w:bottom w:val="single" w:sz="4" w:space="0" w:color="A6A6A6" w:themeColor="background1" w:themeShade="A6"/>
            </w:tcBorders>
            <w:shd w:val="clear" w:color="auto" w:fill="A6A6A6" w:themeFill="background1" w:themeFillShade="A6"/>
            <w:vAlign w:val="center"/>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CF0D7D">
              <w:rPr>
                <w:rFonts w:ascii="Arial Narrow" w:eastAsia="Times New Roman" w:hAnsi="Arial Narrow" w:cs="Times New Roman"/>
                <w:b/>
                <w:color w:val="000000"/>
                <w:sz w:val="20"/>
                <w:szCs w:val="20"/>
                <w:lang w:eastAsia="es-CO"/>
              </w:rPr>
              <w:t>Odds</w:t>
            </w:r>
            <w:proofErr w:type="spellEnd"/>
            <w:r w:rsidRPr="00CF0D7D">
              <w:rPr>
                <w:rFonts w:ascii="Arial Narrow" w:eastAsia="Times New Roman" w:hAnsi="Arial Narrow" w:cs="Times New Roman"/>
                <w:b/>
                <w:color w:val="000000"/>
                <w:sz w:val="20"/>
                <w:szCs w:val="20"/>
                <w:lang w:eastAsia="es-CO"/>
              </w:rPr>
              <w:t xml:space="preserve"> Ratio</w:t>
            </w:r>
          </w:p>
        </w:tc>
        <w:tc>
          <w:tcPr>
            <w:tcW w:w="900" w:type="dxa"/>
            <w:tcBorders>
              <w:bottom w:val="single" w:sz="4" w:space="0" w:color="A6A6A6" w:themeColor="background1" w:themeShade="A6"/>
            </w:tcBorders>
            <w:shd w:val="clear" w:color="auto" w:fill="A6A6A6" w:themeFill="background1" w:themeFillShade="A6"/>
            <w:vAlign w:val="center"/>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m:oMath>
              <m:r>
                <m:rPr>
                  <m:sty m:val="bi"/>
                </m:rPr>
                <w:rPr>
                  <w:rFonts w:ascii="Cambria Math" w:eastAsia="Times New Roman" w:hAnsi="Cambria Math" w:cs="Times New Roman"/>
                  <w:color w:val="000000"/>
                  <w:sz w:val="20"/>
                  <w:szCs w:val="20"/>
                  <w:lang w:eastAsia="es-CO"/>
                </w:rPr>
                <m:t>∆p</m:t>
              </m:r>
            </m:oMath>
            <w:r w:rsidRPr="00CF0D7D">
              <w:rPr>
                <w:rFonts w:ascii="Arial Narrow" w:eastAsia="Times New Roman" w:hAnsi="Arial Narrow" w:cs="Times New Roman"/>
                <w:b/>
                <w:color w:val="000000"/>
                <w:sz w:val="20"/>
                <w:szCs w:val="20"/>
                <w:lang w:eastAsia="es-CO"/>
              </w:rPr>
              <w:t> </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t2012</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0.746</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0.039</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19.210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0.669</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0.822</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2.108</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17.8%</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atlantica</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-1.074</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0.072</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-14.950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-1.215</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-0.933</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0.342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-24.5%</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oriental</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-0.673</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0.070</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-9.630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-0.810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-0.536</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0.510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-16.2%</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central</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-0.448</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0.068</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-6.550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-0.582</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-0.314</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0.639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-11.0%</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pacifica</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-1.340</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0.073</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-18.470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-1.482</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-1.198</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0.262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-29.2%</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antioquia</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-0.393</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0.067</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-5.840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-0.525</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-0.261</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0.675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-9.7%</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valle</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-0.402</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0.064</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-6.300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-0.526</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-0.277</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0.669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-9.9%</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sanandres</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-1.474</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0.096</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-15.290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-1.663</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-1.285</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0.229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-31.4%</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orinoq_amazon</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-1.284</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0.096</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-13.420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-1.471</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-1.096</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0.277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-28.3%</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educbas</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-1.171</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0.046</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-25.370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-1.262</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-1.081</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0.310</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-26.3%</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educmed</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CF0D7D">
              <w:rPr>
                <w:rFonts w:ascii="Arial Narrow" w:eastAsia="Times New Roman" w:hAnsi="Arial Narrow" w:cs="Times New Roman"/>
                <w:color w:val="000000"/>
                <w:sz w:val="20"/>
                <w:szCs w:val="20"/>
                <w:lang w:eastAsia="es-CO"/>
              </w:rPr>
              <w:t>0.005</w:t>
            </w:r>
            <w:r w:rsidRPr="00CF0D7D">
              <w:rPr>
                <w:rFonts w:ascii="Arial Narrow" w:eastAsia="Times New Roman" w:hAnsi="Arial Narrow" w:cs="Times New Roman"/>
                <w:color w:val="000000"/>
                <w:sz w:val="20"/>
                <w:szCs w:val="20"/>
                <w:vertAlign w:val="superscript"/>
                <w:lang w:eastAsia="es-CO"/>
              </w:rPr>
              <w:t>NO</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0.041</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0.130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CF0D7D">
              <w:rPr>
                <w:rFonts w:ascii="Arial Narrow" w:eastAsia="Times New Roman" w:hAnsi="Arial Narrow" w:cs="Times New Roman"/>
                <w:color w:val="000000"/>
                <w:sz w:val="20"/>
                <w:szCs w:val="20"/>
                <w:lang w:eastAsia="es-CO"/>
              </w:rPr>
              <w:t>0.893</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-0.074</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0.085</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1.005</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eductec</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0.505</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0.046</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10.900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0.414</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0.596</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1.657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12.4%</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educuniv</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1.267</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0.051</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24.750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1.166</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1.367</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3.549</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28.0%</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edad12_17</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0.585</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0.040</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14.520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0.506</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0.664</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1.794</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14.2%</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edad18_34</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0.468</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0.043</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10.960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0.384</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0.552</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1.597</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11.5%</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edad35_60</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0.563</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0.047</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11.880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0.470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0.656</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1.756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13.7%</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edad61mas</w:t>
            </w:r>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0.324</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0.048</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6.740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0.230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0.418</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1.382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8.0%</w:t>
            </w:r>
          </w:p>
        </w:tc>
      </w:tr>
      <w:tr w:rsidR="00AF16E7" w:rsidRPr="00CF0D7D" w:rsidTr="006B0C9D">
        <w:trPr>
          <w:trHeight w:val="300"/>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ingreso_mill</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0.471</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0.019</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25.320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0.435</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0.508</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1.602</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11.6%</w:t>
            </w:r>
          </w:p>
        </w:tc>
      </w:tr>
      <w:tr w:rsidR="00AF16E7" w:rsidRPr="00CF0D7D" w:rsidTr="006B0C9D">
        <w:trPr>
          <w:trHeight w:val="315"/>
        </w:trPr>
        <w:tc>
          <w:tcPr>
            <w:tcW w:w="162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_</w:t>
            </w:r>
            <w:proofErr w:type="spellStart"/>
            <w:r w:rsidRPr="00CF0D7D">
              <w:rPr>
                <w:rFonts w:ascii="Arial Narrow" w:eastAsia="Times New Roman" w:hAnsi="Arial Narrow" w:cs="Times New Roman"/>
                <w:color w:val="000000"/>
                <w:sz w:val="20"/>
                <w:szCs w:val="20"/>
                <w:lang w:eastAsia="es-CO"/>
              </w:rPr>
              <w:t>cons</w:t>
            </w:r>
            <w:proofErr w:type="spellEnd"/>
          </w:p>
        </w:tc>
        <w:tc>
          <w:tcPr>
            <w:tcW w:w="964"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-1.998</w:t>
            </w:r>
          </w:p>
        </w:tc>
        <w:tc>
          <w:tcPr>
            <w:tcW w:w="87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0.076</w:t>
            </w:r>
          </w:p>
        </w:tc>
        <w:tc>
          <w:tcPr>
            <w:tcW w:w="1073"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-26.300</w:t>
            </w:r>
          </w:p>
        </w:tc>
        <w:tc>
          <w:tcPr>
            <w:tcW w:w="10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-2.147</w:t>
            </w:r>
          </w:p>
        </w:tc>
        <w:tc>
          <w:tcPr>
            <w:tcW w:w="7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-1.849</w:t>
            </w:r>
          </w:p>
        </w:tc>
        <w:tc>
          <w:tcPr>
            <w:tcW w:w="86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0.136</w:t>
            </w:r>
          </w:p>
        </w:tc>
        <w:tc>
          <w:tcPr>
            <w:tcW w:w="900"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-38.1%</w:t>
            </w:r>
          </w:p>
        </w:tc>
      </w:tr>
    </w:tbl>
    <w:p w:rsidR="00AF16E7" w:rsidRPr="00544B68" w:rsidRDefault="00AF16E7" w:rsidP="00AF16E7">
      <w:pPr>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AF16E7" w:rsidRDefault="00AF16E7" w:rsidP="00AF16E7">
      <w:pPr>
        <w:spacing w:before="0" w:after="120"/>
        <w:rPr>
          <w:rFonts w:ascii="Century Gothic" w:eastAsia="Calibri" w:hAnsi="Century Gothic" w:cs="Times New Roman"/>
          <w:color w:val="404040" w:themeColor="text1" w:themeTint="BF"/>
          <w:sz w:val="18"/>
          <w:szCs w:val="18"/>
        </w:rPr>
      </w:pPr>
      <w:r>
        <w:rPr>
          <w:rFonts w:ascii="Century Gothic" w:eastAsia="Calibri" w:hAnsi="Century Gothic" w:cs="Times New Roman"/>
          <w:color w:val="404040" w:themeColor="text1" w:themeTint="BF"/>
          <w:sz w:val="18"/>
          <w:szCs w:val="18"/>
        </w:rPr>
        <w:br w:type="page"/>
      </w:r>
    </w:p>
    <w:p w:rsidR="006069A0" w:rsidRDefault="006069A0" w:rsidP="00AF16E7">
      <w:pPr>
        <w:pStyle w:val="T-Figura"/>
        <w:rPr>
          <w:rFonts w:eastAsia="Calibri"/>
        </w:rPr>
      </w:pPr>
    </w:p>
    <w:p w:rsidR="00AF16E7" w:rsidRPr="00CF0D7D" w:rsidRDefault="00913F11" w:rsidP="00AF16E7">
      <w:pPr>
        <w:pStyle w:val="T-Figura"/>
        <w:rPr>
          <w:rFonts w:eastAsia="Calibri"/>
        </w:rPr>
      </w:pPr>
      <w:r>
        <w:rPr>
          <w:rFonts w:eastAsia="Calibri"/>
        </w:rPr>
        <w:t>Cuadro A1</w:t>
      </w:r>
      <w:r w:rsidR="00AF16E7" w:rsidRPr="00CF0D7D">
        <w:rPr>
          <w:rFonts w:eastAsia="Calibri"/>
        </w:rPr>
        <w:t>.</w:t>
      </w:r>
      <w:r w:rsidR="00AF16E7">
        <w:rPr>
          <w:rFonts w:eastAsia="Calibri"/>
        </w:rPr>
        <w:t>12</w:t>
      </w:r>
      <w:r w:rsidR="00AF16E7" w:rsidRPr="00CF0D7D">
        <w:rPr>
          <w:rFonts w:eastAsia="Calibri"/>
        </w:rPr>
        <w:t xml:space="preserve"> - Demanda de los hogares por Internet en centros poblados o inspecciones de policía 2010 - 2012</w:t>
      </w:r>
    </w:p>
    <w:tbl>
      <w:tblPr>
        <w:tblW w:w="8868" w:type="dxa"/>
        <w:tblInd w:w="55" w:type="dxa"/>
        <w:tblCellMar>
          <w:left w:w="70" w:type="dxa"/>
          <w:right w:w="70" w:type="dxa"/>
        </w:tblCellMar>
        <w:tblLook w:val="04A0"/>
      </w:tblPr>
      <w:tblGrid>
        <w:gridCol w:w="1536"/>
        <w:gridCol w:w="830"/>
        <w:gridCol w:w="201"/>
        <w:gridCol w:w="762"/>
        <w:gridCol w:w="1032"/>
        <w:gridCol w:w="1012"/>
        <w:gridCol w:w="851"/>
        <w:gridCol w:w="851"/>
        <w:gridCol w:w="927"/>
        <w:gridCol w:w="866"/>
      </w:tblGrid>
      <w:tr w:rsidR="00AF16E7" w:rsidRPr="00CF0D7D" w:rsidTr="006B0C9D">
        <w:trPr>
          <w:trHeight w:val="300"/>
        </w:trPr>
        <w:tc>
          <w:tcPr>
            <w:tcW w:w="3329" w:type="dxa"/>
            <w:gridSpan w:val="4"/>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 CENTROS POBLADOS</w:t>
            </w:r>
          </w:p>
        </w:tc>
        <w:tc>
          <w:tcPr>
            <w:tcW w:w="1032"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1012"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1536"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830"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
        </w:tc>
        <w:tc>
          <w:tcPr>
            <w:tcW w:w="963" w:type="dxa"/>
            <w:gridSpan w:val="2"/>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
        </w:tc>
        <w:tc>
          <w:tcPr>
            <w:tcW w:w="1032"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
        </w:tc>
        <w:tc>
          <w:tcPr>
            <w:tcW w:w="1012"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373" w:type="dxa"/>
            <w:gridSpan w:val="6"/>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val="en-US" w:eastAsia="es-CO"/>
              </w:rPr>
            </w:pPr>
            <w:r w:rsidRPr="00CF0D7D">
              <w:rPr>
                <w:rFonts w:ascii="Arial Narrow" w:eastAsia="Times New Roman" w:hAnsi="Arial Narrow" w:cs="Times New Roman"/>
                <w:color w:val="000000"/>
                <w:sz w:val="20"/>
                <w:szCs w:val="20"/>
                <w:lang w:val="en-US" w:eastAsia="es-CO"/>
              </w:rPr>
              <w:t xml:space="preserve">Logistic regression                               Number of </w:t>
            </w:r>
            <w:proofErr w:type="spellStart"/>
            <w:r w:rsidRPr="00CF0D7D">
              <w:rPr>
                <w:rFonts w:ascii="Arial Narrow" w:eastAsia="Times New Roman" w:hAnsi="Arial Narrow" w:cs="Times New Roman"/>
                <w:color w:val="000000"/>
                <w:sz w:val="20"/>
                <w:szCs w:val="20"/>
                <w:lang w:val="en-US" w:eastAsia="es-CO"/>
              </w:rPr>
              <w:t>obs</w:t>
            </w:r>
            <w:proofErr w:type="spellEnd"/>
            <w:r w:rsidRPr="00CF0D7D">
              <w:rPr>
                <w:rFonts w:ascii="Arial Narrow" w:eastAsia="Times New Roman" w:hAnsi="Arial Narrow" w:cs="Times New Roman"/>
                <w:color w:val="000000"/>
                <w:sz w:val="20"/>
                <w:szCs w:val="20"/>
                <w:lang w:val="en-US" w:eastAsia="es-CO"/>
              </w:rPr>
              <w:t xml:space="preserve">   =       5169</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CF0D7D">
              <w:rPr>
                <w:rFonts w:ascii="Arial Narrow" w:eastAsia="Times New Roman" w:hAnsi="Arial Narrow" w:cs="Times New Roman"/>
                <w:color w:val="000000"/>
                <w:sz w:val="20"/>
                <w:szCs w:val="20"/>
                <w:lang w:val="en-US" w:eastAsia="es-CO"/>
              </w:rPr>
              <w:t> </w:t>
            </w:r>
          </w:p>
        </w:tc>
      </w:tr>
      <w:tr w:rsidR="00AF16E7" w:rsidRPr="00CF0D7D" w:rsidTr="006B0C9D">
        <w:trPr>
          <w:trHeight w:val="300"/>
        </w:trPr>
        <w:tc>
          <w:tcPr>
            <w:tcW w:w="5373" w:type="dxa"/>
            <w:gridSpan w:val="6"/>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LR chi2(15)     =     638.71</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5373" w:type="dxa"/>
            <w:gridSpan w:val="6"/>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Prob</w:t>
            </w:r>
            <w:proofErr w:type="spellEnd"/>
            <w:r w:rsidRPr="00CF0D7D">
              <w:rPr>
                <w:rFonts w:ascii="Arial Narrow" w:eastAsia="Times New Roman" w:hAnsi="Arial Narrow" w:cs="Times New Roman"/>
                <w:color w:val="000000"/>
                <w:sz w:val="20"/>
                <w:szCs w:val="20"/>
                <w:lang w:eastAsia="es-CO"/>
              </w:rPr>
              <w:t xml:space="preserve"> &gt; chi2     =     0.0000</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5373" w:type="dxa"/>
            <w:gridSpan w:val="6"/>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xml:space="preserve">Log </w:t>
            </w:r>
            <w:proofErr w:type="spellStart"/>
            <w:r w:rsidRPr="00CF0D7D">
              <w:rPr>
                <w:rFonts w:ascii="Arial Narrow" w:eastAsia="Times New Roman" w:hAnsi="Arial Narrow" w:cs="Times New Roman"/>
                <w:color w:val="000000"/>
                <w:sz w:val="20"/>
                <w:szCs w:val="20"/>
                <w:lang w:eastAsia="es-CO"/>
              </w:rPr>
              <w:t>likelihood</w:t>
            </w:r>
            <w:proofErr w:type="spellEnd"/>
            <w:r w:rsidRPr="00CF0D7D">
              <w:rPr>
                <w:rFonts w:ascii="Arial Narrow" w:eastAsia="Times New Roman" w:hAnsi="Arial Narrow" w:cs="Times New Roman"/>
                <w:color w:val="000000"/>
                <w:sz w:val="20"/>
                <w:szCs w:val="20"/>
                <w:lang w:eastAsia="es-CO"/>
              </w:rPr>
              <w:t xml:space="preserve"> = -976.57476              </w:t>
            </w:r>
            <w:proofErr w:type="spellStart"/>
            <w:r w:rsidRPr="00CF0D7D">
              <w:rPr>
                <w:rFonts w:ascii="Arial Narrow" w:eastAsia="Times New Roman" w:hAnsi="Arial Narrow" w:cs="Times New Roman"/>
                <w:color w:val="000000"/>
                <w:sz w:val="20"/>
                <w:szCs w:val="20"/>
                <w:lang w:eastAsia="es-CO"/>
              </w:rPr>
              <w:t>Pseudo</w:t>
            </w:r>
            <w:proofErr w:type="spellEnd"/>
            <w:r w:rsidRPr="00CF0D7D">
              <w:rPr>
                <w:rFonts w:ascii="Arial Narrow" w:eastAsia="Times New Roman" w:hAnsi="Arial Narrow" w:cs="Times New Roman"/>
                <w:color w:val="000000"/>
                <w:sz w:val="20"/>
                <w:szCs w:val="20"/>
                <w:lang w:eastAsia="es-CO"/>
              </w:rPr>
              <w:t xml:space="preserve"> R2       =     0.2464</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1536"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1031" w:type="dxa"/>
            <w:gridSpan w:val="2"/>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3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1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15"/>
        </w:trPr>
        <w:tc>
          <w:tcPr>
            <w:tcW w:w="1536"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1031" w:type="dxa"/>
            <w:gridSpan w:val="2"/>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3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1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15"/>
        </w:trPr>
        <w:tc>
          <w:tcPr>
            <w:tcW w:w="1536"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internet</w:t>
            </w:r>
          </w:p>
        </w:tc>
        <w:tc>
          <w:tcPr>
            <w:tcW w:w="1031" w:type="dxa"/>
            <w:gridSpan w:val="2"/>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CF0D7D">
              <w:rPr>
                <w:rFonts w:ascii="Arial Narrow" w:eastAsia="Times New Roman" w:hAnsi="Arial Narrow" w:cs="Times New Roman"/>
                <w:b/>
                <w:color w:val="000000"/>
                <w:sz w:val="20"/>
                <w:szCs w:val="20"/>
                <w:lang w:eastAsia="es-CO"/>
              </w:rPr>
              <w:t>Coef</w:t>
            </w:r>
            <w:proofErr w:type="spellEnd"/>
            <w:r w:rsidRPr="00CF0D7D">
              <w:rPr>
                <w:rFonts w:ascii="Arial Narrow" w:eastAsia="Times New Roman" w:hAnsi="Arial Narrow" w:cs="Times New Roman"/>
                <w:b/>
                <w:color w:val="000000"/>
                <w:sz w:val="20"/>
                <w:szCs w:val="20"/>
                <w:lang w:eastAsia="es-CO"/>
              </w:rPr>
              <w:t>.</w:t>
            </w:r>
          </w:p>
        </w:tc>
        <w:tc>
          <w:tcPr>
            <w:tcW w:w="762"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CF0D7D">
              <w:rPr>
                <w:rFonts w:ascii="Arial Narrow" w:eastAsia="Times New Roman" w:hAnsi="Arial Narrow" w:cs="Times New Roman"/>
                <w:b/>
                <w:color w:val="000000"/>
                <w:sz w:val="20"/>
                <w:szCs w:val="20"/>
                <w:lang w:eastAsia="es-CO"/>
              </w:rPr>
              <w:t>Std.</w:t>
            </w:r>
            <w:proofErr w:type="spellEnd"/>
            <w:r w:rsidRPr="00CF0D7D">
              <w:rPr>
                <w:rFonts w:ascii="Arial Narrow" w:eastAsia="Times New Roman" w:hAnsi="Arial Narrow" w:cs="Times New Roman"/>
                <w:b/>
                <w:color w:val="000000"/>
                <w:sz w:val="20"/>
                <w:szCs w:val="20"/>
                <w:lang w:eastAsia="es-CO"/>
              </w:rPr>
              <w:t xml:space="preserve"> </w:t>
            </w:r>
            <w:proofErr w:type="spellStart"/>
            <w:r w:rsidRPr="00CF0D7D">
              <w:rPr>
                <w:rFonts w:ascii="Arial Narrow" w:eastAsia="Times New Roman" w:hAnsi="Arial Narrow" w:cs="Times New Roman"/>
                <w:b/>
                <w:color w:val="000000"/>
                <w:sz w:val="20"/>
                <w:szCs w:val="20"/>
                <w:lang w:eastAsia="es-CO"/>
              </w:rPr>
              <w:t>Err</w:t>
            </w:r>
            <w:proofErr w:type="spellEnd"/>
          </w:p>
        </w:tc>
        <w:tc>
          <w:tcPr>
            <w:tcW w:w="1032"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z</w:t>
            </w:r>
          </w:p>
        </w:tc>
        <w:tc>
          <w:tcPr>
            <w:tcW w:w="1012"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P&gt;z</w:t>
            </w:r>
          </w:p>
        </w:tc>
        <w:tc>
          <w:tcPr>
            <w:tcW w:w="1702" w:type="dxa"/>
            <w:gridSpan w:val="2"/>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 xml:space="preserve">[95% Conf. </w:t>
            </w:r>
            <w:proofErr w:type="spellStart"/>
            <w:r w:rsidRPr="00CF0D7D">
              <w:rPr>
                <w:rFonts w:ascii="Arial Narrow" w:eastAsia="Times New Roman" w:hAnsi="Arial Narrow" w:cs="Times New Roman"/>
                <w:b/>
                <w:color w:val="000000"/>
                <w:sz w:val="20"/>
                <w:szCs w:val="20"/>
                <w:lang w:eastAsia="es-CO"/>
              </w:rPr>
              <w:t>Interval</w:t>
            </w:r>
            <w:proofErr w:type="spellEnd"/>
            <w:r w:rsidRPr="00CF0D7D">
              <w:rPr>
                <w:rFonts w:ascii="Arial Narrow" w:eastAsia="Times New Roman" w:hAnsi="Arial Narrow" w:cs="Times New Roman"/>
                <w:b/>
                <w:color w:val="000000"/>
                <w:sz w:val="20"/>
                <w:szCs w:val="20"/>
                <w:lang w:eastAsia="es-CO"/>
              </w:rPr>
              <w:t>]</w:t>
            </w:r>
          </w:p>
        </w:tc>
        <w:tc>
          <w:tcPr>
            <w:tcW w:w="927"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CF0D7D">
              <w:rPr>
                <w:rFonts w:ascii="Arial Narrow" w:eastAsia="Times New Roman" w:hAnsi="Arial Narrow" w:cs="Times New Roman"/>
                <w:b/>
                <w:color w:val="000000"/>
                <w:sz w:val="20"/>
                <w:szCs w:val="20"/>
                <w:lang w:eastAsia="es-CO"/>
              </w:rPr>
              <w:t>Odds</w:t>
            </w:r>
            <w:proofErr w:type="spellEnd"/>
            <w:r w:rsidRPr="00CF0D7D">
              <w:rPr>
                <w:rFonts w:ascii="Arial Narrow" w:eastAsia="Times New Roman" w:hAnsi="Arial Narrow" w:cs="Times New Roman"/>
                <w:b/>
                <w:color w:val="000000"/>
                <w:sz w:val="20"/>
                <w:szCs w:val="20"/>
                <w:lang w:eastAsia="es-CO"/>
              </w:rPr>
              <w:t xml:space="preserve"> Ratio</w:t>
            </w:r>
          </w:p>
        </w:tc>
        <w:tc>
          <w:tcPr>
            <w:tcW w:w="866"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m:oMath>
              <m:r>
                <m:rPr>
                  <m:sty m:val="bi"/>
                </m:rPr>
                <w:rPr>
                  <w:rFonts w:ascii="Cambria Math" w:eastAsia="Times New Roman" w:hAnsi="Cambria Math" w:cs="Times New Roman"/>
                  <w:color w:val="000000"/>
                  <w:sz w:val="20"/>
                  <w:szCs w:val="20"/>
                  <w:lang w:eastAsia="es-CO"/>
                </w:rPr>
                <m:t>∆p</m:t>
              </m:r>
            </m:oMath>
            <w:r w:rsidRPr="00CF0D7D">
              <w:rPr>
                <w:rFonts w:ascii="Arial Narrow" w:eastAsia="Times New Roman" w:hAnsi="Arial Narrow" w:cs="Times New Roman"/>
                <w:b/>
                <w:color w:val="000000"/>
                <w:sz w:val="20"/>
                <w:szCs w:val="20"/>
                <w:lang w:eastAsia="es-CO"/>
              </w:rPr>
              <w:t> </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t2012</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1.189</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0.148</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8.020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0.898</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1.480</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3.285</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26.7%</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atlantica</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-0.830</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0.215</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-3.860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-1.252</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-0.409</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0.436</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-19.6%</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oriental</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CF0D7D">
              <w:rPr>
                <w:rFonts w:ascii="Arial Narrow" w:eastAsia="Times New Roman" w:hAnsi="Arial Narrow" w:cs="Times New Roman"/>
                <w:color w:val="000000"/>
                <w:sz w:val="20"/>
                <w:szCs w:val="20"/>
                <w:lang w:eastAsia="es-CO"/>
              </w:rPr>
              <w:t>0.267</w:t>
            </w:r>
            <w:r w:rsidRPr="00CF0D7D">
              <w:rPr>
                <w:rFonts w:ascii="Arial Narrow" w:eastAsia="Times New Roman" w:hAnsi="Arial Narrow" w:cs="Times New Roman"/>
                <w:color w:val="000000"/>
                <w:sz w:val="20"/>
                <w:szCs w:val="20"/>
                <w:vertAlign w:val="superscript"/>
                <w:lang w:eastAsia="es-CO"/>
              </w:rPr>
              <w:t>NO</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0.237</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1.130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0.260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-0.198</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0.732</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1.307</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6.6%</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pacifica</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-1.464</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0.304</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-4.820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-2.060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-0.869</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0.231</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-31.2%</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antioquia</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0.408</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0.214</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1.910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0.056</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-0.011</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0.828</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1.504</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10.1%</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valle</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CF0D7D">
              <w:rPr>
                <w:rFonts w:ascii="Arial Narrow" w:eastAsia="Times New Roman" w:hAnsi="Arial Narrow" w:cs="Times New Roman"/>
                <w:color w:val="000000"/>
                <w:sz w:val="20"/>
                <w:szCs w:val="20"/>
                <w:lang w:eastAsia="es-CO"/>
              </w:rPr>
              <w:t>0.222</w:t>
            </w:r>
            <w:r w:rsidRPr="00CF0D7D">
              <w:rPr>
                <w:rFonts w:ascii="Arial Narrow" w:eastAsia="Times New Roman" w:hAnsi="Arial Narrow" w:cs="Times New Roman"/>
                <w:color w:val="000000"/>
                <w:sz w:val="20"/>
                <w:szCs w:val="20"/>
                <w:vertAlign w:val="superscript"/>
                <w:lang w:eastAsia="es-CO"/>
              </w:rPr>
              <w:t>NO</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0.189</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1.180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0.239</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-0.148</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0.592</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1.249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5.5%</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educbas</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-1.127</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0.160</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-7.030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-1.441</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-0.813</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0.324</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-25.5%</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educmed</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0.486</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0.136</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3.560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0.219</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0.754</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1.626</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11.9%</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eductec</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0.738</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0.164</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4.510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0.417</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1.059</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2.092</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17.7%</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educuniv</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1.514</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0.198</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7.630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1.125</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1.903</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4.545</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32.0%</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edad12_17</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0.581</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0.132</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4.400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0.322</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0.840</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1.787</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14.1%</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edad18_34</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0.354</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0.150</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2.360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0.018</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0.060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0.649</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1.425</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8.8%</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edad35_60</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0.553</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0.169</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3.260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0.001</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0.221</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0.885</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1.739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13.5%</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edad61mas</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CF0D7D">
              <w:rPr>
                <w:rFonts w:ascii="Arial Narrow" w:eastAsia="Times New Roman" w:hAnsi="Arial Narrow" w:cs="Times New Roman"/>
                <w:color w:val="000000"/>
                <w:sz w:val="20"/>
                <w:szCs w:val="20"/>
                <w:lang w:eastAsia="es-CO"/>
              </w:rPr>
              <w:t>-0.178</w:t>
            </w:r>
            <w:r w:rsidRPr="00CF0D7D">
              <w:rPr>
                <w:rFonts w:ascii="Arial Narrow" w:eastAsia="Times New Roman" w:hAnsi="Arial Narrow" w:cs="Times New Roman"/>
                <w:color w:val="000000"/>
                <w:sz w:val="20"/>
                <w:szCs w:val="20"/>
                <w:vertAlign w:val="superscript"/>
                <w:lang w:eastAsia="es-CO"/>
              </w:rPr>
              <w:t>NO</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0.170</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-1.050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0.294</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-0.512</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0.155</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0.837</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-4.4%</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ingreso_mill</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0.623</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0.078</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8.030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0.471</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0.776</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1.865</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15.1%</w:t>
            </w:r>
          </w:p>
        </w:tc>
      </w:tr>
      <w:tr w:rsidR="00AF16E7" w:rsidRPr="00CF0D7D" w:rsidTr="006B0C9D">
        <w:trPr>
          <w:trHeight w:val="315"/>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_</w:t>
            </w:r>
            <w:proofErr w:type="spellStart"/>
            <w:r w:rsidRPr="00CF0D7D">
              <w:rPr>
                <w:rFonts w:ascii="Arial Narrow" w:eastAsia="Times New Roman" w:hAnsi="Arial Narrow" w:cs="Times New Roman"/>
                <w:color w:val="000000"/>
                <w:sz w:val="20"/>
                <w:szCs w:val="20"/>
                <w:lang w:eastAsia="es-CO"/>
              </w:rPr>
              <w:t>cons</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-4.249</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0.280</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-15.150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-4.798</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-3.699</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0.014</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-48.6%</w:t>
            </w:r>
          </w:p>
        </w:tc>
      </w:tr>
    </w:tbl>
    <w:p w:rsidR="00AF16E7" w:rsidRPr="00544B68" w:rsidRDefault="00AF16E7" w:rsidP="00AF16E7">
      <w:pPr>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AF16E7" w:rsidRDefault="00AF16E7" w:rsidP="00AF16E7"/>
    <w:p w:rsidR="00AF16E7" w:rsidRDefault="00AF16E7" w:rsidP="00AF16E7"/>
    <w:p w:rsidR="00AF16E7" w:rsidRDefault="00AF16E7" w:rsidP="00AF16E7"/>
    <w:p w:rsidR="00AF16E7" w:rsidRDefault="00AF16E7" w:rsidP="00AF16E7"/>
    <w:p w:rsidR="00AF16E7" w:rsidRDefault="00AF16E7" w:rsidP="002D4742">
      <w:pPr>
        <w:widowControl w:val="0"/>
      </w:pPr>
    </w:p>
    <w:p w:rsidR="00913F11" w:rsidRDefault="00913F11" w:rsidP="002D4742">
      <w:pPr>
        <w:pStyle w:val="T-Figura"/>
        <w:keepNext w:val="0"/>
        <w:keepLines w:val="0"/>
        <w:widowControl w:val="0"/>
        <w:rPr>
          <w:rFonts w:eastAsia="Calibri"/>
          <w:lang w:val="es-ES_tradnl"/>
        </w:rPr>
      </w:pPr>
    </w:p>
    <w:p w:rsidR="002D4742" w:rsidRDefault="002D4742" w:rsidP="002D4742">
      <w:pPr>
        <w:pStyle w:val="T-Figura"/>
        <w:keepNext w:val="0"/>
        <w:keepLines w:val="0"/>
        <w:widowControl w:val="0"/>
        <w:rPr>
          <w:rFonts w:eastAsia="Calibri"/>
          <w:lang w:val="es-ES_tradnl"/>
        </w:rPr>
      </w:pPr>
    </w:p>
    <w:p w:rsidR="00AF16E7" w:rsidRPr="00CF0D7D" w:rsidRDefault="00AF16E7" w:rsidP="002D4742">
      <w:pPr>
        <w:pStyle w:val="T-Figura"/>
        <w:keepNext w:val="0"/>
        <w:keepLines w:val="0"/>
        <w:widowControl w:val="0"/>
        <w:rPr>
          <w:rFonts w:eastAsia="Calibri"/>
        </w:rPr>
      </w:pPr>
      <w:r w:rsidRPr="00CF0D7D">
        <w:rPr>
          <w:rFonts w:eastAsia="Calibri"/>
        </w:rPr>
        <w:t>C</w:t>
      </w:r>
      <w:r w:rsidR="00913F11">
        <w:rPr>
          <w:rFonts w:eastAsia="Calibri"/>
        </w:rPr>
        <w:t>uadro A1</w:t>
      </w:r>
      <w:r>
        <w:rPr>
          <w:rFonts w:eastAsia="Calibri"/>
        </w:rPr>
        <w:t xml:space="preserve">.13 - </w:t>
      </w:r>
      <w:r w:rsidRPr="00CF0D7D">
        <w:rPr>
          <w:rFonts w:eastAsia="Calibri"/>
        </w:rPr>
        <w:t>Demanda de los hogares por Internet en el área rural dispersa 2010 - 2012</w:t>
      </w:r>
    </w:p>
    <w:tbl>
      <w:tblPr>
        <w:tblW w:w="8868" w:type="dxa"/>
        <w:tblInd w:w="55" w:type="dxa"/>
        <w:tblCellMar>
          <w:left w:w="70" w:type="dxa"/>
          <w:right w:w="70" w:type="dxa"/>
        </w:tblCellMar>
        <w:tblLook w:val="04A0"/>
      </w:tblPr>
      <w:tblGrid>
        <w:gridCol w:w="1536"/>
        <w:gridCol w:w="830"/>
        <w:gridCol w:w="201"/>
        <w:gridCol w:w="762"/>
        <w:gridCol w:w="1032"/>
        <w:gridCol w:w="1012"/>
        <w:gridCol w:w="851"/>
        <w:gridCol w:w="851"/>
        <w:gridCol w:w="927"/>
        <w:gridCol w:w="866"/>
      </w:tblGrid>
      <w:tr w:rsidR="00AF16E7" w:rsidRPr="00CF0D7D" w:rsidTr="006B0C9D">
        <w:trPr>
          <w:trHeight w:val="300"/>
        </w:trPr>
        <w:tc>
          <w:tcPr>
            <w:tcW w:w="3329" w:type="dxa"/>
            <w:gridSpan w:val="4"/>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 ÁREA RURAL DISPERSA</w:t>
            </w:r>
          </w:p>
        </w:tc>
        <w:tc>
          <w:tcPr>
            <w:tcW w:w="1032"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1012"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1536"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830"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
        </w:tc>
        <w:tc>
          <w:tcPr>
            <w:tcW w:w="963" w:type="dxa"/>
            <w:gridSpan w:val="2"/>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
        </w:tc>
        <w:tc>
          <w:tcPr>
            <w:tcW w:w="1032"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
        </w:tc>
        <w:tc>
          <w:tcPr>
            <w:tcW w:w="1012"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845F87" w:rsidTr="006B0C9D">
        <w:trPr>
          <w:trHeight w:val="300"/>
        </w:trPr>
        <w:tc>
          <w:tcPr>
            <w:tcW w:w="5373" w:type="dxa"/>
            <w:gridSpan w:val="6"/>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val="en-US" w:eastAsia="es-CO"/>
              </w:rPr>
            </w:pPr>
            <w:r w:rsidRPr="00CF0D7D">
              <w:rPr>
                <w:rFonts w:ascii="Arial Narrow" w:eastAsia="Times New Roman" w:hAnsi="Arial Narrow" w:cs="Times New Roman"/>
                <w:color w:val="000000"/>
                <w:sz w:val="20"/>
                <w:szCs w:val="20"/>
                <w:lang w:val="en-US" w:eastAsia="es-CO"/>
              </w:rPr>
              <w:t xml:space="preserve">Logistic regression                               Number of </w:t>
            </w:r>
            <w:proofErr w:type="spellStart"/>
            <w:r w:rsidRPr="00CF0D7D">
              <w:rPr>
                <w:rFonts w:ascii="Arial Narrow" w:eastAsia="Times New Roman" w:hAnsi="Arial Narrow" w:cs="Times New Roman"/>
                <w:color w:val="000000"/>
                <w:sz w:val="20"/>
                <w:szCs w:val="20"/>
                <w:lang w:val="en-US" w:eastAsia="es-CO"/>
              </w:rPr>
              <w:t>obs</w:t>
            </w:r>
            <w:proofErr w:type="spellEnd"/>
            <w:r w:rsidRPr="00CF0D7D">
              <w:rPr>
                <w:rFonts w:ascii="Arial Narrow" w:eastAsia="Times New Roman" w:hAnsi="Arial Narrow" w:cs="Times New Roman"/>
                <w:color w:val="000000"/>
                <w:sz w:val="20"/>
                <w:szCs w:val="20"/>
                <w:lang w:val="en-US" w:eastAsia="es-CO"/>
              </w:rPr>
              <w:t xml:space="preserve">   =       8948</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val="en-US" w:eastAsia="es-CO"/>
              </w:rPr>
            </w:pPr>
            <w:r w:rsidRPr="00CF0D7D">
              <w:rPr>
                <w:rFonts w:ascii="Arial Narrow" w:eastAsia="Times New Roman" w:hAnsi="Arial Narrow" w:cs="Times New Roman"/>
                <w:color w:val="000000"/>
                <w:sz w:val="20"/>
                <w:szCs w:val="20"/>
                <w:lang w:val="en-US" w:eastAsia="es-CO"/>
              </w:rPr>
              <w:t> </w:t>
            </w:r>
          </w:p>
        </w:tc>
      </w:tr>
      <w:tr w:rsidR="00AF16E7" w:rsidRPr="00CF0D7D" w:rsidTr="006B0C9D">
        <w:trPr>
          <w:trHeight w:val="300"/>
        </w:trPr>
        <w:tc>
          <w:tcPr>
            <w:tcW w:w="5373" w:type="dxa"/>
            <w:gridSpan w:val="6"/>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LR chi2(15)     =     496.65</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5373" w:type="dxa"/>
            <w:gridSpan w:val="6"/>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Prob</w:t>
            </w:r>
            <w:proofErr w:type="spellEnd"/>
            <w:r w:rsidRPr="00CF0D7D">
              <w:rPr>
                <w:rFonts w:ascii="Arial Narrow" w:eastAsia="Times New Roman" w:hAnsi="Arial Narrow" w:cs="Times New Roman"/>
                <w:color w:val="000000"/>
                <w:sz w:val="20"/>
                <w:szCs w:val="20"/>
                <w:lang w:eastAsia="es-CO"/>
              </w:rPr>
              <w:t xml:space="preserve"> &gt; chi2     =     0.0000</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5373" w:type="dxa"/>
            <w:gridSpan w:val="6"/>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xml:space="preserve">Log </w:t>
            </w:r>
            <w:proofErr w:type="spellStart"/>
            <w:r w:rsidRPr="00CF0D7D">
              <w:rPr>
                <w:rFonts w:ascii="Arial Narrow" w:eastAsia="Times New Roman" w:hAnsi="Arial Narrow" w:cs="Times New Roman"/>
                <w:color w:val="000000"/>
                <w:sz w:val="20"/>
                <w:szCs w:val="20"/>
                <w:lang w:eastAsia="es-CO"/>
              </w:rPr>
              <w:t>likelihood</w:t>
            </w:r>
            <w:proofErr w:type="spellEnd"/>
            <w:r w:rsidRPr="00CF0D7D">
              <w:rPr>
                <w:rFonts w:ascii="Arial Narrow" w:eastAsia="Times New Roman" w:hAnsi="Arial Narrow" w:cs="Times New Roman"/>
                <w:color w:val="000000"/>
                <w:sz w:val="20"/>
                <w:szCs w:val="20"/>
                <w:lang w:eastAsia="es-CO"/>
              </w:rPr>
              <w:t xml:space="preserve"> = -817.11173               </w:t>
            </w:r>
            <w:proofErr w:type="spellStart"/>
            <w:r w:rsidRPr="00CF0D7D">
              <w:rPr>
                <w:rFonts w:ascii="Arial Narrow" w:eastAsia="Times New Roman" w:hAnsi="Arial Narrow" w:cs="Times New Roman"/>
                <w:color w:val="000000"/>
                <w:sz w:val="20"/>
                <w:szCs w:val="20"/>
                <w:lang w:eastAsia="es-CO"/>
              </w:rPr>
              <w:t>Pseudo</w:t>
            </w:r>
            <w:proofErr w:type="spellEnd"/>
            <w:r w:rsidRPr="00CF0D7D">
              <w:rPr>
                <w:rFonts w:ascii="Arial Narrow" w:eastAsia="Times New Roman" w:hAnsi="Arial Narrow" w:cs="Times New Roman"/>
                <w:color w:val="000000"/>
                <w:sz w:val="20"/>
                <w:szCs w:val="20"/>
                <w:lang w:eastAsia="es-CO"/>
              </w:rPr>
              <w:t xml:space="preserve"> R2       =     0.2331</w:t>
            </w: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00"/>
        </w:trPr>
        <w:tc>
          <w:tcPr>
            <w:tcW w:w="1536"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1031" w:type="dxa"/>
            <w:gridSpan w:val="2"/>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3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1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15"/>
        </w:trPr>
        <w:tc>
          <w:tcPr>
            <w:tcW w:w="1536" w:type="dxa"/>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c>
          <w:tcPr>
            <w:tcW w:w="1031" w:type="dxa"/>
            <w:gridSpan w:val="2"/>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76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3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1012"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51"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927"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p>
        </w:tc>
        <w:tc>
          <w:tcPr>
            <w:tcW w:w="866" w:type="dxa"/>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 </w:t>
            </w:r>
          </w:p>
        </w:tc>
      </w:tr>
      <w:tr w:rsidR="00AF16E7" w:rsidRPr="00CF0D7D" w:rsidTr="006B0C9D">
        <w:trPr>
          <w:trHeight w:val="315"/>
        </w:trPr>
        <w:tc>
          <w:tcPr>
            <w:tcW w:w="1536"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internet</w:t>
            </w:r>
          </w:p>
        </w:tc>
        <w:tc>
          <w:tcPr>
            <w:tcW w:w="1031" w:type="dxa"/>
            <w:gridSpan w:val="2"/>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CF0D7D">
              <w:rPr>
                <w:rFonts w:ascii="Arial Narrow" w:eastAsia="Times New Roman" w:hAnsi="Arial Narrow" w:cs="Times New Roman"/>
                <w:b/>
                <w:color w:val="000000"/>
                <w:sz w:val="20"/>
                <w:szCs w:val="20"/>
                <w:lang w:eastAsia="es-CO"/>
              </w:rPr>
              <w:t>Coef</w:t>
            </w:r>
            <w:proofErr w:type="spellEnd"/>
            <w:r w:rsidRPr="00CF0D7D">
              <w:rPr>
                <w:rFonts w:ascii="Arial Narrow" w:eastAsia="Times New Roman" w:hAnsi="Arial Narrow" w:cs="Times New Roman"/>
                <w:b/>
                <w:color w:val="000000"/>
                <w:sz w:val="20"/>
                <w:szCs w:val="20"/>
                <w:lang w:eastAsia="es-CO"/>
              </w:rPr>
              <w:t>.</w:t>
            </w:r>
          </w:p>
        </w:tc>
        <w:tc>
          <w:tcPr>
            <w:tcW w:w="762"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CF0D7D">
              <w:rPr>
                <w:rFonts w:ascii="Arial Narrow" w:eastAsia="Times New Roman" w:hAnsi="Arial Narrow" w:cs="Times New Roman"/>
                <w:b/>
                <w:color w:val="000000"/>
                <w:sz w:val="20"/>
                <w:szCs w:val="20"/>
                <w:lang w:eastAsia="es-CO"/>
              </w:rPr>
              <w:t>Std.</w:t>
            </w:r>
            <w:proofErr w:type="spellEnd"/>
            <w:r w:rsidRPr="00CF0D7D">
              <w:rPr>
                <w:rFonts w:ascii="Arial Narrow" w:eastAsia="Times New Roman" w:hAnsi="Arial Narrow" w:cs="Times New Roman"/>
                <w:b/>
                <w:color w:val="000000"/>
                <w:sz w:val="20"/>
                <w:szCs w:val="20"/>
                <w:lang w:eastAsia="es-CO"/>
              </w:rPr>
              <w:t xml:space="preserve"> </w:t>
            </w:r>
            <w:proofErr w:type="spellStart"/>
            <w:r w:rsidRPr="00CF0D7D">
              <w:rPr>
                <w:rFonts w:ascii="Arial Narrow" w:eastAsia="Times New Roman" w:hAnsi="Arial Narrow" w:cs="Times New Roman"/>
                <w:b/>
                <w:color w:val="000000"/>
                <w:sz w:val="20"/>
                <w:szCs w:val="20"/>
                <w:lang w:eastAsia="es-CO"/>
              </w:rPr>
              <w:t>Err</w:t>
            </w:r>
            <w:proofErr w:type="spellEnd"/>
          </w:p>
        </w:tc>
        <w:tc>
          <w:tcPr>
            <w:tcW w:w="1032"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z</w:t>
            </w:r>
          </w:p>
        </w:tc>
        <w:tc>
          <w:tcPr>
            <w:tcW w:w="1012"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P&gt;z</w:t>
            </w:r>
          </w:p>
        </w:tc>
        <w:tc>
          <w:tcPr>
            <w:tcW w:w="1702" w:type="dxa"/>
            <w:gridSpan w:val="2"/>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 xml:space="preserve">[95% Conf. </w:t>
            </w:r>
            <w:proofErr w:type="spellStart"/>
            <w:r w:rsidRPr="00CF0D7D">
              <w:rPr>
                <w:rFonts w:ascii="Arial Narrow" w:eastAsia="Times New Roman" w:hAnsi="Arial Narrow" w:cs="Times New Roman"/>
                <w:b/>
                <w:color w:val="000000"/>
                <w:sz w:val="20"/>
                <w:szCs w:val="20"/>
                <w:lang w:eastAsia="es-CO"/>
              </w:rPr>
              <w:t>Interval</w:t>
            </w:r>
            <w:proofErr w:type="spellEnd"/>
            <w:r w:rsidRPr="00CF0D7D">
              <w:rPr>
                <w:rFonts w:ascii="Arial Narrow" w:eastAsia="Times New Roman" w:hAnsi="Arial Narrow" w:cs="Times New Roman"/>
                <w:b/>
                <w:color w:val="000000"/>
                <w:sz w:val="20"/>
                <w:szCs w:val="20"/>
                <w:lang w:eastAsia="es-CO"/>
              </w:rPr>
              <w:t>]</w:t>
            </w:r>
          </w:p>
        </w:tc>
        <w:tc>
          <w:tcPr>
            <w:tcW w:w="927"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proofErr w:type="spellStart"/>
            <w:r w:rsidRPr="00CF0D7D">
              <w:rPr>
                <w:rFonts w:ascii="Arial Narrow" w:eastAsia="Times New Roman" w:hAnsi="Arial Narrow" w:cs="Times New Roman"/>
                <w:b/>
                <w:color w:val="000000"/>
                <w:sz w:val="20"/>
                <w:szCs w:val="20"/>
                <w:lang w:eastAsia="es-CO"/>
              </w:rPr>
              <w:t>Odds</w:t>
            </w:r>
            <w:proofErr w:type="spellEnd"/>
            <w:r w:rsidRPr="00CF0D7D">
              <w:rPr>
                <w:rFonts w:ascii="Arial Narrow" w:eastAsia="Times New Roman" w:hAnsi="Arial Narrow" w:cs="Times New Roman"/>
                <w:b/>
                <w:color w:val="000000"/>
                <w:sz w:val="20"/>
                <w:szCs w:val="20"/>
                <w:lang w:eastAsia="es-CO"/>
              </w:rPr>
              <w:t xml:space="preserve"> Ratio</w:t>
            </w:r>
          </w:p>
        </w:tc>
        <w:tc>
          <w:tcPr>
            <w:tcW w:w="866" w:type="dxa"/>
            <w:tcBorders>
              <w:bottom w:val="single" w:sz="4" w:space="0" w:color="A6A6A6" w:themeColor="background1" w:themeShade="A6"/>
            </w:tcBorders>
            <w:shd w:val="clear" w:color="auto" w:fill="A6A6A6" w:themeFill="background1" w:themeFillShade="A6"/>
            <w:noWrap/>
            <w:vAlign w:val="bottom"/>
            <w:hideMark/>
          </w:tcPr>
          <w:p w:rsidR="00AF16E7" w:rsidRPr="00CF0D7D" w:rsidRDefault="00AF16E7" w:rsidP="006B0C9D">
            <w:pPr>
              <w:spacing w:before="0" w:line="240" w:lineRule="auto"/>
              <w:jc w:val="center"/>
              <w:rPr>
                <w:rFonts w:ascii="Arial Narrow" w:eastAsia="Times New Roman" w:hAnsi="Arial Narrow" w:cs="Times New Roman"/>
                <w:b/>
                <w:color w:val="000000"/>
                <w:sz w:val="20"/>
                <w:szCs w:val="20"/>
                <w:lang w:eastAsia="es-CO"/>
              </w:rPr>
            </w:pPr>
            <w:r w:rsidRPr="00CF0D7D">
              <w:rPr>
                <w:rFonts w:ascii="Arial Narrow" w:eastAsia="Times New Roman" w:hAnsi="Arial Narrow" w:cs="Times New Roman"/>
                <w:b/>
                <w:color w:val="000000"/>
                <w:sz w:val="20"/>
                <w:szCs w:val="20"/>
                <w:lang w:eastAsia="es-CO"/>
              </w:rPr>
              <w:t> </w:t>
            </w:r>
            <m:oMath>
              <m:r>
                <m:rPr>
                  <m:sty m:val="bi"/>
                </m:rPr>
                <w:rPr>
                  <w:rFonts w:ascii="Cambria Math" w:eastAsia="Times New Roman" w:hAnsi="Cambria Math" w:cs="Times New Roman"/>
                  <w:color w:val="000000"/>
                  <w:sz w:val="20"/>
                  <w:szCs w:val="20"/>
                  <w:lang w:eastAsia="es-CO"/>
                </w:rPr>
                <m:t>∆p</m:t>
              </m:r>
            </m:oMath>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t2012</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1.434</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0.196</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7.330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1.050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1.818</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4.196</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30.8%</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atlantica</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-0.647</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0.318</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-2.040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0.042</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-1.269</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-0.024</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0.524</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-15.6%</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oriental</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CF0D7D">
              <w:rPr>
                <w:rFonts w:ascii="Arial Narrow" w:eastAsia="Times New Roman" w:hAnsi="Arial Narrow" w:cs="Times New Roman"/>
                <w:color w:val="000000"/>
                <w:sz w:val="20"/>
                <w:szCs w:val="20"/>
                <w:lang w:eastAsia="es-CO"/>
              </w:rPr>
              <w:t>0.076</w:t>
            </w:r>
            <w:r w:rsidRPr="00CF0D7D">
              <w:rPr>
                <w:rFonts w:ascii="Arial Narrow" w:eastAsia="Times New Roman" w:hAnsi="Arial Narrow" w:cs="Times New Roman"/>
                <w:color w:val="000000"/>
                <w:sz w:val="20"/>
                <w:szCs w:val="20"/>
                <w:vertAlign w:val="superscript"/>
                <w:lang w:eastAsia="es-CO"/>
              </w:rPr>
              <w:t>NO</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0.209</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0.360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0.715</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-0.333</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0.485</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1.079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1.9%</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pacifica</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-0.935</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0.301</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-3.100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0.002</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-1.525</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-0.345</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0.393</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-21.8%</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antioquia</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CF0D7D">
              <w:rPr>
                <w:rFonts w:ascii="Arial Narrow" w:eastAsia="Times New Roman" w:hAnsi="Arial Narrow" w:cs="Times New Roman"/>
                <w:color w:val="000000"/>
                <w:sz w:val="20"/>
                <w:szCs w:val="20"/>
                <w:lang w:eastAsia="es-CO"/>
              </w:rPr>
              <w:t>0.171</w:t>
            </w:r>
            <w:r w:rsidRPr="00CF0D7D">
              <w:rPr>
                <w:rFonts w:ascii="Arial Narrow" w:eastAsia="Times New Roman" w:hAnsi="Arial Narrow" w:cs="Times New Roman"/>
                <w:color w:val="000000"/>
                <w:sz w:val="20"/>
                <w:szCs w:val="20"/>
                <w:vertAlign w:val="superscript"/>
                <w:lang w:eastAsia="es-CO"/>
              </w:rPr>
              <w:t>NO</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0.228</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0.750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0.453</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-0.276</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0.618</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1.187</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4.3%</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valle</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CF0D7D">
              <w:rPr>
                <w:rFonts w:ascii="Arial Narrow" w:eastAsia="Times New Roman" w:hAnsi="Arial Narrow" w:cs="Times New Roman"/>
                <w:color w:val="000000"/>
                <w:sz w:val="20"/>
                <w:szCs w:val="20"/>
                <w:lang w:eastAsia="es-CO"/>
              </w:rPr>
              <w:t>-0.031</w:t>
            </w:r>
            <w:r w:rsidRPr="00CF0D7D">
              <w:rPr>
                <w:rFonts w:ascii="Arial Narrow" w:eastAsia="Times New Roman" w:hAnsi="Arial Narrow" w:cs="Times New Roman"/>
                <w:color w:val="000000"/>
                <w:sz w:val="20"/>
                <w:szCs w:val="20"/>
                <w:vertAlign w:val="superscript"/>
                <w:lang w:eastAsia="es-CO"/>
              </w:rPr>
              <w:t>NO</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0.246</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-0.120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0.901</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-0.513</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0.452</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0.970</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educbas</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-0.699</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0.229</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-3.060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0.002</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-1.147</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-0.251</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0.497</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-16.8%</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educmed</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0.866</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0.162</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5.360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0.549</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1.183</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2.377</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20.4%</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eductec</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1.346</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0.245</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5.490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0.865</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1.827</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3.843</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29.4%</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educuniv</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2.151</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0.252</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8.540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1.657</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2.645</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8.594</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39.6%</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edad12_17</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0.682</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0.157</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4.350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0.375</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0.990</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1.979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16.4%</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edad18_34</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vertAlign w:val="superscript"/>
                <w:lang w:eastAsia="es-CO"/>
              </w:rPr>
            </w:pPr>
            <w:r w:rsidRPr="00CF0D7D">
              <w:rPr>
                <w:rFonts w:ascii="Arial Narrow" w:eastAsia="Times New Roman" w:hAnsi="Arial Narrow" w:cs="Times New Roman"/>
                <w:color w:val="000000"/>
                <w:sz w:val="20"/>
                <w:szCs w:val="20"/>
                <w:lang w:eastAsia="es-CO"/>
              </w:rPr>
              <w:t>-0.043</w:t>
            </w:r>
            <w:r w:rsidRPr="00CF0D7D">
              <w:rPr>
                <w:rFonts w:ascii="Arial Narrow" w:eastAsia="Times New Roman" w:hAnsi="Arial Narrow" w:cs="Times New Roman"/>
                <w:color w:val="000000"/>
                <w:sz w:val="20"/>
                <w:szCs w:val="20"/>
                <w:vertAlign w:val="superscript"/>
                <w:lang w:eastAsia="es-CO"/>
              </w:rPr>
              <w:t>NO</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0.167</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-0.260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0.798</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-0.370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0.284</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0.958</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-1.1%</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edad35_60</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0.357</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0.208</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1.720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0.086</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-0.050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0.764</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1.429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8.8%</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edad61mas</w:t>
            </w:r>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-0.386</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0.191</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-2.030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0.043</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-0.761</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-0.012</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0.679</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-9.5%</w:t>
            </w:r>
          </w:p>
        </w:tc>
      </w:tr>
      <w:tr w:rsidR="00AF16E7" w:rsidRPr="00CF0D7D" w:rsidTr="006B0C9D">
        <w:trPr>
          <w:trHeight w:val="300"/>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proofErr w:type="spellStart"/>
            <w:r w:rsidRPr="00CF0D7D">
              <w:rPr>
                <w:rFonts w:ascii="Arial Narrow" w:eastAsia="Times New Roman" w:hAnsi="Arial Narrow" w:cs="Times New Roman"/>
                <w:color w:val="000000"/>
                <w:sz w:val="20"/>
                <w:szCs w:val="20"/>
                <w:lang w:eastAsia="es-CO"/>
              </w:rPr>
              <w:t>ingreso_mill</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0.663</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0.085</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7.770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0.496</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0.830</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1.940</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16.0%</w:t>
            </w:r>
          </w:p>
        </w:tc>
      </w:tr>
      <w:tr w:rsidR="00AF16E7" w:rsidRPr="00CF0D7D" w:rsidTr="006B0C9D">
        <w:trPr>
          <w:trHeight w:val="315"/>
        </w:trPr>
        <w:tc>
          <w:tcPr>
            <w:tcW w:w="153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_</w:t>
            </w:r>
            <w:proofErr w:type="spellStart"/>
            <w:r w:rsidRPr="00CF0D7D">
              <w:rPr>
                <w:rFonts w:ascii="Arial Narrow" w:eastAsia="Times New Roman" w:hAnsi="Arial Narrow" w:cs="Times New Roman"/>
                <w:color w:val="000000"/>
                <w:sz w:val="20"/>
                <w:szCs w:val="20"/>
                <w:lang w:eastAsia="es-CO"/>
              </w:rPr>
              <w:t>cons</w:t>
            </w:r>
            <w:proofErr w:type="spellEnd"/>
          </w:p>
        </w:tc>
        <w:tc>
          <w:tcPr>
            <w:tcW w:w="1031" w:type="dxa"/>
            <w:gridSpan w:val="2"/>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-5.369</w:t>
            </w:r>
          </w:p>
        </w:tc>
        <w:tc>
          <w:tcPr>
            <w:tcW w:w="76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0.353</w:t>
            </w:r>
          </w:p>
        </w:tc>
        <w:tc>
          <w:tcPr>
            <w:tcW w:w="103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-15.200</w:t>
            </w:r>
          </w:p>
        </w:tc>
        <w:tc>
          <w:tcPr>
            <w:tcW w:w="1012"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0.000</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-6.062</w:t>
            </w:r>
          </w:p>
        </w:tc>
        <w:tc>
          <w:tcPr>
            <w:tcW w:w="851"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-4.677</w:t>
            </w:r>
          </w:p>
        </w:tc>
        <w:tc>
          <w:tcPr>
            <w:tcW w:w="927"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0.005</w:t>
            </w:r>
          </w:p>
        </w:tc>
        <w:tc>
          <w:tcPr>
            <w:tcW w:w="866" w:type="dxa"/>
            <w:tcBorders>
              <w:top w:val="single" w:sz="4" w:space="0" w:color="A6A6A6" w:themeColor="background1" w:themeShade="A6"/>
              <w:bottom w:val="single" w:sz="4" w:space="0" w:color="A6A6A6" w:themeColor="background1" w:themeShade="A6"/>
            </w:tcBorders>
            <w:shd w:val="clear" w:color="auto" w:fill="auto"/>
            <w:noWrap/>
            <w:vAlign w:val="bottom"/>
            <w:hideMark/>
          </w:tcPr>
          <w:p w:rsidR="00AF16E7" w:rsidRPr="00CF0D7D" w:rsidRDefault="00AF16E7" w:rsidP="006B0C9D">
            <w:pPr>
              <w:spacing w:before="0" w:line="240" w:lineRule="auto"/>
              <w:jc w:val="center"/>
              <w:rPr>
                <w:rFonts w:ascii="Arial Narrow" w:eastAsia="Times New Roman" w:hAnsi="Arial Narrow" w:cs="Times New Roman"/>
                <w:color w:val="000000"/>
                <w:sz w:val="20"/>
                <w:szCs w:val="20"/>
                <w:lang w:eastAsia="es-CO"/>
              </w:rPr>
            </w:pPr>
            <w:r w:rsidRPr="00CF0D7D">
              <w:rPr>
                <w:rFonts w:ascii="Arial Narrow" w:eastAsia="Times New Roman" w:hAnsi="Arial Narrow" w:cs="Times New Roman"/>
                <w:color w:val="000000"/>
                <w:sz w:val="20"/>
                <w:szCs w:val="20"/>
                <w:lang w:eastAsia="es-CO"/>
              </w:rPr>
              <w:t>-49.5%</w:t>
            </w:r>
          </w:p>
        </w:tc>
      </w:tr>
    </w:tbl>
    <w:p w:rsidR="00AF16E7" w:rsidRPr="00544B68" w:rsidRDefault="00AF16E7" w:rsidP="00AF16E7">
      <w:pPr>
        <w:spacing w:before="120" w:after="120"/>
        <w:jc w:val="center"/>
        <w:rPr>
          <w:rFonts w:ascii="Century Gothic" w:eastAsia="Calibri" w:hAnsi="Century Gothic" w:cs="Times New Roman"/>
          <w:color w:val="404040" w:themeColor="text1" w:themeTint="BF"/>
          <w:sz w:val="20"/>
          <w:szCs w:val="18"/>
        </w:rPr>
      </w:pPr>
      <w:r w:rsidRPr="00544B68">
        <w:rPr>
          <w:rFonts w:ascii="Century Gothic" w:eastAsia="Calibri" w:hAnsi="Century Gothic" w:cs="Times New Roman"/>
          <w:color w:val="404040" w:themeColor="text1" w:themeTint="BF"/>
          <w:sz w:val="20"/>
          <w:szCs w:val="18"/>
        </w:rPr>
        <w:t>Fuente: Elaboración propia</w:t>
      </w:r>
    </w:p>
    <w:p w:rsidR="00F90EAB" w:rsidRDefault="00F90EAB" w:rsidP="00EB7854">
      <w:pPr>
        <w:keepNext/>
        <w:keepLines/>
        <w:outlineLvl w:val="0"/>
        <w:rPr>
          <w:rFonts w:eastAsia="Times New Roman" w:cs="Times New Roman"/>
          <w:bCs/>
          <w:caps/>
          <w:color w:val="C00000"/>
          <w:szCs w:val="36"/>
          <w:lang w:eastAsia="es-ES"/>
        </w:rPr>
      </w:pPr>
    </w:p>
    <w:p w:rsidR="00756642" w:rsidRDefault="00756642" w:rsidP="001267EB">
      <w:pPr>
        <w:pStyle w:val="Titulocaptulo-Econometra"/>
        <w:pBdr>
          <w:bottom w:val="none" w:sz="0" w:space="0" w:color="auto"/>
        </w:pBdr>
        <w:contextualSpacing w:val="0"/>
        <w:rPr>
          <w:rFonts w:eastAsia="Times New Roman"/>
          <w:lang w:eastAsia="es-ES"/>
        </w:rPr>
      </w:pPr>
    </w:p>
    <w:p w:rsidR="00913F11" w:rsidRDefault="00913F11" w:rsidP="00913F11">
      <w:pPr>
        <w:rPr>
          <w:lang w:eastAsia="es-ES"/>
        </w:rPr>
      </w:pPr>
    </w:p>
    <w:p w:rsidR="00913F11" w:rsidRPr="00913F11" w:rsidRDefault="00913F11" w:rsidP="00913F11">
      <w:pPr>
        <w:rPr>
          <w:lang w:eastAsia="es-ES"/>
        </w:rPr>
      </w:pPr>
    </w:p>
    <w:p w:rsidR="00913F11" w:rsidRDefault="00913F11" w:rsidP="00913F11">
      <w:pPr>
        <w:rPr>
          <w:lang w:eastAsia="es-ES"/>
        </w:rPr>
      </w:pPr>
    </w:p>
    <w:p w:rsidR="00913F11" w:rsidRPr="00913F11" w:rsidRDefault="00913F11" w:rsidP="00913F11">
      <w:pPr>
        <w:rPr>
          <w:lang w:eastAsia="es-ES"/>
        </w:rPr>
      </w:pPr>
    </w:p>
    <w:p w:rsidR="001267EB" w:rsidRDefault="001267EB" w:rsidP="00F90EAB">
      <w:pPr>
        <w:pStyle w:val="Titulocaptulo-Econometra"/>
        <w:contextualSpacing w:val="0"/>
        <w:rPr>
          <w:rFonts w:eastAsia="Times New Roman"/>
          <w:lang w:eastAsia="es-ES"/>
        </w:rPr>
      </w:pPr>
    </w:p>
    <w:p w:rsidR="00F90EAB" w:rsidRPr="00F90EAB" w:rsidRDefault="007700A9" w:rsidP="00F90EAB">
      <w:pPr>
        <w:pStyle w:val="Titulocaptulo-Econometra"/>
        <w:contextualSpacing w:val="0"/>
        <w:rPr>
          <w:rFonts w:eastAsia="Times New Roman"/>
          <w:lang w:eastAsia="es-ES"/>
        </w:rPr>
      </w:pPr>
      <w:bookmarkStart w:id="182" w:name="_Toc405992328"/>
      <w:r w:rsidRPr="007700A9">
        <w:rPr>
          <w:rFonts w:eastAsia="Times New Roman"/>
          <w:lang w:eastAsia="es-ES"/>
        </w:rPr>
        <w:t xml:space="preserve">Anexo </w:t>
      </w:r>
      <w:r w:rsidR="00F90EAB">
        <w:rPr>
          <w:rFonts w:eastAsia="Times New Roman"/>
          <w:lang w:eastAsia="es-ES"/>
        </w:rPr>
        <w:t>A</w:t>
      </w:r>
      <w:r w:rsidR="00756642">
        <w:rPr>
          <w:rFonts w:eastAsia="Times New Roman"/>
          <w:lang w:eastAsia="es-ES"/>
        </w:rPr>
        <w:t>2</w:t>
      </w:r>
      <w:bookmarkEnd w:id="182"/>
      <w:r w:rsidRPr="007700A9">
        <w:rPr>
          <w:rFonts w:eastAsia="Times New Roman"/>
          <w:lang w:eastAsia="es-ES"/>
        </w:rPr>
        <w:t xml:space="preserve"> </w:t>
      </w:r>
    </w:p>
    <w:p w:rsidR="00F90EAB" w:rsidRDefault="00F90EAB" w:rsidP="00F90EAB">
      <w:pPr>
        <w:pStyle w:val="Titulocaptulo-Econometra"/>
        <w:rPr>
          <w:caps/>
        </w:rPr>
      </w:pPr>
      <w:bookmarkStart w:id="183" w:name="_Toc405992329"/>
      <w:r>
        <w:t>Metodología para la estimación de usuarios de Internet</w:t>
      </w:r>
      <w:bookmarkEnd w:id="183"/>
    </w:p>
    <w:p w:rsidR="00F90EAB" w:rsidRPr="000256A7" w:rsidRDefault="00F90EAB" w:rsidP="00F90EAB">
      <w:r w:rsidRPr="000256A7">
        <w:t>Como se pudo est</w:t>
      </w:r>
      <w:r>
        <w:t>ablecer a lo largo del Informe II</w:t>
      </w:r>
      <w:r w:rsidRPr="000256A7">
        <w:t>, cuando se trata de obtener información estadística confiable para la estimación del número de usuarios de Internet en Colombia, la metodología más apropiada y</w:t>
      </w:r>
      <w:r>
        <w:t>,</w:t>
      </w:r>
      <w:r w:rsidRPr="000256A7">
        <w:t xml:space="preserve"> considerada como ideal desde el punto de vista estadístico</w:t>
      </w:r>
      <w:r>
        <w:t>,</w:t>
      </w:r>
      <w:r w:rsidRPr="000256A7">
        <w:t xml:space="preserve"> es aquella que se hace a partir de la obtención de muestras representativas a través de encuestas. Esta metodología consiste en hacer estimaciones acerca de un parámetro, en este caso el número de usuarios de internet, a partir de una muestra o subconjunto de una población.  </w:t>
      </w:r>
    </w:p>
    <w:p w:rsidR="00F90EAB" w:rsidRPr="000256A7" w:rsidRDefault="00F90EAB" w:rsidP="00F90EAB">
      <w:r w:rsidRPr="000256A7">
        <w:t>La metodología de encuestas presenta las siguientes ventajas frente a cualquier método alternativo</w:t>
      </w:r>
      <w:r w:rsidRPr="000256A7">
        <w:rPr>
          <w:rStyle w:val="Refdenotaalpie"/>
        </w:rPr>
        <w:footnoteReference w:id="41"/>
      </w:r>
      <w:r w:rsidRPr="000256A7">
        <w:t xml:space="preserve">: </w:t>
      </w:r>
    </w:p>
    <w:p w:rsidR="00F90EAB" w:rsidRPr="000256A7" w:rsidRDefault="00F90EAB" w:rsidP="00F90EAB">
      <w:r w:rsidRPr="000256A7">
        <w:t xml:space="preserve">El parámetro estimado está directamente asociado a la población, que aplicado al presente contexto significa que se obtiene información directa de los usuarios y no indirecta </w:t>
      </w:r>
      <w:r w:rsidR="000E6591">
        <w:t>de los prestadores de servicios.</w:t>
      </w:r>
    </w:p>
    <w:p w:rsidR="00F90EAB" w:rsidRPr="000256A7" w:rsidRDefault="00F90EAB" w:rsidP="00F90EAB">
      <w:r w:rsidRPr="000256A7">
        <w:t>Las poblaciones de gran tamaño, como es el caso de un país, se rigen por la Ley de los Números Grandes, que señala que el promedio de una muestra aleatoria tiende a acercarse al promedio de la población;</w:t>
      </w:r>
    </w:p>
    <w:p w:rsidR="00F90EAB" w:rsidRPr="000256A7" w:rsidRDefault="00F90EAB" w:rsidP="00F90EAB">
      <w:r w:rsidRPr="000256A7">
        <w:t>El error estándar del promedio de la muestra depende del tamaño de la muestra (desviación estándar de la población/raíz cuadrada (muestra)); y</w:t>
      </w:r>
    </w:p>
    <w:p w:rsidR="00F90EAB" w:rsidRPr="000256A7" w:rsidRDefault="00F90EAB" w:rsidP="00F90EAB">
      <w:r w:rsidRPr="000256A7">
        <w:t xml:space="preserve">Económicamente, es factible repetir periódicamente la obtención de muestras sobre una cantidad significativa de individuos asegurando un margen de error y un intervalo de confianza apropiados. </w:t>
      </w:r>
    </w:p>
    <w:p w:rsidR="00F90EAB" w:rsidRPr="000256A7" w:rsidRDefault="00F90EAB" w:rsidP="00F90EAB">
      <w:r w:rsidRPr="000256A7">
        <w:t>En el contexto colombiano, es el DANE quien aplica la metodología de obtención de muestras representativa</w:t>
      </w:r>
      <w:r>
        <w:t xml:space="preserve">s a través de la aplicación de </w:t>
      </w:r>
      <w:r w:rsidRPr="000256A7">
        <w:t xml:space="preserve">su ECV (Encuesta de Calidad de Vida). Esta encuesta que se lleva a cabo con una periodicidad anual entre el 1 de </w:t>
      </w:r>
      <w:r w:rsidRPr="000256A7">
        <w:lastRenderedPageBreak/>
        <w:t>septiembre y el 31 de octubre de cada año, se publica entre los meses de marzo y abril del siguiente año</w:t>
      </w:r>
      <w:r w:rsidRPr="000256A7">
        <w:rPr>
          <w:noProof/>
        </w:rPr>
        <w:t xml:space="preserve"> (DANE, 2013)</w:t>
      </w:r>
      <w:r w:rsidRPr="000256A7">
        <w:t xml:space="preserve">. Este dato es por tanto la referencia más cercana y precisa al número de usuarios al cierre de cada año.   </w:t>
      </w:r>
    </w:p>
    <w:p w:rsidR="00F90EAB" w:rsidRPr="000256A7" w:rsidRDefault="00F90EAB" w:rsidP="00F90EAB">
      <w:r w:rsidRPr="000256A7">
        <w:t xml:space="preserve">El DANE ha venido reportando a la Unión Internacional de Telecomunicaciones -UIT- información estadística desde el año 2008, para el estimativo del indicador Porcentaje de Individuos utilizando Internet; datos que se relacionan a continuación: </w:t>
      </w:r>
    </w:p>
    <w:p w:rsidR="00F90EAB" w:rsidRDefault="00F90EAB" w:rsidP="00F90EAB">
      <w:pPr>
        <w:pStyle w:val="T-Figura"/>
      </w:pPr>
      <w:r w:rsidRPr="00847EBD">
        <w:t xml:space="preserve">Cuadro </w:t>
      </w:r>
      <w:r w:rsidR="00F5042C">
        <w:t>A2</w:t>
      </w:r>
      <w:r w:rsidRPr="00847EBD">
        <w:t xml:space="preserve">.1 </w:t>
      </w:r>
      <w:r>
        <w:t>–</w:t>
      </w:r>
      <w:r w:rsidRPr="00847EBD">
        <w:t xml:space="preserve"> </w:t>
      </w:r>
      <w:r>
        <w:t>Porcentaje de Individuos u</w:t>
      </w:r>
      <w:r w:rsidRPr="009D6029">
        <w:t>tilizando Internet -  Colombia</w:t>
      </w:r>
    </w:p>
    <w:tbl>
      <w:tblPr>
        <w:tblW w:w="4980" w:type="dxa"/>
        <w:jc w:val="center"/>
        <w:tblCellMar>
          <w:left w:w="70" w:type="dxa"/>
          <w:right w:w="70" w:type="dxa"/>
        </w:tblCellMar>
        <w:tblLook w:val="00A0"/>
      </w:tblPr>
      <w:tblGrid>
        <w:gridCol w:w="1140"/>
        <w:gridCol w:w="3840"/>
      </w:tblGrid>
      <w:tr w:rsidR="00F90EAB" w:rsidRPr="00DA3891" w:rsidTr="00F90EAB">
        <w:trPr>
          <w:trHeight w:val="286"/>
          <w:jc w:val="center"/>
        </w:trPr>
        <w:tc>
          <w:tcPr>
            <w:tcW w:w="1140" w:type="dxa"/>
            <w:tcBorders>
              <w:bottom w:val="single" w:sz="4" w:space="0" w:color="A6A6A6"/>
            </w:tcBorders>
            <w:shd w:val="clear" w:color="auto" w:fill="A6A6A6"/>
            <w:noWrap/>
            <w:vAlign w:val="bottom"/>
          </w:tcPr>
          <w:p w:rsidR="00F90EAB" w:rsidRPr="00DA3891" w:rsidRDefault="00F90EAB" w:rsidP="00F90EAB">
            <w:pPr>
              <w:spacing w:line="240" w:lineRule="auto"/>
              <w:jc w:val="center"/>
              <w:rPr>
                <w:rFonts w:ascii="Arial Narrow" w:hAnsi="Arial Narrow" w:cs="Calibri"/>
                <w:b/>
                <w:bCs/>
                <w:color w:val="000000"/>
                <w:sz w:val="20"/>
                <w:szCs w:val="20"/>
                <w:lang w:eastAsia="es-CO"/>
              </w:rPr>
            </w:pPr>
            <w:r w:rsidRPr="00DA3891">
              <w:rPr>
                <w:rFonts w:ascii="Arial Narrow" w:hAnsi="Arial Narrow" w:cs="Calibri"/>
                <w:b/>
                <w:bCs/>
                <w:color w:val="000000"/>
                <w:sz w:val="20"/>
                <w:szCs w:val="20"/>
                <w:lang w:eastAsia="es-CO"/>
              </w:rPr>
              <w:t>Año</w:t>
            </w:r>
          </w:p>
        </w:tc>
        <w:tc>
          <w:tcPr>
            <w:tcW w:w="3840" w:type="dxa"/>
            <w:tcBorders>
              <w:bottom w:val="single" w:sz="4" w:space="0" w:color="A6A6A6"/>
            </w:tcBorders>
            <w:shd w:val="clear" w:color="auto" w:fill="A6A6A6"/>
            <w:noWrap/>
            <w:vAlign w:val="bottom"/>
          </w:tcPr>
          <w:p w:rsidR="00F90EAB" w:rsidRPr="00DA3891" w:rsidRDefault="00F90EAB" w:rsidP="00F90EAB">
            <w:pPr>
              <w:spacing w:line="240" w:lineRule="auto"/>
              <w:jc w:val="center"/>
              <w:rPr>
                <w:rFonts w:ascii="Arial Narrow" w:hAnsi="Arial Narrow" w:cs="Calibri"/>
                <w:b/>
                <w:bCs/>
                <w:color w:val="000000"/>
                <w:sz w:val="20"/>
                <w:szCs w:val="20"/>
                <w:lang w:eastAsia="es-CO"/>
              </w:rPr>
            </w:pPr>
            <w:r w:rsidRPr="00DA3891">
              <w:rPr>
                <w:rFonts w:ascii="Arial Narrow" w:hAnsi="Arial Narrow" w:cs="Calibri"/>
                <w:b/>
                <w:bCs/>
                <w:color w:val="000000"/>
                <w:sz w:val="20"/>
                <w:szCs w:val="20"/>
                <w:lang w:eastAsia="es-CO"/>
              </w:rPr>
              <w:t>Porcentaje de Individuos utilizando Internet</w:t>
            </w:r>
          </w:p>
        </w:tc>
      </w:tr>
      <w:tr w:rsidR="00F90EAB" w:rsidRPr="00DA3891" w:rsidTr="00F90EAB">
        <w:trPr>
          <w:trHeight w:val="286"/>
          <w:jc w:val="center"/>
        </w:trPr>
        <w:tc>
          <w:tcPr>
            <w:tcW w:w="1140" w:type="dxa"/>
            <w:tcBorders>
              <w:top w:val="single" w:sz="4" w:space="0" w:color="A6A6A6"/>
              <w:bottom w:val="single" w:sz="4" w:space="0" w:color="A6A6A6"/>
            </w:tcBorders>
            <w:noWrap/>
            <w:vAlign w:val="center"/>
          </w:tcPr>
          <w:p w:rsidR="00F90EAB" w:rsidRPr="00DA3891" w:rsidRDefault="00F90EAB" w:rsidP="00F90EAB">
            <w:pPr>
              <w:spacing w:before="0" w:line="240" w:lineRule="auto"/>
              <w:jc w:val="left"/>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2008</w:t>
            </w:r>
          </w:p>
        </w:tc>
        <w:tc>
          <w:tcPr>
            <w:tcW w:w="3840" w:type="dxa"/>
            <w:tcBorders>
              <w:top w:val="single" w:sz="4" w:space="0" w:color="A6A6A6"/>
              <w:bottom w:val="single" w:sz="4" w:space="0" w:color="A6A6A6"/>
            </w:tcBorders>
            <w:vAlign w:val="center"/>
          </w:tcPr>
          <w:p w:rsidR="00F90EAB" w:rsidRPr="00DA3891" w:rsidRDefault="00F90EAB" w:rsidP="00F90EAB">
            <w:pPr>
              <w:spacing w:before="0" w:line="240" w:lineRule="auto"/>
              <w:jc w:val="center"/>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25,60</w:t>
            </w:r>
          </w:p>
        </w:tc>
      </w:tr>
      <w:tr w:rsidR="00F90EAB" w:rsidRPr="00DA3891" w:rsidTr="00F90EAB">
        <w:trPr>
          <w:trHeight w:val="286"/>
          <w:jc w:val="center"/>
        </w:trPr>
        <w:tc>
          <w:tcPr>
            <w:tcW w:w="1140" w:type="dxa"/>
            <w:tcBorders>
              <w:top w:val="single" w:sz="4" w:space="0" w:color="A6A6A6"/>
              <w:bottom w:val="single" w:sz="4" w:space="0" w:color="A6A6A6"/>
            </w:tcBorders>
            <w:noWrap/>
            <w:vAlign w:val="center"/>
          </w:tcPr>
          <w:p w:rsidR="00F90EAB" w:rsidRPr="00DA3891" w:rsidRDefault="00F90EAB" w:rsidP="00F90EAB">
            <w:pPr>
              <w:spacing w:before="0" w:line="240" w:lineRule="auto"/>
              <w:jc w:val="left"/>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2009</w:t>
            </w:r>
          </w:p>
        </w:tc>
        <w:tc>
          <w:tcPr>
            <w:tcW w:w="3840" w:type="dxa"/>
            <w:tcBorders>
              <w:top w:val="single" w:sz="4" w:space="0" w:color="A6A6A6"/>
              <w:bottom w:val="single" w:sz="4" w:space="0" w:color="A6A6A6"/>
            </w:tcBorders>
            <w:vAlign w:val="center"/>
          </w:tcPr>
          <w:p w:rsidR="00F90EAB" w:rsidRPr="00DA3891" w:rsidRDefault="00F90EAB" w:rsidP="00F90EAB">
            <w:pPr>
              <w:spacing w:before="0" w:line="240" w:lineRule="auto"/>
              <w:jc w:val="center"/>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30,00</w:t>
            </w:r>
          </w:p>
        </w:tc>
      </w:tr>
      <w:tr w:rsidR="00F90EAB" w:rsidRPr="00DA3891" w:rsidTr="00F90EAB">
        <w:trPr>
          <w:trHeight w:val="286"/>
          <w:jc w:val="center"/>
        </w:trPr>
        <w:tc>
          <w:tcPr>
            <w:tcW w:w="1140" w:type="dxa"/>
            <w:tcBorders>
              <w:top w:val="single" w:sz="4" w:space="0" w:color="A6A6A6"/>
              <w:bottom w:val="single" w:sz="4" w:space="0" w:color="A6A6A6"/>
            </w:tcBorders>
            <w:noWrap/>
            <w:vAlign w:val="center"/>
          </w:tcPr>
          <w:p w:rsidR="00F90EAB" w:rsidRPr="00DA3891" w:rsidRDefault="00F90EAB" w:rsidP="00F90EAB">
            <w:pPr>
              <w:spacing w:before="0" w:line="240" w:lineRule="auto"/>
              <w:jc w:val="left"/>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2010</w:t>
            </w:r>
          </w:p>
        </w:tc>
        <w:tc>
          <w:tcPr>
            <w:tcW w:w="3840" w:type="dxa"/>
            <w:tcBorders>
              <w:top w:val="single" w:sz="4" w:space="0" w:color="A6A6A6"/>
              <w:bottom w:val="single" w:sz="4" w:space="0" w:color="A6A6A6"/>
            </w:tcBorders>
            <w:vAlign w:val="center"/>
          </w:tcPr>
          <w:p w:rsidR="00F90EAB" w:rsidRPr="00DA3891" w:rsidRDefault="00F90EAB" w:rsidP="00F90EAB">
            <w:pPr>
              <w:spacing w:before="0" w:line="240" w:lineRule="auto"/>
              <w:jc w:val="center"/>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36,50</w:t>
            </w:r>
          </w:p>
        </w:tc>
      </w:tr>
      <w:tr w:rsidR="00F90EAB" w:rsidRPr="00DA3891" w:rsidTr="00F90EAB">
        <w:trPr>
          <w:trHeight w:val="286"/>
          <w:jc w:val="center"/>
        </w:trPr>
        <w:tc>
          <w:tcPr>
            <w:tcW w:w="1140" w:type="dxa"/>
            <w:tcBorders>
              <w:top w:val="single" w:sz="4" w:space="0" w:color="A6A6A6"/>
              <w:bottom w:val="single" w:sz="4" w:space="0" w:color="A6A6A6"/>
            </w:tcBorders>
            <w:noWrap/>
            <w:vAlign w:val="center"/>
          </w:tcPr>
          <w:p w:rsidR="00F90EAB" w:rsidRPr="00DA3891" w:rsidRDefault="00F90EAB" w:rsidP="00F90EAB">
            <w:pPr>
              <w:spacing w:before="0" w:line="240" w:lineRule="auto"/>
              <w:jc w:val="left"/>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2011</w:t>
            </w:r>
          </w:p>
        </w:tc>
        <w:tc>
          <w:tcPr>
            <w:tcW w:w="3840" w:type="dxa"/>
            <w:tcBorders>
              <w:top w:val="single" w:sz="4" w:space="0" w:color="A6A6A6"/>
              <w:bottom w:val="single" w:sz="4" w:space="0" w:color="A6A6A6"/>
            </w:tcBorders>
            <w:vAlign w:val="center"/>
          </w:tcPr>
          <w:p w:rsidR="00F90EAB" w:rsidRPr="00DA3891" w:rsidRDefault="00F90EAB" w:rsidP="00F90EAB">
            <w:pPr>
              <w:spacing w:before="0" w:line="240" w:lineRule="auto"/>
              <w:jc w:val="center"/>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40,40</w:t>
            </w:r>
          </w:p>
        </w:tc>
      </w:tr>
      <w:tr w:rsidR="00F90EAB" w:rsidRPr="00DA3891" w:rsidTr="00F90EAB">
        <w:trPr>
          <w:trHeight w:val="286"/>
          <w:jc w:val="center"/>
        </w:trPr>
        <w:tc>
          <w:tcPr>
            <w:tcW w:w="1140" w:type="dxa"/>
            <w:tcBorders>
              <w:top w:val="single" w:sz="4" w:space="0" w:color="A6A6A6"/>
              <w:bottom w:val="single" w:sz="4" w:space="0" w:color="A6A6A6"/>
            </w:tcBorders>
            <w:noWrap/>
            <w:vAlign w:val="center"/>
          </w:tcPr>
          <w:p w:rsidR="00F90EAB" w:rsidRPr="00DA3891" w:rsidRDefault="00F90EAB" w:rsidP="00F90EAB">
            <w:pPr>
              <w:spacing w:before="0" w:line="240" w:lineRule="auto"/>
              <w:jc w:val="left"/>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2012</w:t>
            </w:r>
          </w:p>
        </w:tc>
        <w:tc>
          <w:tcPr>
            <w:tcW w:w="3840" w:type="dxa"/>
            <w:tcBorders>
              <w:top w:val="single" w:sz="4" w:space="0" w:color="A6A6A6"/>
              <w:bottom w:val="single" w:sz="4" w:space="0" w:color="A6A6A6"/>
            </w:tcBorders>
            <w:vAlign w:val="center"/>
          </w:tcPr>
          <w:p w:rsidR="00F90EAB" w:rsidRPr="00DA3891" w:rsidRDefault="00F90EAB" w:rsidP="00F90EAB">
            <w:pPr>
              <w:spacing w:before="0" w:line="240" w:lineRule="auto"/>
              <w:jc w:val="center"/>
              <w:rPr>
                <w:rFonts w:ascii="Arial Narrow" w:hAnsi="Arial Narrow" w:cs="Calibri"/>
                <w:color w:val="000000"/>
                <w:sz w:val="20"/>
                <w:szCs w:val="20"/>
                <w:lang w:eastAsia="es-CO"/>
              </w:rPr>
            </w:pPr>
            <w:r w:rsidRPr="00DA3891">
              <w:rPr>
                <w:rFonts w:ascii="Arial Narrow" w:hAnsi="Arial Narrow" w:cs="Calibri"/>
                <w:color w:val="000000"/>
                <w:sz w:val="20"/>
                <w:szCs w:val="20"/>
                <w:lang w:eastAsia="es-CO"/>
              </w:rPr>
              <w:t>48,98</w:t>
            </w:r>
          </w:p>
        </w:tc>
      </w:tr>
    </w:tbl>
    <w:p w:rsidR="00F90EAB" w:rsidRPr="00544B68" w:rsidRDefault="00F90EAB" w:rsidP="00F90EAB">
      <w:pPr>
        <w:spacing w:before="120" w:after="120"/>
        <w:jc w:val="center"/>
        <w:rPr>
          <w:rFonts w:ascii="Century Gothic" w:hAnsi="Century Gothic"/>
          <w:color w:val="404040"/>
          <w:sz w:val="20"/>
          <w:szCs w:val="18"/>
        </w:rPr>
      </w:pPr>
      <w:r w:rsidRPr="00544B68">
        <w:rPr>
          <w:rFonts w:ascii="Century Gothic" w:hAnsi="Century Gothic"/>
          <w:color w:val="404040"/>
          <w:sz w:val="20"/>
          <w:szCs w:val="18"/>
        </w:rPr>
        <w:t>Fuente: (ITU, 2013 c</w:t>
      </w:r>
      <w:proofErr w:type="gramStart"/>
      <w:r w:rsidRPr="00544B68">
        <w:rPr>
          <w:rFonts w:ascii="Century Gothic" w:hAnsi="Century Gothic"/>
          <w:color w:val="404040"/>
          <w:sz w:val="20"/>
          <w:szCs w:val="18"/>
        </w:rPr>
        <w:t>)(</w:t>
      </w:r>
      <w:proofErr w:type="gramEnd"/>
      <w:r w:rsidRPr="00544B68">
        <w:rPr>
          <w:rFonts w:ascii="Century Gothic" w:hAnsi="Century Gothic"/>
          <w:color w:val="404040"/>
          <w:sz w:val="20"/>
          <w:szCs w:val="18"/>
        </w:rPr>
        <w:t>DANE, 2013)</w:t>
      </w:r>
    </w:p>
    <w:p w:rsidR="00F90EAB" w:rsidRPr="002F513B" w:rsidRDefault="00F90EAB" w:rsidP="00F90EAB">
      <w:r w:rsidRPr="002F513B">
        <w:t>Esta información, considerando como base la fecha de realización de muestra en campo, es adecuada a efectos de establecer el número de usuarios de Internet en Colombia</w:t>
      </w:r>
      <w:r w:rsidRPr="002F513B">
        <w:rPr>
          <w:rStyle w:val="Refdenotaalpie"/>
        </w:rPr>
        <w:footnoteReference w:id="42"/>
      </w:r>
      <w:r w:rsidRPr="002F513B">
        <w:t>.</w:t>
      </w:r>
    </w:p>
    <w:p w:rsidR="00F90EAB" w:rsidRPr="002F513B" w:rsidRDefault="00F90EAB" w:rsidP="00F90EAB">
      <w:r w:rsidRPr="002F513B">
        <w:t>De otra parte, podría ser del interés del MINTIC hacer estimaciones trimestrales del número de usuarios de Internet en Colombia, apoyado en la información suministrada por los prestadores de servicios a través de los reportes periódicos del número de cuentas de suscriptores de Internet a través de los servicios de acceso fijo y móvil (3G y superiores) en pospago (suscriptores Vive Digital).</w:t>
      </w:r>
    </w:p>
    <w:p w:rsidR="00F90EAB" w:rsidRPr="002F513B" w:rsidRDefault="00F90EAB" w:rsidP="00F90EAB">
      <w:r w:rsidRPr="002F513B">
        <w:t xml:space="preserve">En </w:t>
      </w:r>
      <w:r>
        <w:t>el análisis desarrollado en el I</w:t>
      </w:r>
      <w:r w:rsidRPr="002F513B">
        <w:t xml:space="preserve">nforme </w:t>
      </w:r>
      <w:r>
        <w:t>II</w:t>
      </w:r>
      <w:r w:rsidRPr="002F513B">
        <w:t xml:space="preserve"> se evidenció que aunque la información suministrada por los prestadores de servicios puede ser útil para establecer una tendencia, dicha información no es suficiente para estimar  el número de usuarios de Internet en un país, debido a que a partir de dicha información no es posible determinar si un usuario accede Internet a través de diferentes formas de acceso y/o cuenta con múltiples suscripciones, efecto para el cual se requeriría realizar ejercicios estadísticos complementarios que en últimas terminan siendo complejos y demorados, además de que ya se tiene una medida directa anual a través del DANE. </w:t>
      </w:r>
    </w:p>
    <w:p w:rsidR="00F90EAB" w:rsidRPr="002F513B" w:rsidRDefault="00F90EAB" w:rsidP="00F90EAB">
      <w:r w:rsidRPr="002F513B">
        <w:lastRenderedPageBreak/>
        <w:t xml:space="preserve">Entonces, surge la pregunta, ¿cómo aprovechar la confiabilidad que ofrece la información proporcionada por el DANE que es de periodicidad anual y aprovechar también la información suministrada por los prestadores de servicios para obtener un dato confiable acerca de la estimación del número de usuarios de Internet en Colombia, en periodicidades inferiores a un año (ejemplo: trimestrales) entre muestra y muestra del DANE? </w:t>
      </w:r>
    </w:p>
    <w:p w:rsidR="00F90EAB" w:rsidRPr="002F513B" w:rsidRDefault="00F90EAB" w:rsidP="00F90EAB">
      <w:r w:rsidRPr="002F513B">
        <w:t xml:space="preserve">Antes de entrar a considerar la metodología apropiada para dar respuesta a la pregunta anterior, resulta importante entender el comportamiento de las estadísticas proporcionadas tanto por el DANE como por los </w:t>
      </w:r>
      <w:r w:rsidR="000E6591">
        <w:t>p</w:t>
      </w:r>
      <w:r w:rsidR="000E6591" w:rsidRPr="000E6591">
        <w:t>roveedores de redes y servicios de telecomunicaciones</w:t>
      </w:r>
      <w:proofErr w:type="gramStart"/>
      <w:r w:rsidR="000E6591" w:rsidRPr="000E6591">
        <w:t>.</w:t>
      </w:r>
      <w:r w:rsidRPr="002F513B">
        <w:t>.</w:t>
      </w:r>
      <w:proofErr w:type="gramEnd"/>
      <w:r w:rsidRPr="002F513B">
        <w:t xml:space="preserve">  La gráfica que se muestra a continuación, presenta la evolución en el tiempo del Porcentaje de Individuos utilizando Internet. </w:t>
      </w:r>
    </w:p>
    <w:p w:rsidR="00F90EAB" w:rsidRDefault="00F90EAB" w:rsidP="00F90EAB">
      <w:pPr>
        <w:pStyle w:val="T-Figura"/>
        <w:rPr>
          <w:noProof/>
          <w:lang w:eastAsia="es-CO"/>
        </w:rPr>
      </w:pPr>
      <w:r w:rsidRPr="00847EBD">
        <w:t xml:space="preserve">Figura </w:t>
      </w:r>
      <w:r w:rsidR="00C85F33">
        <w:t>A2.1</w:t>
      </w:r>
      <w:r w:rsidRPr="00847EBD">
        <w:t xml:space="preserve"> </w:t>
      </w:r>
      <w:r>
        <w:t>–</w:t>
      </w:r>
      <w:r w:rsidRPr="00847EBD">
        <w:t xml:space="preserve"> </w:t>
      </w:r>
      <w:r>
        <w:t>Evolución penetración Internet (uso)</w:t>
      </w:r>
    </w:p>
    <w:p w:rsidR="00F90EAB" w:rsidRDefault="00F90EAB" w:rsidP="00F90EAB">
      <w:pPr>
        <w:rPr>
          <w:noProof/>
          <w:lang w:val="es-CO" w:eastAsia="es-CO"/>
        </w:rPr>
      </w:pPr>
      <w:r>
        <w:rPr>
          <w:noProof/>
          <w:lang w:val="es-CO" w:eastAsia="es-CO"/>
        </w:rPr>
        <w:drawing>
          <wp:inline distT="0" distB="0" distL="0" distR="0">
            <wp:extent cx="5610225" cy="365760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0225" cy="3657600"/>
                    </a:xfrm>
                    <a:prstGeom prst="rect">
                      <a:avLst/>
                    </a:prstGeom>
                    <a:noFill/>
                    <a:ln>
                      <a:noFill/>
                    </a:ln>
                  </pic:spPr>
                </pic:pic>
              </a:graphicData>
            </a:graphic>
          </wp:inline>
        </w:drawing>
      </w:r>
    </w:p>
    <w:p w:rsidR="00F90EAB" w:rsidRPr="00544B68" w:rsidRDefault="00F90EAB" w:rsidP="00F90EAB">
      <w:pPr>
        <w:jc w:val="center"/>
        <w:rPr>
          <w:rFonts w:ascii="Century Gothic" w:hAnsi="Century Gothic"/>
          <w:color w:val="404040"/>
          <w:sz w:val="20"/>
          <w:szCs w:val="18"/>
        </w:rPr>
      </w:pPr>
      <w:r w:rsidRPr="00544B68">
        <w:rPr>
          <w:rFonts w:ascii="Century Gothic" w:hAnsi="Century Gothic"/>
          <w:color w:val="404040"/>
          <w:sz w:val="20"/>
          <w:szCs w:val="18"/>
        </w:rPr>
        <w:t>Fuente: Elaboración propia basado en datos DANE (DANE, 2013)</w:t>
      </w:r>
    </w:p>
    <w:p w:rsidR="00F90EAB" w:rsidRPr="002F513B" w:rsidRDefault="00F90EAB" w:rsidP="00F90EAB">
      <w:r w:rsidRPr="002F513B">
        <w:t xml:space="preserve">La </w:t>
      </w:r>
      <w:r>
        <w:t>figura</w:t>
      </w:r>
      <w:r w:rsidRPr="002F513B">
        <w:t xml:space="preserve"> muestra que la colección de puntos presentada se puede modelar a través de una regresión lineal representada por la ecuación:</w:t>
      </w:r>
    </w:p>
    <w:p w:rsidR="00F90EAB" w:rsidRPr="00AA7E2E" w:rsidRDefault="00F90EAB" w:rsidP="00F90EAB">
      <w:pPr>
        <w:jc w:val="center"/>
      </w:pPr>
      <w:r w:rsidRPr="00AA7E2E">
        <w:rPr>
          <w:b/>
          <w:i/>
        </w:rPr>
        <w:t>y</w:t>
      </w:r>
      <w:r w:rsidRPr="00AA7E2E">
        <w:t xml:space="preserve">= 5,7169 </w:t>
      </w:r>
      <w:r w:rsidRPr="00AA7E2E">
        <w:rPr>
          <w:b/>
          <w:i/>
        </w:rPr>
        <w:t xml:space="preserve">x </w:t>
      </w:r>
      <w:r w:rsidRPr="00AA7E2E">
        <w:t>- 11455</w:t>
      </w:r>
    </w:p>
    <w:p w:rsidR="00F90EAB" w:rsidRDefault="00F90EAB" w:rsidP="00F90EAB">
      <w:r w:rsidRPr="002F513B">
        <w:lastRenderedPageBreak/>
        <w:t>En donde</w:t>
      </w:r>
      <w:r>
        <w:t>:</w:t>
      </w:r>
      <w:r w:rsidRPr="002F513B">
        <w:t xml:space="preserve"> </w:t>
      </w:r>
    </w:p>
    <w:p w:rsidR="00F90EAB" w:rsidRDefault="00F90EAB" w:rsidP="0020708C">
      <w:pPr>
        <w:numPr>
          <w:ilvl w:val="0"/>
          <w:numId w:val="17"/>
        </w:numPr>
      </w:pPr>
      <w:r w:rsidRPr="002F513B">
        <w:rPr>
          <w:b/>
          <w:i/>
        </w:rPr>
        <w:t>y</w:t>
      </w:r>
      <w:r w:rsidRPr="002F513B">
        <w:rPr>
          <w:i/>
        </w:rPr>
        <w:t xml:space="preserve"> </w:t>
      </w:r>
      <w:r w:rsidRPr="002F513B">
        <w:t>es el Porcentaje de individuos utilizando Internet</w:t>
      </w:r>
      <w:r>
        <w:t>;</w:t>
      </w:r>
      <w:r w:rsidRPr="002F513B">
        <w:t xml:space="preserve"> </w:t>
      </w:r>
    </w:p>
    <w:p w:rsidR="00F90EAB" w:rsidRDefault="00F90EAB" w:rsidP="0020708C">
      <w:pPr>
        <w:numPr>
          <w:ilvl w:val="0"/>
          <w:numId w:val="17"/>
        </w:numPr>
      </w:pPr>
      <w:r w:rsidRPr="002F513B">
        <w:rPr>
          <w:b/>
          <w:i/>
        </w:rPr>
        <w:t>x</w:t>
      </w:r>
      <w:r w:rsidRPr="002F513B">
        <w:rPr>
          <w:b/>
        </w:rPr>
        <w:t xml:space="preserve"> </w:t>
      </w:r>
      <w:r w:rsidRPr="002F513B">
        <w:t>corresponde al año</w:t>
      </w:r>
      <w:r>
        <w:t>; y</w:t>
      </w:r>
    </w:p>
    <w:p w:rsidR="00F90EAB" w:rsidRPr="002F513B" w:rsidRDefault="00F90EAB" w:rsidP="0020708C">
      <w:pPr>
        <w:numPr>
          <w:ilvl w:val="0"/>
          <w:numId w:val="17"/>
        </w:numPr>
      </w:pPr>
      <w:r>
        <w:t>El coeficiente de determinación (</w:t>
      </w:r>
      <w:r w:rsidRPr="00E4426B">
        <w:t>R</w:t>
      </w:r>
      <w:r>
        <w:rPr>
          <w:vertAlign w:val="superscript"/>
        </w:rPr>
        <w:t>2</w:t>
      </w:r>
      <w:r w:rsidRPr="00E4426B">
        <w:t xml:space="preserve">) </w:t>
      </w:r>
      <w:r w:rsidRPr="00A36444">
        <w:t xml:space="preserve">es de </w:t>
      </w:r>
      <w:r w:rsidRPr="00E4426B">
        <w:t>R</w:t>
      </w:r>
      <w:r>
        <w:rPr>
          <w:vertAlign w:val="superscript"/>
        </w:rPr>
        <w:t>2</w:t>
      </w:r>
      <w:r>
        <w:t xml:space="preserve"> = 0.9846, indicando que en un 98,46% el conjunto de puntos se ve representado por el modelo de regresión lineal.</w:t>
      </w:r>
    </w:p>
    <w:p w:rsidR="00F90EAB" w:rsidRPr="00AA7E2E" w:rsidRDefault="00F90EAB" w:rsidP="00F90EAB">
      <w:r w:rsidRPr="00AA7E2E">
        <w:t xml:space="preserve">De otra parte, es importante también considerar como evoluciona una variable significativa de periodicidad trimestral que puede ser útil para la extrapolación trimestral que se pretende, como es la evolución de suscriptores de Internet. En la siguiente tabla se ponen en perspectiva los valores </w:t>
      </w:r>
      <w:r w:rsidRPr="00AA7E2E">
        <w:rPr>
          <w:noProof/>
        </w:rPr>
        <w:t>correspondientes a las estadísticas trimestrales del indicador denominado “Número Total de Suscriptores de Internet en Colombia”, indicador que totaliza el número de sucriptores fijos tanto de banda ancha como de banda angosta (MINTIC, 2013</w:t>
      </w:r>
      <w:r>
        <w:rPr>
          <w:noProof/>
        </w:rPr>
        <w:t xml:space="preserve"> a</w:t>
      </w:r>
      <w:r w:rsidRPr="00AA7E2E">
        <w:rPr>
          <w:noProof/>
        </w:rPr>
        <w:t>)</w:t>
      </w:r>
      <w:r w:rsidRPr="00AA7E2E">
        <w:rPr>
          <w:rStyle w:val="Refdenotaalpie"/>
          <w:noProof/>
        </w:rPr>
        <w:footnoteReference w:id="43"/>
      </w:r>
      <w:r w:rsidRPr="00AA7E2E">
        <w:rPr>
          <w:noProof/>
        </w:rPr>
        <w:t xml:space="preserve">: </w:t>
      </w:r>
      <w:r w:rsidRPr="00AA7E2E">
        <w:t xml:space="preserve"> </w:t>
      </w:r>
    </w:p>
    <w:p w:rsidR="00F90EAB" w:rsidRPr="00393C96" w:rsidRDefault="00F90EAB" w:rsidP="00F90EAB">
      <w:pPr>
        <w:pStyle w:val="T-Figura"/>
        <w:rPr>
          <w:sz w:val="24"/>
          <w:szCs w:val="24"/>
        </w:rPr>
      </w:pPr>
      <w:r w:rsidRPr="00847EBD">
        <w:t xml:space="preserve">Cuadro </w:t>
      </w:r>
      <w:r w:rsidR="00C85F33">
        <w:t>A2.2</w:t>
      </w:r>
      <w:r w:rsidRPr="00847EBD">
        <w:t xml:space="preserve"> </w:t>
      </w:r>
      <w:r>
        <w:t>–</w:t>
      </w:r>
      <w:r w:rsidRPr="00847EBD">
        <w:t xml:space="preserve"> </w:t>
      </w:r>
      <w:r w:rsidRPr="00393C96">
        <w:t xml:space="preserve">Número de Suscriptores de Internet </w:t>
      </w:r>
      <w:r>
        <w:t xml:space="preserve">(fijo) </w:t>
      </w:r>
      <w:r w:rsidRPr="00393C96">
        <w:t>en Colombia</w:t>
      </w:r>
      <w:r w:rsidRPr="009D6029">
        <w:t xml:space="preserve"> </w:t>
      </w:r>
    </w:p>
    <w:tbl>
      <w:tblPr>
        <w:tblW w:w="4874" w:type="dxa"/>
        <w:jc w:val="center"/>
        <w:tblInd w:w="56" w:type="dxa"/>
        <w:tblBorders>
          <w:top w:val="single" w:sz="4" w:space="0" w:color="BFBFBF" w:themeColor="background1" w:themeShade="BF"/>
          <w:bottom w:val="single" w:sz="4" w:space="0" w:color="BFBFBF" w:themeColor="background1" w:themeShade="BF"/>
          <w:insideH w:val="single" w:sz="4" w:space="0" w:color="BFBFBF" w:themeColor="background1" w:themeShade="BF"/>
        </w:tblBorders>
        <w:tblCellMar>
          <w:left w:w="70" w:type="dxa"/>
          <w:right w:w="70" w:type="dxa"/>
        </w:tblCellMar>
        <w:tblLook w:val="04A0"/>
      </w:tblPr>
      <w:tblGrid>
        <w:gridCol w:w="1035"/>
        <w:gridCol w:w="1372"/>
        <w:gridCol w:w="1477"/>
        <w:gridCol w:w="990"/>
      </w:tblGrid>
      <w:tr w:rsidR="00F90EAB" w:rsidRPr="0077220D" w:rsidTr="00F90EAB">
        <w:trPr>
          <w:trHeight w:val="283"/>
          <w:jc w:val="center"/>
        </w:trPr>
        <w:tc>
          <w:tcPr>
            <w:tcW w:w="1035" w:type="dxa"/>
            <w:shd w:val="clear" w:color="auto" w:fill="BFBFBF" w:themeFill="background1" w:themeFillShade="BF"/>
            <w:noWrap/>
            <w:vAlign w:val="bottom"/>
            <w:hideMark/>
          </w:tcPr>
          <w:p w:rsidR="00F90EAB" w:rsidRPr="0077220D" w:rsidRDefault="00F90EAB" w:rsidP="00F90EAB">
            <w:pPr>
              <w:spacing w:before="0" w:line="240" w:lineRule="auto"/>
              <w:jc w:val="center"/>
              <w:rPr>
                <w:rFonts w:ascii="Arial Narrow" w:hAnsi="Arial Narrow" w:cs="Calibri"/>
                <w:b/>
                <w:bCs/>
                <w:color w:val="000000"/>
                <w:sz w:val="20"/>
                <w:szCs w:val="20"/>
                <w:lang w:val="es-CO" w:eastAsia="es-CO"/>
              </w:rPr>
            </w:pPr>
            <w:r w:rsidRPr="0077220D">
              <w:rPr>
                <w:rFonts w:ascii="Arial Narrow" w:hAnsi="Arial Narrow" w:cs="Calibri"/>
                <w:b/>
                <w:bCs/>
                <w:color w:val="000000"/>
                <w:sz w:val="20"/>
                <w:szCs w:val="20"/>
                <w:lang w:val="es-CO" w:eastAsia="es-CO"/>
              </w:rPr>
              <w:t>Trimestre</w:t>
            </w:r>
          </w:p>
        </w:tc>
        <w:tc>
          <w:tcPr>
            <w:tcW w:w="1372" w:type="dxa"/>
            <w:shd w:val="clear" w:color="auto" w:fill="BFBFBF" w:themeFill="background1" w:themeFillShade="BF"/>
            <w:noWrap/>
            <w:vAlign w:val="bottom"/>
            <w:hideMark/>
          </w:tcPr>
          <w:p w:rsidR="00F90EAB" w:rsidRPr="0077220D" w:rsidRDefault="00F90EAB" w:rsidP="00F90EAB">
            <w:pPr>
              <w:spacing w:before="0" w:line="240" w:lineRule="auto"/>
              <w:jc w:val="center"/>
              <w:rPr>
                <w:rFonts w:ascii="Arial Narrow" w:hAnsi="Arial Narrow" w:cs="Calibri"/>
                <w:b/>
                <w:bCs/>
                <w:color w:val="000000"/>
                <w:sz w:val="20"/>
                <w:szCs w:val="20"/>
                <w:lang w:val="es-CO" w:eastAsia="es-CO"/>
              </w:rPr>
            </w:pPr>
            <w:r w:rsidRPr="0077220D">
              <w:rPr>
                <w:rFonts w:ascii="Arial Narrow" w:hAnsi="Arial Narrow" w:cs="Calibri"/>
                <w:b/>
                <w:bCs/>
                <w:color w:val="000000"/>
                <w:sz w:val="20"/>
                <w:szCs w:val="20"/>
                <w:lang w:val="es-CO" w:eastAsia="es-CO"/>
              </w:rPr>
              <w:t>Banda Ancha</w:t>
            </w:r>
          </w:p>
        </w:tc>
        <w:tc>
          <w:tcPr>
            <w:tcW w:w="1477" w:type="dxa"/>
            <w:shd w:val="clear" w:color="auto" w:fill="BFBFBF" w:themeFill="background1" w:themeFillShade="BF"/>
            <w:noWrap/>
            <w:vAlign w:val="bottom"/>
            <w:hideMark/>
          </w:tcPr>
          <w:p w:rsidR="00F90EAB" w:rsidRPr="0077220D" w:rsidRDefault="00F90EAB" w:rsidP="00F90EAB">
            <w:pPr>
              <w:spacing w:before="0" w:line="240" w:lineRule="auto"/>
              <w:jc w:val="center"/>
              <w:rPr>
                <w:rFonts w:ascii="Arial Narrow" w:hAnsi="Arial Narrow" w:cs="Calibri"/>
                <w:b/>
                <w:bCs/>
                <w:color w:val="000000"/>
                <w:sz w:val="20"/>
                <w:szCs w:val="20"/>
                <w:lang w:val="es-CO" w:eastAsia="es-CO"/>
              </w:rPr>
            </w:pPr>
            <w:r w:rsidRPr="0077220D">
              <w:rPr>
                <w:rFonts w:ascii="Arial Narrow" w:hAnsi="Arial Narrow" w:cs="Calibri"/>
                <w:b/>
                <w:bCs/>
                <w:color w:val="000000"/>
                <w:sz w:val="20"/>
                <w:szCs w:val="20"/>
                <w:lang w:val="es-CO" w:eastAsia="es-CO"/>
              </w:rPr>
              <w:t>Banda Angosta</w:t>
            </w:r>
          </w:p>
        </w:tc>
        <w:tc>
          <w:tcPr>
            <w:tcW w:w="990" w:type="dxa"/>
            <w:shd w:val="clear" w:color="auto" w:fill="BFBFBF" w:themeFill="background1" w:themeFillShade="BF"/>
            <w:noWrap/>
            <w:vAlign w:val="bottom"/>
            <w:hideMark/>
          </w:tcPr>
          <w:p w:rsidR="00F90EAB" w:rsidRPr="0077220D" w:rsidRDefault="00F90EAB" w:rsidP="00F90EAB">
            <w:pPr>
              <w:spacing w:before="0" w:line="240" w:lineRule="auto"/>
              <w:jc w:val="center"/>
              <w:rPr>
                <w:rFonts w:ascii="Arial Narrow" w:hAnsi="Arial Narrow" w:cs="Calibri"/>
                <w:b/>
                <w:bCs/>
                <w:color w:val="000000"/>
                <w:sz w:val="20"/>
                <w:szCs w:val="20"/>
                <w:lang w:val="es-CO" w:eastAsia="es-CO"/>
              </w:rPr>
            </w:pPr>
            <w:r w:rsidRPr="0077220D">
              <w:rPr>
                <w:rFonts w:ascii="Arial Narrow" w:hAnsi="Arial Narrow" w:cs="Calibri"/>
                <w:b/>
                <w:bCs/>
                <w:color w:val="000000"/>
                <w:sz w:val="20"/>
                <w:szCs w:val="20"/>
                <w:lang w:val="es-CO" w:eastAsia="es-CO"/>
              </w:rPr>
              <w:t>Total</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2010-1T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2.132.640</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212.219</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2.344.859</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2010-2T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2.306.812</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151.840</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2.458.652</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2010-3T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1.815.810</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749.509</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2.565.319</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2010-4T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1.971.477</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704.071</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2.675.548</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2011-1T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2.056.485</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800.746</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2.857.231</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2011-2T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2.408.666</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635.925</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3.044.591</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2011-3T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2.860.599</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360.349</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3.220.948</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2011-4T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3.043.674</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307.864</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3.351.538</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2012-1T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3.091.399</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410.156</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3.501.555</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2012-2T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3.371.398</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216.205</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3.587.603</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2012-3T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3.554.920</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212.411</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3.767.331</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2012-4T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3.766.560</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140.325</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3.906.885</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2013-1T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4.024.063</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90.301</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4.114.364</w:t>
            </w:r>
          </w:p>
        </w:tc>
      </w:tr>
      <w:tr w:rsidR="00F90EAB" w:rsidRPr="0077220D" w:rsidTr="00F90EAB">
        <w:trPr>
          <w:trHeight w:val="283"/>
          <w:jc w:val="center"/>
        </w:trPr>
        <w:tc>
          <w:tcPr>
            <w:tcW w:w="1035" w:type="dxa"/>
            <w:shd w:val="clear" w:color="auto" w:fill="auto"/>
            <w:noWrap/>
            <w:vAlign w:val="bottom"/>
            <w:hideMark/>
          </w:tcPr>
          <w:p w:rsidR="00F90EAB" w:rsidRPr="0077220D" w:rsidRDefault="00F90EAB" w:rsidP="00F90EAB">
            <w:pPr>
              <w:spacing w:before="0" w:line="240" w:lineRule="auto"/>
              <w:jc w:val="lef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2013-2T</w:t>
            </w:r>
          </w:p>
        </w:tc>
        <w:tc>
          <w:tcPr>
            <w:tcW w:w="1372"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4.235.438</w:t>
            </w:r>
          </w:p>
        </w:tc>
        <w:tc>
          <w:tcPr>
            <w:tcW w:w="1477"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61.120</w:t>
            </w:r>
          </w:p>
        </w:tc>
        <w:tc>
          <w:tcPr>
            <w:tcW w:w="990" w:type="dxa"/>
            <w:shd w:val="clear" w:color="auto" w:fill="auto"/>
            <w:noWrap/>
            <w:vAlign w:val="bottom"/>
            <w:hideMark/>
          </w:tcPr>
          <w:p w:rsidR="00F90EAB" w:rsidRPr="0077220D" w:rsidRDefault="00F90EAB" w:rsidP="00F90EAB">
            <w:pPr>
              <w:spacing w:before="0" w:line="240" w:lineRule="auto"/>
              <w:jc w:val="right"/>
              <w:rPr>
                <w:rFonts w:ascii="Arial Narrow" w:hAnsi="Arial Narrow" w:cs="Calibri"/>
                <w:color w:val="000000"/>
                <w:sz w:val="20"/>
                <w:szCs w:val="20"/>
                <w:lang w:val="es-CO" w:eastAsia="es-CO"/>
              </w:rPr>
            </w:pPr>
            <w:r w:rsidRPr="0077220D">
              <w:rPr>
                <w:rFonts w:ascii="Arial Narrow" w:hAnsi="Arial Narrow" w:cs="Calibri"/>
                <w:color w:val="000000"/>
                <w:sz w:val="20"/>
                <w:szCs w:val="20"/>
                <w:lang w:val="es-CO" w:eastAsia="es-CO"/>
              </w:rPr>
              <w:t>4.296.558</w:t>
            </w:r>
          </w:p>
        </w:tc>
      </w:tr>
    </w:tbl>
    <w:p w:rsidR="00F90EAB" w:rsidRPr="00544B68" w:rsidRDefault="00F90EAB" w:rsidP="00F90EAB">
      <w:pPr>
        <w:jc w:val="center"/>
        <w:rPr>
          <w:rFonts w:ascii="Century Gothic" w:hAnsi="Century Gothic"/>
          <w:color w:val="404040"/>
          <w:sz w:val="20"/>
          <w:szCs w:val="18"/>
        </w:rPr>
      </w:pPr>
      <w:r w:rsidRPr="00544B68">
        <w:rPr>
          <w:rFonts w:ascii="Century Gothic" w:hAnsi="Century Gothic"/>
          <w:color w:val="404040"/>
          <w:sz w:val="20"/>
          <w:szCs w:val="18"/>
        </w:rPr>
        <w:t>Fuente: (MINTIC, 2013 a)</w:t>
      </w:r>
      <w:r w:rsidRPr="00544B68">
        <w:rPr>
          <w:rStyle w:val="Refdenotaalpie"/>
          <w:rFonts w:ascii="Century Gothic" w:hAnsi="Century Gothic"/>
          <w:color w:val="404040"/>
          <w:sz w:val="20"/>
          <w:szCs w:val="18"/>
        </w:rPr>
        <w:footnoteReference w:id="44"/>
      </w:r>
    </w:p>
    <w:p w:rsidR="00F90EAB" w:rsidRPr="00AA7E2E" w:rsidRDefault="00F90EAB" w:rsidP="00F90EAB">
      <w:r w:rsidRPr="00AA7E2E">
        <w:lastRenderedPageBreak/>
        <w:t>La evolución en el tiempo de la información anterior se muestra la siguiente gráfica, la que también se puede modelar a través de una regresión lineal representada por la ecuación:</w:t>
      </w:r>
    </w:p>
    <w:p w:rsidR="00F90EAB" w:rsidRPr="00AA7E2E" w:rsidRDefault="00F90EAB" w:rsidP="00F90EAB">
      <w:pPr>
        <w:jc w:val="center"/>
      </w:pPr>
      <w:r w:rsidRPr="00AA7E2E">
        <w:rPr>
          <w:b/>
          <w:i/>
        </w:rPr>
        <w:t>y</w:t>
      </w:r>
      <w:r w:rsidRPr="00AA7E2E">
        <w:t xml:space="preserve">= 6,018 </w:t>
      </w:r>
      <w:r w:rsidRPr="00AA7E2E">
        <w:rPr>
          <w:b/>
          <w:i/>
        </w:rPr>
        <w:t xml:space="preserve">x </w:t>
      </w:r>
      <w:r w:rsidRPr="00AA7E2E">
        <w:t>- 12075</w:t>
      </w:r>
    </w:p>
    <w:p w:rsidR="00F90EAB" w:rsidRDefault="00F90EAB" w:rsidP="00F90EAB">
      <w:r w:rsidRPr="00AA7E2E">
        <w:t>En donde</w:t>
      </w:r>
      <w:r>
        <w:t>:</w:t>
      </w:r>
    </w:p>
    <w:p w:rsidR="00F90EAB" w:rsidRDefault="00F90EAB" w:rsidP="0020708C">
      <w:pPr>
        <w:numPr>
          <w:ilvl w:val="0"/>
          <w:numId w:val="16"/>
        </w:numPr>
      </w:pPr>
      <w:r w:rsidRPr="00AA7E2E">
        <w:rPr>
          <w:b/>
          <w:i/>
        </w:rPr>
        <w:t>y</w:t>
      </w:r>
      <w:r w:rsidRPr="00AA7E2E">
        <w:rPr>
          <w:i/>
        </w:rPr>
        <w:t xml:space="preserve"> </w:t>
      </w:r>
      <w:r w:rsidRPr="00AA7E2E">
        <w:t xml:space="preserve">es el </w:t>
      </w:r>
      <w:r w:rsidRPr="00AA7E2E">
        <w:rPr>
          <w:noProof/>
        </w:rPr>
        <w:t>Número Total de Suscriptores de Internet en Colombia</w:t>
      </w:r>
      <w:r>
        <w:rPr>
          <w:noProof/>
        </w:rPr>
        <w:t>;</w:t>
      </w:r>
      <w:r w:rsidRPr="00AA7E2E">
        <w:t xml:space="preserve"> </w:t>
      </w:r>
    </w:p>
    <w:p w:rsidR="00F90EAB" w:rsidRDefault="00F90EAB" w:rsidP="0020708C">
      <w:pPr>
        <w:numPr>
          <w:ilvl w:val="0"/>
          <w:numId w:val="16"/>
        </w:numPr>
      </w:pPr>
      <w:r w:rsidRPr="00AA7E2E">
        <w:rPr>
          <w:b/>
          <w:i/>
        </w:rPr>
        <w:t>x</w:t>
      </w:r>
      <w:r w:rsidRPr="00AA7E2E">
        <w:t xml:space="preserve"> corresponde a información trimestral</w:t>
      </w:r>
      <w:r>
        <w:t>; y</w:t>
      </w:r>
    </w:p>
    <w:p w:rsidR="00F90EAB" w:rsidRPr="00AA7E2E" w:rsidRDefault="00F90EAB" w:rsidP="0020708C">
      <w:pPr>
        <w:numPr>
          <w:ilvl w:val="0"/>
          <w:numId w:val="16"/>
        </w:numPr>
      </w:pPr>
      <w:r>
        <w:t>El coeficiente de determinación (</w:t>
      </w:r>
      <w:r>
        <w:rPr>
          <w:b/>
          <w:i/>
        </w:rPr>
        <w:t>R</w:t>
      </w:r>
      <w:r>
        <w:rPr>
          <w:b/>
          <w:i/>
          <w:vertAlign w:val="superscript"/>
        </w:rPr>
        <w:t>2</w:t>
      </w:r>
      <w:r>
        <w:rPr>
          <w:b/>
          <w:i/>
        </w:rPr>
        <w:t xml:space="preserve">) </w:t>
      </w:r>
      <w:r w:rsidRPr="00E4426B">
        <w:t xml:space="preserve">es de </w:t>
      </w:r>
      <w:r>
        <w:rPr>
          <w:b/>
          <w:i/>
        </w:rPr>
        <w:t>R</w:t>
      </w:r>
      <w:r>
        <w:rPr>
          <w:b/>
          <w:i/>
          <w:vertAlign w:val="superscript"/>
        </w:rPr>
        <w:t>2</w:t>
      </w:r>
      <w:r w:rsidRPr="00E4426B">
        <w:t xml:space="preserve"> = 0.99</w:t>
      </w:r>
      <w:r>
        <w:t>64, indicando que en un 99,64% el conjunto de puntos se ve representado por el modelo de regresión lineal.</w:t>
      </w:r>
    </w:p>
    <w:p w:rsidR="00F90EAB" w:rsidRDefault="00F90EAB" w:rsidP="00F90EAB">
      <w:pPr>
        <w:pStyle w:val="T-Figura"/>
        <w:rPr>
          <w:noProof/>
          <w:lang w:eastAsia="es-CO"/>
        </w:rPr>
      </w:pPr>
      <w:r w:rsidRPr="00847EBD">
        <w:t xml:space="preserve">Figura </w:t>
      </w:r>
      <w:r w:rsidR="00C85F33">
        <w:t>A2.2</w:t>
      </w:r>
      <w:r w:rsidRPr="00847EBD">
        <w:t xml:space="preserve"> </w:t>
      </w:r>
      <w:r>
        <w:t>–</w:t>
      </w:r>
      <w:r w:rsidRPr="00847EBD">
        <w:t xml:space="preserve"> </w:t>
      </w:r>
      <w:r>
        <w:t>Evolución suscriptores Internet (accesos fijos)</w:t>
      </w:r>
    </w:p>
    <w:p w:rsidR="00F90EAB" w:rsidRPr="0036786B" w:rsidRDefault="00F90EAB" w:rsidP="00F90EAB">
      <w:pPr>
        <w:jc w:val="center"/>
        <w:rPr>
          <w:rFonts w:ascii="Times New Roman" w:hAnsi="Times New Roman"/>
          <w:sz w:val="24"/>
          <w:szCs w:val="24"/>
        </w:rPr>
      </w:pPr>
      <w:r>
        <w:rPr>
          <w:noProof/>
          <w:szCs w:val="24"/>
          <w:lang w:val="es-CO" w:eastAsia="es-CO"/>
        </w:rPr>
        <w:drawing>
          <wp:inline distT="0" distB="0" distL="0" distR="0">
            <wp:extent cx="5257800" cy="3347496"/>
            <wp:effectExtent l="0" t="0" r="0" b="571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7800" cy="3347496"/>
                    </a:xfrm>
                    <a:prstGeom prst="rect">
                      <a:avLst/>
                    </a:prstGeom>
                    <a:noFill/>
                    <a:ln>
                      <a:noFill/>
                    </a:ln>
                  </pic:spPr>
                </pic:pic>
              </a:graphicData>
            </a:graphic>
          </wp:inline>
        </w:drawing>
      </w:r>
    </w:p>
    <w:p w:rsidR="00F90EAB" w:rsidRPr="00544B68" w:rsidRDefault="00F90EAB" w:rsidP="00F90EAB">
      <w:pPr>
        <w:jc w:val="center"/>
        <w:rPr>
          <w:rFonts w:ascii="Century Gothic" w:hAnsi="Century Gothic"/>
          <w:color w:val="404040"/>
          <w:sz w:val="20"/>
          <w:szCs w:val="18"/>
        </w:rPr>
      </w:pPr>
      <w:r w:rsidRPr="00544B68">
        <w:rPr>
          <w:rFonts w:ascii="Century Gothic" w:hAnsi="Century Gothic"/>
          <w:color w:val="404040"/>
          <w:sz w:val="20"/>
          <w:szCs w:val="18"/>
        </w:rPr>
        <w:t>Fuente: Elaboración propia</w:t>
      </w:r>
    </w:p>
    <w:p w:rsidR="00F90EAB" w:rsidRPr="00AA7E2E" w:rsidRDefault="00F90EAB" w:rsidP="00F90EAB">
      <w:r w:rsidRPr="00AA7E2E">
        <w:t>Como se puede observar</w:t>
      </w:r>
      <w:r>
        <w:t>,</w:t>
      </w:r>
      <w:r w:rsidRPr="00AA7E2E">
        <w:t xml:space="preserve"> tanto la información proporcionada por el DANE como aquella suministrada por los </w:t>
      </w:r>
      <w:r w:rsidR="002914F0">
        <w:t>p</w:t>
      </w:r>
      <w:r w:rsidR="006B29D1" w:rsidRPr="006B29D1">
        <w:t>roveedores de redes y servicios de telecomunicaciones</w:t>
      </w:r>
      <w:r w:rsidR="007035A5">
        <w:t>,</w:t>
      </w:r>
      <w:r w:rsidR="006B29D1" w:rsidRPr="006B29D1">
        <w:t xml:space="preserve"> </w:t>
      </w:r>
      <w:r w:rsidRPr="00AA7E2E">
        <w:t xml:space="preserve">tienen un comportamiento creciente en el tiempo y las ecuaciones que representan sus regresiones lineales son muy similares.  </w:t>
      </w:r>
    </w:p>
    <w:p w:rsidR="00F90EAB" w:rsidRPr="00AA7E2E" w:rsidRDefault="00F90EAB" w:rsidP="00F90EAB">
      <w:r w:rsidRPr="00AA7E2E">
        <w:lastRenderedPageBreak/>
        <w:t>Teniendo en consideración que cuando el coeficiente de correlación (r) es igual a 1, la correlación es perfecta, en el presente caso la correlación entre el “Porcentaje de Individuos Utilizando Internet” y el “Número Total de Suscriptores de Internet en Colombia” es de 0.9885954, que es muy cercana al ideal sugiriendo que ambas variables están altamente correlacionadas</w:t>
      </w:r>
      <w:r>
        <w:t xml:space="preserve"> (correlación positiva)</w:t>
      </w:r>
      <w:r w:rsidRPr="00AA7E2E">
        <w:t xml:space="preserve">. </w:t>
      </w:r>
    </w:p>
    <w:p w:rsidR="00F90EAB" w:rsidRDefault="00C85F33" w:rsidP="00F90EAB">
      <w:pPr>
        <w:pStyle w:val="T-Figura"/>
      </w:pPr>
      <w:r>
        <w:t>Cuadro A2.3</w:t>
      </w:r>
      <w:r w:rsidR="00F90EAB" w:rsidRPr="00847EBD">
        <w:t xml:space="preserve"> </w:t>
      </w:r>
      <w:r w:rsidR="00F90EAB">
        <w:t>–</w:t>
      </w:r>
      <w:r w:rsidR="00F90EAB" w:rsidRPr="00847EBD">
        <w:t xml:space="preserve"> </w:t>
      </w:r>
      <w:r w:rsidR="00F90EAB">
        <w:t>Datos muestra anual usados para establecer correlaciones entre penetración uso Internet y suscriptores fijos</w:t>
      </w:r>
      <w:r w:rsidR="00F90EAB" w:rsidRPr="009D6029">
        <w:t xml:space="preserve"> </w:t>
      </w:r>
    </w:p>
    <w:tbl>
      <w:tblPr>
        <w:tblW w:w="9054" w:type="dxa"/>
        <w:tblInd w:w="108" w:type="dxa"/>
        <w:tblBorders>
          <w:top w:val="single" w:sz="4" w:space="0" w:color="A6A6A6"/>
          <w:bottom w:val="single" w:sz="4" w:space="0" w:color="A6A6A6"/>
          <w:insideH w:val="single" w:sz="4" w:space="0" w:color="A6A6A6"/>
        </w:tblBorders>
        <w:tblLook w:val="00A0"/>
      </w:tblPr>
      <w:tblGrid>
        <w:gridCol w:w="4528"/>
        <w:gridCol w:w="1107"/>
        <w:gridCol w:w="1107"/>
        <w:gridCol w:w="1156"/>
        <w:gridCol w:w="1156"/>
      </w:tblGrid>
      <w:tr w:rsidR="00EF1180" w:rsidRPr="002D4742" w:rsidTr="002D4742">
        <w:trPr>
          <w:trHeight w:val="454"/>
        </w:trPr>
        <w:tc>
          <w:tcPr>
            <w:tcW w:w="4528" w:type="dxa"/>
            <w:shd w:val="clear" w:color="auto" w:fill="A6A6A6" w:themeFill="background1" w:themeFillShade="A6"/>
            <w:vAlign w:val="center"/>
          </w:tcPr>
          <w:p w:rsidR="00EF1180" w:rsidRPr="002D4742" w:rsidRDefault="00EE7C84" w:rsidP="002D4742">
            <w:pPr>
              <w:jc w:val="center"/>
              <w:rPr>
                <w:rFonts w:ascii="Arial Narrow" w:hAnsi="Arial Narrow" w:cs="Calibri"/>
                <w:b/>
                <w:color w:val="000000" w:themeColor="text1"/>
                <w:sz w:val="20"/>
                <w:szCs w:val="20"/>
              </w:rPr>
            </w:pPr>
            <w:r w:rsidRPr="002D4742">
              <w:rPr>
                <w:rFonts w:ascii="Arial Narrow" w:hAnsi="Arial Narrow" w:cs="Calibri"/>
                <w:b/>
                <w:color w:val="000000" w:themeColor="text1"/>
                <w:sz w:val="20"/>
                <w:szCs w:val="20"/>
              </w:rPr>
              <w:t>Año</w:t>
            </w:r>
          </w:p>
        </w:tc>
        <w:tc>
          <w:tcPr>
            <w:tcW w:w="1107" w:type="dxa"/>
            <w:shd w:val="clear" w:color="auto" w:fill="A6A6A6" w:themeFill="background1" w:themeFillShade="A6"/>
            <w:vAlign w:val="center"/>
          </w:tcPr>
          <w:p w:rsidR="00EF1180" w:rsidRPr="002D4742" w:rsidRDefault="00EE7C84" w:rsidP="002D4742">
            <w:pPr>
              <w:jc w:val="center"/>
              <w:rPr>
                <w:rFonts w:ascii="Arial Narrow" w:hAnsi="Arial Narrow" w:cs="Calibri"/>
                <w:b/>
                <w:color w:val="000000" w:themeColor="text1"/>
                <w:sz w:val="20"/>
                <w:szCs w:val="20"/>
              </w:rPr>
            </w:pPr>
            <w:r w:rsidRPr="002D4742">
              <w:rPr>
                <w:rFonts w:ascii="Arial Narrow" w:hAnsi="Arial Narrow" w:cs="Calibri"/>
                <w:b/>
                <w:color w:val="000000" w:themeColor="text1"/>
                <w:sz w:val="20"/>
                <w:szCs w:val="20"/>
              </w:rPr>
              <w:t>2009</w:t>
            </w:r>
          </w:p>
        </w:tc>
        <w:tc>
          <w:tcPr>
            <w:tcW w:w="1107" w:type="dxa"/>
            <w:shd w:val="clear" w:color="auto" w:fill="A6A6A6" w:themeFill="background1" w:themeFillShade="A6"/>
            <w:vAlign w:val="center"/>
          </w:tcPr>
          <w:p w:rsidR="00EF1180" w:rsidRPr="002D4742" w:rsidRDefault="00EE7C84" w:rsidP="002D4742">
            <w:pPr>
              <w:jc w:val="center"/>
              <w:rPr>
                <w:rFonts w:ascii="Arial Narrow" w:hAnsi="Arial Narrow" w:cs="Calibri"/>
                <w:b/>
                <w:color w:val="000000" w:themeColor="text1"/>
                <w:sz w:val="20"/>
                <w:szCs w:val="20"/>
              </w:rPr>
            </w:pPr>
            <w:r w:rsidRPr="002D4742">
              <w:rPr>
                <w:rFonts w:ascii="Arial Narrow" w:hAnsi="Arial Narrow" w:cs="Calibri"/>
                <w:b/>
                <w:color w:val="000000" w:themeColor="text1"/>
                <w:sz w:val="20"/>
                <w:szCs w:val="20"/>
              </w:rPr>
              <w:t>2010</w:t>
            </w:r>
          </w:p>
        </w:tc>
        <w:tc>
          <w:tcPr>
            <w:tcW w:w="1156" w:type="dxa"/>
            <w:shd w:val="clear" w:color="auto" w:fill="A6A6A6" w:themeFill="background1" w:themeFillShade="A6"/>
            <w:vAlign w:val="center"/>
          </w:tcPr>
          <w:p w:rsidR="00EF1180" w:rsidRPr="002D4742" w:rsidRDefault="00EE7C84" w:rsidP="002D4742">
            <w:pPr>
              <w:jc w:val="center"/>
              <w:rPr>
                <w:rFonts w:ascii="Arial Narrow" w:hAnsi="Arial Narrow" w:cs="Calibri"/>
                <w:b/>
                <w:color w:val="000000" w:themeColor="text1"/>
                <w:sz w:val="20"/>
                <w:szCs w:val="20"/>
              </w:rPr>
            </w:pPr>
            <w:r w:rsidRPr="002D4742">
              <w:rPr>
                <w:rFonts w:ascii="Arial Narrow" w:hAnsi="Arial Narrow" w:cs="Calibri"/>
                <w:b/>
                <w:color w:val="000000" w:themeColor="text1"/>
                <w:sz w:val="20"/>
                <w:szCs w:val="20"/>
              </w:rPr>
              <w:t>2011</w:t>
            </w:r>
          </w:p>
        </w:tc>
        <w:tc>
          <w:tcPr>
            <w:tcW w:w="1156" w:type="dxa"/>
            <w:shd w:val="clear" w:color="auto" w:fill="A6A6A6" w:themeFill="background1" w:themeFillShade="A6"/>
            <w:vAlign w:val="center"/>
          </w:tcPr>
          <w:p w:rsidR="00EF1180" w:rsidRPr="002D4742" w:rsidRDefault="00EE7C84" w:rsidP="002D4742">
            <w:pPr>
              <w:jc w:val="center"/>
              <w:rPr>
                <w:rFonts w:ascii="Arial Narrow" w:hAnsi="Arial Narrow" w:cs="Calibri"/>
                <w:b/>
                <w:color w:val="000000" w:themeColor="text1"/>
                <w:sz w:val="20"/>
                <w:szCs w:val="20"/>
              </w:rPr>
            </w:pPr>
            <w:r w:rsidRPr="002D4742">
              <w:rPr>
                <w:rFonts w:ascii="Arial Narrow" w:hAnsi="Arial Narrow" w:cs="Calibri"/>
                <w:b/>
                <w:color w:val="000000" w:themeColor="text1"/>
                <w:sz w:val="20"/>
                <w:szCs w:val="20"/>
              </w:rPr>
              <w:t>2012</w:t>
            </w:r>
          </w:p>
        </w:tc>
      </w:tr>
      <w:tr w:rsidR="00F90EAB" w:rsidRPr="00DA3891" w:rsidTr="002D4742">
        <w:trPr>
          <w:trHeight w:val="454"/>
        </w:trPr>
        <w:tc>
          <w:tcPr>
            <w:tcW w:w="4528" w:type="dxa"/>
            <w:vAlign w:val="center"/>
          </w:tcPr>
          <w:p w:rsidR="00F90EAB" w:rsidRPr="00DA3891" w:rsidRDefault="00F90EAB" w:rsidP="00F90EAB">
            <w:pPr>
              <w:rPr>
                <w:rFonts w:ascii="Arial Narrow" w:hAnsi="Arial Narrow" w:cs="Calibri"/>
                <w:b/>
                <w:sz w:val="20"/>
                <w:szCs w:val="20"/>
              </w:rPr>
            </w:pPr>
            <w:r w:rsidRPr="00DA3891">
              <w:rPr>
                <w:rFonts w:ascii="Arial Narrow" w:hAnsi="Arial Narrow" w:cs="Calibri"/>
                <w:b/>
                <w:sz w:val="20"/>
                <w:szCs w:val="20"/>
              </w:rPr>
              <w:t>Porcentaje de Individuos Utilizando Internet</w:t>
            </w:r>
          </w:p>
        </w:tc>
        <w:tc>
          <w:tcPr>
            <w:tcW w:w="1107" w:type="dxa"/>
            <w:vAlign w:val="center"/>
          </w:tcPr>
          <w:p w:rsidR="00F90EAB" w:rsidRPr="00DA3891" w:rsidRDefault="00F90EAB" w:rsidP="00F90EAB">
            <w:pPr>
              <w:rPr>
                <w:rFonts w:ascii="Arial Narrow" w:hAnsi="Arial Narrow" w:cs="Calibri"/>
                <w:sz w:val="20"/>
                <w:szCs w:val="20"/>
              </w:rPr>
            </w:pPr>
            <w:r w:rsidRPr="00DA3891">
              <w:rPr>
                <w:rFonts w:ascii="Arial Narrow" w:hAnsi="Arial Narrow" w:cs="Calibri"/>
                <w:sz w:val="20"/>
                <w:szCs w:val="20"/>
              </w:rPr>
              <w:t>30</w:t>
            </w:r>
            <w:r w:rsidR="00EE7C84">
              <w:rPr>
                <w:rFonts w:ascii="Arial Narrow" w:hAnsi="Arial Narrow" w:cs="Calibri"/>
                <w:sz w:val="20"/>
                <w:szCs w:val="20"/>
              </w:rPr>
              <w:t>,0</w:t>
            </w:r>
          </w:p>
        </w:tc>
        <w:tc>
          <w:tcPr>
            <w:tcW w:w="1107" w:type="dxa"/>
            <w:vAlign w:val="center"/>
          </w:tcPr>
          <w:p w:rsidR="00F90EAB" w:rsidRPr="00DA3891" w:rsidRDefault="00F90EAB" w:rsidP="00F90EAB">
            <w:pPr>
              <w:rPr>
                <w:rFonts w:ascii="Arial Narrow" w:hAnsi="Arial Narrow" w:cs="Calibri"/>
                <w:sz w:val="20"/>
                <w:szCs w:val="20"/>
              </w:rPr>
            </w:pPr>
            <w:r w:rsidRPr="00DA3891">
              <w:rPr>
                <w:rFonts w:ascii="Arial Narrow" w:hAnsi="Arial Narrow" w:cs="Calibri"/>
                <w:sz w:val="20"/>
                <w:szCs w:val="20"/>
              </w:rPr>
              <w:t>36,50</w:t>
            </w:r>
          </w:p>
        </w:tc>
        <w:tc>
          <w:tcPr>
            <w:tcW w:w="1156" w:type="dxa"/>
            <w:vAlign w:val="center"/>
          </w:tcPr>
          <w:p w:rsidR="00F90EAB" w:rsidRPr="00DA3891" w:rsidRDefault="00F90EAB" w:rsidP="00F90EAB">
            <w:pPr>
              <w:rPr>
                <w:rFonts w:ascii="Arial Narrow" w:hAnsi="Arial Narrow" w:cs="Calibri"/>
                <w:sz w:val="20"/>
                <w:szCs w:val="20"/>
              </w:rPr>
            </w:pPr>
            <w:r w:rsidRPr="00DA3891">
              <w:rPr>
                <w:rFonts w:ascii="Arial Narrow" w:hAnsi="Arial Narrow" w:cs="Calibri"/>
                <w:sz w:val="20"/>
                <w:szCs w:val="20"/>
              </w:rPr>
              <w:t>40,40</w:t>
            </w:r>
          </w:p>
        </w:tc>
        <w:tc>
          <w:tcPr>
            <w:tcW w:w="1156" w:type="dxa"/>
            <w:vAlign w:val="center"/>
          </w:tcPr>
          <w:p w:rsidR="00F90EAB" w:rsidRPr="00DA3891" w:rsidRDefault="00F90EAB" w:rsidP="00F90EAB">
            <w:pPr>
              <w:rPr>
                <w:rFonts w:ascii="Arial Narrow" w:hAnsi="Arial Narrow" w:cs="Calibri"/>
                <w:sz w:val="20"/>
                <w:szCs w:val="20"/>
              </w:rPr>
            </w:pPr>
            <w:r w:rsidRPr="00DA3891">
              <w:rPr>
                <w:rFonts w:ascii="Arial Narrow" w:hAnsi="Arial Narrow" w:cs="Calibri"/>
                <w:sz w:val="20"/>
                <w:szCs w:val="20"/>
              </w:rPr>
              <w:t>48,98</w:t>
            </w:r>
          </w:p>
        </w:tc>
      </w:tr>
      <w:tr w:rsidR="00F90EAB" w:rsidRPr="00DA3891" w:rsidTr="002D4742">
        <w:trPr>
          <w:trHeight w:val="454"/>
        </w:trPr>
        <w:tc>
          <w:tcPr>
            <w:tcW w:w="4528" w:type="dxa"/>
            <w:vAlign w:val="center"/>
          </w:tcPr>
          <w:p w:rsidR="00F90EAB" w:rsidRPr="00DA3891" w:rsidRDefault="00F90EAB" w:rsidP="00F90EAB">
            <w:pPr>
              <w:rPr>
                <w:rFonts w:ascii="Arial Narrow" w:hAnsi="Arial Narrow" w:cs="Calibri"/>
                <w:b/>
                <w:sz w:val="20"/>
                <w:szCs w:val="20"/>
              </w:rPr>
            </w:pPr>
            <w:r w:rsidRPr="00DA3891">
              <w:rPr>
                <w:rFonts w:ascii="Arial Narrow" w:hAnsi="Arial Narrow" w:cs="Calibri"/>
                <w:b/>
                <w:sz w:val="20"/>
                <w:szCs w:val="20"/>
              </w:rPr>
              <w:t>Número Total de Suscriptores de Internet en Colombia</w:t>
            </w:r>
          </w:p>
        </w:tc>
        <w:tc>
          <w:tcPr>
            <w:tcW w:w="1107" w:type="dxa"/>
            <w:vAlign w:val="center"/>
          </w:tcPr>
          <w:p w:rsidR="00F90EAB" w:rsidRPr="00DA3891" w:rsidRDefault="00F90EAB" w:rsidP="00F90EAB">
            <w:pPr>
              <w:rPr>
                <w:rFonts w:ascii="Arial Narrow" w:hAnsi="Arial Narrow" w:cs="Calibri"/>
                <w:sz w:val="20"/>
                <w:szCs w:val="20"/>
              </w:rPr>
            </w:pPr>
            <w:r w:rsidRPr="00DA3891">
              <w:rPr>
                <w:rFonts w:ascii="Arial Narrow" w:hAnsi="Arial Narrow" w:cs="Calibri"/>
                <w:sz w:val="20"/>
                <w:szCs w:val="20"/>
              </w:rPr>
              <w:t>2.344.859</w:t>
            </w:r>
          </w:p>
        </w:tc>
        <w:tc>
          <w:tcPr>
            <w:tcW w:w="1107" w:type="dxa"/>
            <w:vAlign w:val="center"/>
          </w:tcPr>
          <w:p w:rsidR="00F90EAB" w:rsidRPr="00DA3891" w:rsidRDefault="00F90EAB" w:rsidP="00F90EAB">
            <w:pPr>
              <w:rPr>
                <w:rFonts w:ascii="Arial Narrow" w:hAnsi="Arial Narrow" w:cs="Calibri"/>
                <w:sz w:val="20"/>
                <w:szCs w:val="20"/>
              </w:rPr>
            </w:pPr>
            <w:r w:rsidRPr="00DA3891">
              <w:rPr>
                <w:rFonts w:ascii="Arial Narrow" w:hAnsi="Arial Narrow" w:cs="Calibri"/>
                <w:sz w:val="20"/>
                <w:szCs w:val="20"/>
              </w:rPr>
              <w:t>2.857.231</w:t>
            </w:r>
          </w:p>
        </w:tc>
        <w:tc>
          <w:tcPr>
            <w:tcW w:w="1156" w:type="dxa"/>
            <w:vAlign w:val="center"/>
          </w:tcPr>
          <w:p w:rsidR="00F90EAB" w:rsidRPr="00DA3891" w:rsidRDefault="00F90EAB" w:rsidP="00F90EAB">
            <w:pPr>
              <w:rPr>
                <w:rFonts w:ascii="Arial Narrow" w:hAnsi="Arial Narrow" w:cs="Calibri"/>
                <w:sz w:val="20"/>
                <w:szCs w:val="20"/>
              </w:rPr>
            </w:pPr>
            <w:r w:rsidRPr="00DA3891">
              <w:rPr>
                <w:rFonts w:ascii="Arial Narrow" w:hAnsi="Arial Narrow" w:cs="Calibri"/>
                <w:sz w:val="20"/>
                <w:szCs w:val="20"/>
              </w:rPr>
              <w:t>3.501.555</w:t>
            </w:r>
          </w:p>
        </w:tc>
        <w:tc>
          <w:tcPr>
            <w:tcW w:w="1156" w:type="dxa"/>
            <w:vAlign w:val="center"/>
          </w:tcPr>
          <w:p w:rsidR="00F90EAB" w:rsidRPr="00DA3891" w:rsidRDefault="00F90EAB" w:rsidP="00F90EAB">
            <w:pPr>
              <w:rPr>
                <w:rFonts w:ascii="Arial Narrow" w:hAnsi="Arial Narrow" w:cs="Calibri"/>
                <w:sz w:val="20"/>
                <w:szCs w:val="20"/>
              </w:rPr>
            </w:pPr>
            <w:r w:rsidRPr="00DA3891">
              <w:rPr>
                <w:rFonts w:ascii="Arial Narrow" w:hAnsi="Arial Narrow" w:cs="Calibri"/>
                <w:sz w:val="20"/>
                <w:szCs w:val="20"/>
              </w:rPr>
              <w:t>4.114.364</w:t>
            </w:r>
          </w:p>
        </w:tc>
      </w:tr>
    </w:tbl>
    <w:p w:rsidR="00F90EAB" w:rsidRPr="00544B68" w:rsidRDefault="00F90EAB" w:rsidP="00F90EAB">
      <w:pPr>
        <w:jc w:val="center"/>
        <w:rPr>
          <w:rFonts w:ascii="Century Gothic" w:hAnsi="Century Gothic"/>
          <w:color w:val="404040"/>
          <w:sz w:val="20"/>
          <w:szCs w:val="18"/>
        </w:rPr>
      </w:pPr>
      <w:r w:rsidRPr="00544B68">
        <w:rPr>
          <w:rFonts w:ascii="Century Gothic" w:hAnsi="Century Gothic"/>
          <w:color w:val="404040"/>
          <w:sz w:val="20"/>
          <w:szCs w:val="18"/>
        </w:rPr>
        <w:t>Fuente: Elaboración propia con base en información del DANE y MINTIC más cálculos propios</w:t>
      </w:r>
    </w:p>
    <w:p w:rsidR="00F90EAB" w:rsidRPr="00AA7E2E" w:rsidRDefault="00F90EAB" w:rsidP="00BE0EE5">
      <w:r w:rsidRPr="00AA7E2E">
        <w:t>Considerando que para cada año al momento de obtener el dato oficial del DANE pueden ser actualizadas las series y el correspondiente coeficiente de correlación, se plantea en consecuencia, para la estimación del número de usuarios de Internet en Colombia la utilización de una fórmula con las siguientes características</w:t>
      </w:r>
    </w:p>
    <w:p w:rsidR="00F90EAB" w:rsidRPr="002D4742" w:rsidRDefault="00F90EAB" w:rsidP="00BE0EE5">
      <w:pPr>
        <w:jc w:val="center"/>
        <w:rPr>
          <w:rFonts w:ascii="Arial Narrow" w:hAnsi="Arial Narrow"/>
          <w:sz w:val="24"/>
        </w:rPr>
      </w:pPr>
      <w:r w:rsidRPr="002D4742">
        <w:rPr>
          <w:rFonts w:ascii="Arial Narrow" w:hAnsi="Arial Narrow"/>
          <w:sz w:val="24"/>
        </w:rPr>
        <w:t>Usuarios trimestre calculado =  Suscriptores trimestre referencia * B *  r</w:t>
      </w:r>
    </w:p>
    <w:p w:rsidR="00F90EAB" w:rsidRPr="00AA7E2E" w:rsidRDefault="00F90EAB" w:rsidP="00BE0EE5">
      <w:r w:rsidRPr="00AA7E2E">
        <w:t>En donde:</w:t>
      </w:r>
    </w:p>
    <w:p w:rsidR="00F90EAB" w:rsidRPr="00AA7E2E" w:rsidRDefault="00F90EAB" w:rsidP="00BE0EE5">
      <w:r w:rsidRPr="002F3BCD">
        <w:rPr>
          <w:rFonts w:ascii="Century Gothic" w:hAnsi="Century Gothic"/>
          <w:color w:val="404040"/>
        </w:rPr>
        <w:t>Usuarios trimestre calculado:</w:t>
      </w:r>
      <w:r w:rsidRPr="002F3BCD">
        <w:rPr>
          <w:color w:val="404040"/>
        </w:rPr>
        <w:t xml:space="preserve"> </w:t>
      </w:r>
      <w:r w:rsidRPr="00AA7E2E">
        <w:t>Es la estimación del número de usuarios de Internet en Colombia para el trimestre de interés.</w:t>
      </w:r>
    </w:p>
    <w:p w:rsidR="00F90EAB" w:rsidRPr="00AA7E2E" w:rsidRDefault="00F90EAB" w:rsidP="00BE0EE5">
      <w:r w:rsidRPr="002F3BCD">
        <w:rPr>
          <w:rFonts w:ascii="Century Gothic" w:hAnsi="Century Gothic"/>
          <w:color w:val="404040"/>
        </w:rPr>
        <w:t>Suscriptores trimestre referencia:</w:t>
      </w:r>
      <w:r w:rsidRPr="00AA7E2E">
        <w:t xml:space="preserve"> Corresponde al Número Total de Suscriptores de Internet en Colombia para el trimestre de interés, información suministrada por los </w:t>
      </w:r>
      <w:r w:rsidR="000E6591">
        <w:t>p</w:t>
      </w:r>
      <w:r w:rsidR="000E6591" w:rsidRPr="000E6591">
        <w:t>roveedores de redes y servicios de telecomunicaciones.</w:t>
      </w:r>
    </w:p>
    <w:p w:rsidR="00F90EAB" w:rsidRPr="00AA7E2E" w:rsidRDefault="00F90EAB" w:rsidP="00BE0EE5">
      <w:r w:rsidRPr="002F3BCD">
        <w:rPr>
          <w:rFonts w:ascii="Century Gothic" w:hAnsi="Century Gothic"/>
          <w:color w:val="404040"/>
        </w:rPr>
        <w:t>B:</w:t>
      </w:r>
      <w:r w:rsidRPr="00AA7E2E">
        <w:t xml:space="preserve"> Es un factor de proporcionalidad que se obtiene de la división entre el número de individuos utilizando Internet a la fecha más reciente de publicación por el DANE y el Número Total de Suscriptores de Internet en Colombia correspondiente a la fecha del indicador antes mencionado. Por ejemplo, la fecha más reciente de información disponible por parte del DANE corresponde al año 2012, que en realidad representa el dato correspondiente al último trimestre de ese año (o tercero según se estime por aproximación de la muestra de campo al cierre del trimestre correspondiente). Para obtener el factor B, se multiplica el Porcentaje de Individuos Utilizando Internet por la </w:t>
      </w:r>
      <w:r w:rsidRPr="00AA7E2E">
        <w:lastRenderedPageBreak/>
        <w:t xml:space="preserve">población de Colombia proporcionada por el DANE con corte a ese periodo. En un siguiente paso, el resultado anterior se divide por la información del MINTIC correspondiente al mismo trimestre considerado de 2012. </w:t>
      </w:r>
    </w:p>
    <w:p w:rsidR="00F90EAB" w:rsidRDefault="00F90EAB" w:rsidP="00BE0EE5">
      <w:proofErr w:type="gramStart"/>
      <w:r w:rsidRPr="002F3BCD">
        <w:rPr>
          <w:rFonts w:ascii="Century Gothic" w:hAnsi="Century Gothic"/>
          <w:color w:val="404040"/>
        </w:rPr>
        <w:t>r</w:t>
      </w:r>
      <w:proofErr w:type="gramEnd"/>
      <w:r w:rsidRPr="002F3BCD">
        <w:rPr>
          <w:rFonts w:ascii="Century Gothic" w:hAnsi="Century Gothic"/>
          <w:color w:val="404040"/>
        </w:rPr>
        <w:t>:</w:t>
      </w:r>
      <w:r w:rsidRPr="00AA7E2E">
        <w:t xml:space="preserve"> representa al cálculo del coeficiente de correlación entre “Porcentaje de Individuos Utilizando Internet” (DANE) y el “Número Total de Suscriptores de Internet en Colombia” (MINTIC) para la serie disponible hasta el último dato publicado del DANE.</w:t>
      </w:r>
    </w:p>
    <w:p w:rsidR="00F90EAB" w:rsidRDefault="00F90EAB" w:rsidP="00BE0EE5">
      <w:r>
        <w:t>Teniendo en cuenta lo anterior y partiendo de las siguientes consideraciones;</w:t>
      </w:r>
    </w:p>
    <w:p w:rsidR="00F90EAB" w:rsidRDefault="00F90EAB" w:rsidP="00BE0EE5">
      <w:pPr>
        <w:numPr>
          <w:ilvl w:val="0"/>
          <w:numId w:val="18"/>
        </w:numPr>
      </w:pPr>
      <w:r>
        <w:t xml:space="preserve">Estadística de población suministrada por el DANE con corte a junio 30 de 2012, en donde las proyecciones y ajustes la censo del año 2005 arrojan una población de 46.581.823 habitantes; </w:t>
      </w:r>
    </w:p>
    <w:p w:rsidR="00F90EAB" w:rsidRDefault="00F90EAB" w:rsidP="00BE0EE5">
      <w:pPr>
        <w:numPr>
          <w:ilvl w:val="0"/>
          <w:numId w:val="18"/>
        </w:numPr>
      </w:pPr>
      <w:r>
        <w:t>Porcentaje de individuos utilizando internet para el año 2012 corresponde al 48,98%</w:t>
      </w:r>
      <w:r>
        <w:rPr>
          <w:rStyle w:val="Refdenotaalpie"/>
        </w:rPr>
        <w:footnoteReference w:id="45"/>
      </w:r>
      <w:r>
        <w:t>;</w:t>
      </w:r>
    </w:p>
    <w:p w:rsidR="00F90EAB" w:rsidRDefault="00F90EAB" w:rsidP="00BE0EE5">
      <w:pPr>
        <w:numPr>
          <w:ilvl w:val="0"/>
          <w:numId w:val="18"/>
        </w:numPr>
      </w:pPr>
      <w:r>
        <w:t>Para el cuarto trimestre de 2012 se registra un total de 3.906.885 suscriptores por parte de los proveedores de redes y servicios (MINTIC, 2013 a).</w:t>
      </w:r>
    </w:p>
    <w:p w:rsidR="00F90EAB" w:rsidRDefault="00F90EAB" w:rsidP="00BE0EE5">
      <w:r>
        <w:t>Entonces:</w:t>
      </w:r>
    </w:p>
    <w:p w:rsidR="00F90EAB" w:rsidRDefault="00F90EAB" w:rsidP="00BE0EE5">
      <w:pPr>
        <w:numPr>
          <w:ilvl w:val="0"/>
          <w:numId w:val="18"/>
        </w:numPr>
        <w:ind w:left="714" w:hanging="357"/>
      </w:pPr>
      <w:r>
        <w:t>El número de usuarios utilizando internet en Colombia para el año 2012</w:t>
      </w:r>
      <w:r>
        <w:rPr>
          <w:rStyle w:val="Refdenotaalpie"/>
        </w:rPr>
        <w:footnoteReference w:id="46"/>
      </w:r>
      <w:r>
        <w:t xml:space="preserve"> = 22.815.776 usuarios;</w:t>
      </w:r>
    </w:p>
    <w:p w:rsidR="00F90EAB" w:rsidRDefault="00F90EAB" w:rsidP="00BE0EE5">
      <w:pPr>
        <w:numPr>
          <w:ilvl w:val="0"/>
          <w:numId w:val="18"/>
        </w:numPr>
        <w:ind w:left="714" w:hanging="357"/>
      </w:pPr>
      <w:r>
        <w:t>Suscriptores trimestre referencia = 3.906.885 suscriptores;</w:t>
      </w:r>
    </w:p>
    <w:p w:rsidR="00F90EAB" w:rsidRDefault="00F90EAB" w:rsidP="00BE0EE5">
      <w:pPr>
        <w:numPr>
          <w:ilvl w:val="0"/>
          <w:numId w:val="18"/>
        </w:numPr>
        <w:ind w:left="714" w:hanging="357"/>
      </w:pPr>
      <w:r>
        <w:t>B = 5.8398 usuarios/suscriptores;</w:t>
      </w:r>
    </w:p>
    <w:p w:rsidR="00F90EAB" w:rsidRDefault="00F90EAB" w:rsidP="00BE0EE5">
      <w:pPr>
        <w:numPr>
          <w:ilvl w:val="0"/>
          <w:numId w:val="18"/>
        </w:numPr>
        <w:ind w:left="714" w:hanging="357"/>
      </w:pPr>
      <w:r>
        <w:t xml:space="preserve">r = </w:t>
      </w:r>
      <w:r w:rsidRPr="00AA7E2E">
        <w:t>0.9885954</w:t>
      </w:r>
      <w:r>
        <w:rPr>
          <w:rStyle w:val="Refdenotaalpie"/>
        </w:rPr>
        <w:footnoteReference w:id="47"/>
      </w:r>
      <w:r>
        <w:t>;</w:t>
      </w:r>
    </w:p>
    <w:p w:rsidR="00F90EAB" w:rsidRDefault="00F90EAB" w:rsidP="00BE0EE5">
      <w:pPr>
        <w:widowControl w:val="0"/>
        <w:numPr>
          <w:ilvl w:val="0"/>
          <w:numId w:val="18"/>
        </w:numPr>
        <w:ind w:left="714" w:hanging="357"/>
      </w:pPr>
      <w:r>
        <w:t>Usuarios trimestre calculado para el primer y segundo trimestre de 2013:</w:t>
      </w:r>
    </w:p>
    <w:p w:rsidR="00F90EAB" w:rsidRDefault="00F90EAB" w:rsidP="00FD2C75"/>
    <w:p w:rsidR="00F90EAB" w:rsidRPr="00FD2C75" w:rsidRDefault="00F90EAB" w:rsidP="00FD2C75"/>
    <w:p w:rsidR="00F90EAB" w:rsidRDefault="00C85F33" w:rsidP="00F90EAB">
      <w:pPr>
        <w:pStyle w:val="T-Figura"/>
        <w:keepNext w:val="0"/>
        <w:keepLines w:val="0"/>
        <w:widowControl w:val="0"/>
        <w:ind w:left="0"/>
      </w:pPr>
      <w:r>
        <w:lastRenderedPageBreak/>
        <w:t>Cuadro A2.4</w:t>
      </w:r>
      <w:r w:rsidR="00F90EAB" w:rsidRPr="00847EBD">
        <w:t xml:space="preserve"> </w:t>
      </w:r>
      <w:r w:rsidR="00F90EAB">
        <w:t>–</w:t>
      </w:r>
      <w:r w:rsidR="00F90EAB" w:rsidRPr="00847EBD">
        <w:t xml:space="preserve"> </w:t>
      </w:r>
      <w:r w:rsidR="00F90EAB" w:rsidRPr="00600790">
        <w:t xml:space="preserve">Usuarios trimestre calculado para el </w:t>
      </w:r>
      <w:r w:rsidR="00F90EAB">
        <w:t>I y II</w:t>
      </w:r>
      <w:r w:rsidR="00F90EAB" w:rsidRPr="00600790">
        <w:t xml:space="preserve"> trimestre de 2013</w:t>
      </w:r>
    </w:p>
    <w:p w:rsidR="00F90EAB" w:rsidRDefault="00F90EAB" w:rsidP="00F90EAB">
      <w:pPr>
        <w:jc w:val="center"/>
      </w:pPr>
      <w:r>
        <w:rPr>
          <w:noProof/>
          <w:lang w:val="es-CO" w:eastAsia="es-CO"/>
        </w:rPr>
        <w:drawing>
          <wp:inline distT="0" distB="0" distL="0" distR="0">
            <wp:extent cx="5610225" cy="666750"/>
            <wp:effectExtent l="0" t="0" r="952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0225" cy="666750"/>
                    </a:xfrm>
                    <a:prstGeom prst="rect">
                      <a:avLst/>
                    </a:prstGeom>
                    <a:noFill/>
                    <a:ln>
                      <a:noFill/>
                    </a:ln>
                  </pic:spPr>
                </pic:pic>
              </a:graphicData>
            </a:graphic>
          </wp:inline>
        </w:drawing>
      </w:r>
    </w:p>
    <w:p w:rsidR="00F90EAB" w:rsidRPr="00544B68" w:rsidRDefault="00F90EAB" w:rsidP="00F90EAB">
      <w:pPr>
        <w:jc w:val="center"/>
        <w:rPr>
          <w:rFonts w:ascii="Century Gothic" w:hAnsi="Century Gothic"/>
          <w:color w:val="404040"/>
          <w:sz w:val="20"/>
          <w:szCs w:val="18"/>
        </w:rPr>
      </w:pPr>
      <w:r w:rsidRPr="00544B68">
        <w:rPr>
          <w:rFonts w:ascii="Century Gothic" w:hAnsi="Century Gothic"/>
          <w:color w:val="404040"/>
          <w:sz w:val="20"/>
          <w:szCs w:val="18"/>
        </w:rPr>
        <w:t>Fuente: Elaboración propia con base en información del DANE y MINTIC más cálculos propios</w:t>
      </w:r>
    </w:p>
    <w:p w:rsidR="00F90EAB" w:rsidRPr="00600790" w:rsidRDefault="00F90EAB" w:rsidP="00F90EAB">
      <w:r>
        <w:t xml:space="preserve">Nota: es importante tener en cuenta que la formulación propuesta sólo es válida para realizar predicciones a corto plazo, es decir no más allá de 3 trimestres por año y que la cifra del cuarto trimestre corresponde a aquella que el DANE estime siguiendo su metodología de </w:t>
      </w:r>
      <w:r w:rsidRPr="00E4426B">
        <w:t xml:space="preserve">obtención de muestras representativas a través de encuestas. También es importante anotar que en el momento en que el coeficiente de correlación (r) alcance un 70%, se sugiere el cambio de la  variable “Suscriptores trimestre referencia” por una con la que se guarde un mejor correlación. Para ello se sugiere seguir la metodología de </w:t>
      </w:r>
      <w:proofErr w:type="spellStart"/>
      <w:r w:rsidRPr="00600790">
        <w:t>Samarajiva</w:t>
      </w:r>
      <w:proofErr w:type="spellEnd"/>
      <w:r w:rsidRPr="00600790">
        <w:t xml:space="preserve"> &amp; Lucas, presentada en el informe 2 (</w:t>
      </w:r>
      <w:proofErr w:type="spellStart"/>
      <w:r w:rsidRPr="00600790">
        <w:t>Samarajiva</w:t>
      </w:r>
      <w:proofErr w:type="spellEnd"/>
      <w:r w:rsidRPr="00600790">
        <w:t xml:space="preserve"> &amp; Lucas, </w:t>
      </w:r>
      <w:proofErr w:type="spellStart"/>
      <w:r w:rsidRPr="00600790">
        <w:t>LIRNEasia</w:t>
      </w:r>
      <w:proofErr w:type="spellEnd"/>
      <w:r w:rsidRPr="00600790">
        <w:t>, 2010).</w:t>
      </w:r>
    </w:p>
    <w:p w:rsidR="00F90EAB" w:rsidRDefault="00F90EAB" w:rsidP="00F90EAB">
      <w:r w:rsidRPr="00600790">
        <w:t>En relación a las metodologías para el estimación del número de usuarios de internet en el contexto internacional, cómo</w:t>
      </w:r>
      <w:r w:rsidR="007035A5">
        <w:t xml:space="preserve"> se discutió ampliamente en el I</w:t>
      </w:r>
      <w:r w:rsidRPr="00600790">
        <w:t xml:space="preserve">nforme </w:t>
      </w:r>
      <w:r w:rsidR="007035A5">
        <w:t>II</w:t>
      </w:r>
      <w:r w:rsidRPr="00600790">
        <w:t>, la metodología estándar utilizada por la UIT corresponde a la obtención de muestras representativas a través de encuestas (ITU, 2009 b) dentro de las cuales se mide el parámetro “HH7 proporción de individuos que han utilizado internet desde cualquier lugar y a lo largo de los últimos 12 meses” y en menor medida el parámetro “HH6 proporción de hogares con acceso a internet”, parámetros que guardan directa relación con la población de la cual se obtiene la muestra. Por esta razón, para efectos comparativos, que permitan estimar el avance de la masificación del uso de internet, y dado que  no fue posible encontrar información sobre metodologías utilizadas por otros países salvo la reportada por la UIT (ITU, 2013 c), a continuación se presentan, para el año 2012, las estadísticas de aquellos países de la región que aplican la metodología utilizada por UIT, incluyendo otros que en el contexto internacional cuentan con los Porcentajes de Individuos utilizando Internet más altos (ITU, 2013 c)</w:t>
      </w:r>
      <w:r w:rsidRPr="00600790">
        <w:rPr>
          <w:rStyle w:val="Refdenotaalpie"/>
        </w:rPr>
        <w:footnoteReference w:id="48"/>
      </w:r>
      <w:r w:rsidRPr="00600790">
        <w:t xml:space="preserve">: </w:t>
      </w:r>
    </w:p>
    <w:p w:rsidR="007035A5" w:rsidRDefault="007035A5" w:rsidP="00F90EAB"/>
    <w:p w:rsidR="00F90EAB" w:rsidRPr="00600790" w:rsidRDefault="00C85F33" w:rsidP="00F90EAB">
      <w:pPr>
        <w:pStyle w:val="T-Figura"/>
        <w:keepNext w:val="0"/>
        <w:keepLines w:val="0"/>
        <w:widowControl w:val="0"/>
        <w:ind w:left="0"/>
      </w:pPr>
      <w:r>
        <w:lastRenderedPageBreak/>
        <w:t>Cuadro A2.5</w:t>
      </w:r>
      <w:r w:rsidR="00F90EAB" w:rsidRPr="00847EBD">
        <w:t xml:space="preserve"> </w:t>
      </w:r>
      <w:r w:rsidR="00F90EAB">
        <w:t>–</w:t>
      </w:r>
      <w:r w:rsidR="00F90EAB" w:rsidRPr="00847EBD">
        <w:t xml:space="preserve"> </w:t>
      </w:r>
      <w:r w:rsidR="00F90EAB" w:rsidRPr="00600790">
        <w:t xml:space="preserve">Usuarios trimestre calculado para el </w:t>
      </w:r>
      <w:r w:rsidR="00F90EAB">
        <w:t>I y II</w:t>
      </w:r>
      <w:r w:rsidR="00F90EAB" w:rsidRPr="00600790">
        <w:t xml:space="preserve"> trimestre de 2013</w:t>
      </w:r>
    </w:p>
    <w:tbl>
      <w:tblPr>
        <w:tblW w:w="0" w:type="auto"/>
        <w:jc w:val="center"/>
        <w:tblBorders>
          <w:top w:val="single" w:sz="4" w:space="0" w:color="BFBFBF" w:themeColor="background1" w:themeShade="BF"/>
          <w:bottom w:val="single" w:sz="4" w:space="0" w:color="BFBFBF" w:themeColor="background1" w:themeShade="BF"/>
          <w:right w:val="single" w:sz="4" w:space="0" w:color="FFFFFF"/>
          <w:insideH w:val="single" w:sz="4" w:space="0" w:color="BFBFBF" w:themeColor="background1" w:themeShade="BF"/>
        </w:tblBorders>
        <w:tblLook w:val="04A0"/>
      </w:tblPr>
      <w:tblGrid>
        <w:gridCol w:w="1228"/>
        <w:gridCol w:w="3616"/>
      </w:tblGrid>
      <w:tr w:rsidR="00F90EAB" w:rsidRPr="00600790" w:rsidTr="00F90EAB">
        <w:trPr>
          <w:jc w:val="center"/>
        </w:trPr>
        <w:tc>
          <w:tcPr>
            <w:tcW w:w="0" w:type="auto"/>
            <w:shd w:val="clear" w:color="auto" w:fill="A6A6A6" w:themeFill="background1" w:themeFillShade="A6"/>
          </w:tcPr>
          <w:p w:rsidR="00F90EAB" w:rsidRPr="00600790" w:rsidRDefault="00F90EAB" w:rsidP="00F90EAB">
            <w:pPr>
              <w:spacing w:before="0"/>
              <w:jc w:val="center"/>
              <w:rPr>
                <w:rFonts w:ascii="Arial Narrow" w:hAnsi="Arial Narrow"/>
                <w:b/>
                <w:sz w:val="20"/>
                <w:szCs w:val="20"/>
              </w:rPr>
            </w:pPr>
            <w:r w:rsidRPr="00600790">
              <w:rPr>
                <w:rFonts w:ascii="Arial Narrow" w:hAnsi="Arial Narrow"/>
                <w:b/>
                <w:sz w:val="20"/>
                <w:szCs w:val="20"/>
              </w:rPr>
              <w:t>País</w:t>
            </w:r>
          </w:p>
        </w:tc>
        <w:tc>
          <w:tcPr>
            <w:tcW w:w="0" w:type="auto"/>
            <w:shd w:val="clear" w:color="auto" w:fill="A6A6A6" w:themeFill="background1" w:themeFillShade="A6"/>
          </w:tcPr>
          <w:p w:rsidR="00F90EAB" w:rsidRPr="00600790" w:rsidRDefault="00F90EAB" w:rsidP="00F90EAB">
            <w:pPr>
              <w:spacing w:before="0"/>
              <w:jc w:val="center"/>
              <w:rPr>
                <w:rFonts w:ascii="Arial Narrow" w:hAnsi="Arial Narrow"/>
                <w:b/>
                <w:sz w:val="20"/>
                <w:szCs w:val="20"/>
              </w:rPr>
            </w:pPr>
            <w:r w:rsidRPr="00600790">
              <w:rPr>
                <w:rFonts w:ascii="Arial Narrow" w:hAnsi="Arial Narrow"/>
                <w:b/>
                <w:sz w:val="20"/>
                <w:szCs w:val="20"/>
              </w:rPr>
              <w:t>Porcentaje de Individuos utilizando Internet</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Colombia</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48,98</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 xml:space="preserve">Argentina </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55,80</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Costa Rica</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47,50</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Ecuador</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35,13</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México</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38,42</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 xml:space="preserve">Perú </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38,20</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Bélgica</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82,00</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Finlandia</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91,00</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Francia</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83,00</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 xml:space="preserve">Alemania </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84,00</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Corea del Sur</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84,10</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Países Bajos</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93,00</w:t>
            </w:r>
          </w:p>
        </w:tc>
      </w:tr>
      <w:tr w:rsidR="00F90EAB" w:rsidRPr="00600790" w:rsidTr="00F90EAB">
        <w:trPr>
          <w:jc w:val="center"/>
        </w:trPr>
        <w:tc>
          <w:tcPr>
            <w:tcW w:w="0" w:type="auto"/>
            <w:shd w:val="clear" w:color="auto" w:fill="FFFFFF"/>
          </w:tcPr>
          <w:p w:rsidR="00F90EAB" w:rsidRPr="00600790" w:rsidRDefault="00F90EAB" w:rsidP="00F90EAB">
            <w:pPr>
              <w:spacing w:before="0"/>
              <w:rPr>
                <w:rFonts w:ascii="Arial Narrow" w:hAnsi="Arial Narrow"/>
                <w:sz w:val="20"/>
                <w:szCs w:val="20"/>
              </w:rPr>
            </w:pPr>
            <w:r w:rsidRPr="00600790">
              <w:rPr>
                <w:rFonts w:ascii="Arial Narrow" w:hAnsi="Arial Narrow"/>
                <w:sz w:val="20"/>
                <w:szCs w:val="20"/>
              </w:rPr>
              <w:t xml:space="preserve">España </w:t>
            </w:r>
          </w:p>
        </w:tc>
        <w:tc>
          <w:tcPr>
            <w:tcW w:w="0" w:type="auto"/>
            <w:shd w:val="clear" w:color="auto" w:fill="FFFFFF"/>
          </w:tcPr>
          <w:p w:rsidR="00F90EAB" w:rsidRPr="00600790" w:rsidRDefault="00F90EAB" w:rsidP="00F90EAB">
            <w:pPr>
              <w:spacing w:before="0"/>
              <w:jc w:val="right"/>
              <w:rPr>
                <w:rFonts w:ascii="Arial Narrow" w:hAnsi="Arial Narrow"/>
                <w:sz w:val="20"/>
                <w:szCs w:val="20"/>
              </w:rPr>
            </w:pPr>
            <w:r w:rsidRPr="00600790">
              <w:rPr>
                <w:rFonts w:ascii="Arial Narrow" w:hAnsi="Arial Narrow"/>
                <w:sz w:val="20"/>
                <w:szCs w:val="20"/>
              </w:rPr>
              <w:t>72,00</w:t>
            </w:r>
          </w:p>
        </w:tc>
      </w:tr>
    </w:tbl>
    <w:p w:rsidR="00F90EAB" w:rsidRPr="00544B68" w:rsidRDefault="00F90EAB" w:rsidP="00F90EAB">
      <w:pPr>
        <w:jc w:val="center"/>
        <w:rPr>
          <w:rFonts w:ascii="Century Gothic" w:hAnsi="Century Gothic"/>
          <w:color w:val="404040"/>
          <w:sz w:val="20"/>
          <w:szCs w:val="18"/>
        </w:rPr>
      </w:pPr>
      <w:r w:rsidRPr="00544B68">
        <w:rPr>
          <w:rFonts w:ascii="Century Gothic" w:hAnsi="Century Gothic"/>
          <w:color w:val="404040"/>
          <w:sz w:val="20"/>
          <w:szCs w:val="18"/>
        </w:rPr>
        <w:t>Fuente: (ITU, 2013 c)</w:t>
      </w:r>
    </w:p>
    <w:p w:rsidR="00F90EAB" w:rsidRPr="00600790" w:rsidRDefault="00F90EAB" w:rsidP="00F90EAB">
      <w:pPr>
        <w:pStyle w:val="T-Figura"/>
        <w:keepNext w:val="0"/>
        <w:keepLines w:val="0"/>
        <w:widowControl w:val="0"/>
        <w:ind w:left="0"/>
      </w:pPr>
      <w:r>
        <w:rPr>
          <w:lang w:val="es-ES_tradnl"/>
        </w:rPr>
        <w:t>Figura</w:t>
      </w:r>
      <w:r w:rsidR="00C85F33">
        <w:t xml:space="preserve"> A2.3</w:t>
      </w:r>
      <w:r w:rsidRPr="00847EBD">
        <w:t xml:space="preserve"> </w:t>
      </w:r>
      <w:r>
        <w:t>–</w:t>
      </w:r>
      <w:r w:rsidRPr="00847EBD">
        <w:t xml:space="preserve"> </w:t>
      </w:r>
      <w:r>
        <w:t>Porcentaje de individuos utilizando internet</w:t>
      </w:r>
    </w:p>
    <w:p w:rsidR="00F90EAB" w:rsidRDefault="00F90EAB" w:rsidP="00F90EAB">
      <w:pPr>
        <w:jc w:val="center"/>
      </w:pPr>
      <w:r>
        <w:rPr>
          <w:noProof/>
          <w:lang w:val="es-CO" w:eastAsia="es-CO"/>
        </w:rPr>
        <w:drawing>
          <wp:inline distT="0" distB="0" distL="0" distR="0">
            <wp:extent cx="4591050" cy="23241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1050" cy="2324100"/>
                    </a:xfrm>
                    <a:prstGeom prst="rect">
                      <a:avLst/>
                    </a:prstGeom>
                    <a:noFill/>
                    <a:ln>
                      <a:noFill/>
                    </a:ln>
                  </pic:spPr>
                </pic:pic>
              </a:graphicData>
            </a:graphic>
          </wp:inline>
        </w:drawing>
      </w:r>
    </w:p>
    <w:p w:rsidR="00F90EAB" w:rsidRPr="00544B68" w:rsidRDefault="00F90EAB" w:rsidP="00F90EAB">
      <w:pPr>
        <w:jc w:val="center"/>
        <w:rPr>
          <w:sz w:val="28"/>
        </w:rPr>
      </w:pPr>
      <w:r w:rsidRPr="00544B68">
        <w:rPr>
          <w:rFonts w:ascii="Century Gothic" w:hAnsi="Century Gothic"/>
          <w:color w:val="404040"/>
          <w:sz w:val="20"/>
          <w:szCs w:val="18"/>
        </w:rPr>
        <w:t>Fuente: (ITU, 2013 c)</w:t>
      </w:r>
    </w:p>
    <w:p w:rsidR="00F90EAB" w:rsidRPr="001E7DC8" w:rsidRDefault="00F90EAB" w:rsidP="00F90EAB">
      <w:pPr>
        <w:rPr>
          <w:rFonts w:eastAsia="Times New Roman" w:cs="Times New Roman"/>
          <w:bCs/>
          <w:caps/>
          <w:color w:val="C00000"/>
          <w:lang w:eastAsia="es-ES"/>
        </w:rPr>
      </w:pPr>
      <w:r>
        <w:rPr>
          <w:rFonts w:eastAsia="Times New Roman" w:cs="Times New Roman"/>
          <w:bCs/>
          <w:caps/>
          <w:color w:val="C00000"/>
          <w:lang w:eastAsia="es-ES"/>
        </w:rPr>
        <w:br w:type="page"/>
      </w:r>
    </w:p>
    <w:p w:rsidR="00F90EAB" w:rsidRPr="00F90EAB" w:rsidRDefault="00F90EAB" w:rsidP="00F90EAB">
      <w:pPr>
        <w:rPr>
          <w:lang w:eastAsia="es-ES"/>
        </w:rPr>
      </w:pPr>
    </w:p>
    <w:p w:rsidR="00F90EAB" w:rsidRDefault="00F90EAB" w:rsidP="00E206EE">
      <w:pPr>
        <w:pStyle w:val="Titulocaptulo-Econometra"/>
        <w:contextualSpacing w:val="0"/>
      </w:pPr>
      <w:bookmarkStart w:id="184" w:name="_Toc405992330"/>
      <w:r>
        <w:t>Anexo A</w:t>
      </w:r>
      <w:r w:rsidR="00C85F33">
        <w:t>3</w:t>
      </w:r>
      <w:bookmarkEnd w:id="184"/>
    </w:p>
    <w:p w:rsidR="00EB7854" w:rsidRPr="00EB4D09" w:rsidRDefault="00EB7854" w:rsidP="00E206EE">
      <w:pPr>
        <w:pStyle w:val="Titulocaptulo-Econometra"/>
        <w:contextualSpacing w:val="0"/>
      </w:pPr>
      <w:bookmarkStart w:id="185" w:name="_Toc405992331"/>
      <w:r w:rsidRPr="00EB4D09">
        <w:t>Resultados Talleres Delphos</w:t>
      </w:r>
      <w:bookmarkEnd w:id="185"/>
    </w:p>
    <w:p w:rsidR="00580918" w:rsidRPr="00580918" w:rsidRDefault="00580918" w:rsidP="00580918">
      <w:pPr>
        <w:spacing w:before="0" w:after="200"/>
        <w:rPr>
          <w:lang w:val="es-MX" w:eastAsia="es-CO"/>
        </w:rPr>
      </w:pPr>
      <w:r w:rsidRPr="00580918">
        <w:rPr>
          <w:lang w:val="es-MX" w:eastAsia="es-CO"/>
        </w:rPr>
        <w:t>En el marco de la evaluación se realizaron dos talleres Delphos: uno con los líderes de los proyecto</w:t>
      </w:r>
      <w:r w:rsidR="00DC76A2">
        <w:rPr>
          <w:lang w:val="es-MX" w:eastAsia="es-CO"/>
        </w:rPr>
        <w:t>s del Plan Vive Digital del MINTIC</w:t>
      </w:r>
      <w:r w:rsidRPr="00580918">
        <w:rPr>
          <w:lang w:val="es-MX" w:eastAsia="es-CO"/>
        </w:rPr>
        <w:t xml:space="preserve"> el 17 de octubre de 2013 y otro con las instituciones identificadas como autoridades del sector el 30 de octubre de 2013</w:t>
      </w:r>
      <w:r w:rsidRPr="00580918">
        <w:rPr>
          <w:vertAlign w:val="superscript"/>
          <w:lang w:val="es-MX" w:eastAsia="es-CO"/>
        </w:rPr>
        <w:footnoteReference w:id="49"/>
      </w:r>
      <w:r w:rsidRPr="00580918">
        <w:rPr>
          <w:lang w:val="es-MX" w:eastAsia="es-CO"/>
        </w:rPr>
        <w:t xml:space="preserve">. </w:t>
      </w:r>
      <w:r w:rsidR="00A04B37">
        <w:rPr>
          <w:lang w:val="es-MX" w:eastAsia="es-CO"/>
        </w:rPr>
        <w:t>Las fichas técnicas de cada ejercicio</w:t>
      </w:r>
      <w:r w:rsidRPr="00580918">
        <w:rPr>
          <w:lang w:val="es-MX" w:eastAsia="es-CO"/>
        </w:rPr>
        <w:t xml:space="preserve"> muestra</w:t>
      </w:r>
      <w:r w:rsidR="00A04B37">
        <w:rPr>
          <w:lang w:val="es-MX" w:eastAsia="es-CO"/>
        </w:rPr>
        <w:t>n</w:t>
      </w:r>
      <w:r w:rsidRPr="00580918">
        <w:rPr>
          <w:lang w:val="es-MX" w:eastAsia="es-CO"/>
        </w:rPr>
        <w:t xml:space="preserve"> el detalle de los participantes en esta actividad:</w:t>
      </w:r>
    </w:p>
    <w:p w:rsidR="00580918" w:rsidRPr="00580918" w:rsidRDefault="00580918" w:rsidP="00F76A19">
      <w:pPr>
        <w:pStyle w:val="T-Figura"/>
        <w:rPr>
          <w:caps/>
          <w:lang w:eastAsia="es-CO"/>
        </w:rPr>
      </w:pPr>
      <w:r w:rsidRPr="00580918">
        <w:rPr>
          <w:lang w:eastAsia="es-CO"/>
        </w:rPr>
        <w:t>Cuadro A</w:t>
      </w:r>
      <w:r w:rsidR="00C85F33">
        <w:rPr>
          <w:lang w:eastAsia="es-CO"/>
        </w:rPr>
        <w:t>3</w:t>
      </w:r>
      <w:r w:rsidRPr="00580918">
        <w:rPr>
          <w:lang w:eastAsia="es-CO"/>
        </w:rPr>
        <w:t>.2 – Participantes taller autoridades del sector</w:t>
      </w:r>
    </w:p>
    <w:tbl>
      <w:tblPr>
        <w:tblW w:w="0" w:type="auto"/>
        <w:jc w:val="center"/>
        <w:tblBorders>
          <w:bottom w:val="single" w:sz="6" w:space="0" w:color="A6A6A6"/>
          <w:insideH w:val="single" w:sz="6" w:space="0" w:color="A6A6A6"/>
        </w:tblBorders>
        <w:tblLook w:val="04A0"/>
      </w:tblPr>
      <w:tblGrid>
        <w:gridCol w:w="2244"/>
        <w:gridCol w:w="2728"/>
      </w:tblGrid>
      <w:tr w:rsidR="00580918" w:rsidRPr="00580918" w:rsidTr="00547853">
        <w:trPr>
          <w:jc w:val="center"/>
        </w:trPr>
        <w:tc>
          <w:tcPr>
            <w:tcW w:w="2244" w:type="dxa"/>
            <w:tcBorders>
              <w:top w:val="nil"/>
              <w:left w:val="nil"/>
              <w:bottom w:val="single" w:sz="4" w:space="0" w:color="FFFFFF"/>
              <w:right w:val="nil"/>
              <w:tl2br w:val="nil"/>
              <w:tr2bl w:val="nil"/>
            </w:tcBorders>
            <w:shd w:val="clear" w:color="auto" w:fill="A6A6A6"/>
          </w:tcPr>
          <w:p w:rsidR="00580918" w:rsidRPr="00580918" w:rsidRDefault="00580918" w:rsidP="00580918">
            <w:pPr>
              <w:spacing w:before="0" w:after="200"/>
              <w:jc w:val="left"/>
              <w:rPr>
                <w:rFonts w:ascii="Arial Narrow" w:hAnsi="Arial Narrow"/>
                <w:b/>
                <w:caps/>
                <w:sz w:val="20"/>
                <w:szCs w:val="20"/>
                <w:lang w:val="es-CO" w:eastAsia="es-CO"/>
              </w:rPr>
            </w:pPr>
            <w:r w:rsidRPr="00580918">
              <w:rPr>
                <w:rFonts w:ascii="Arial Narrow" w:hAnsi="Arial Narrow"/>
                <w:b/>
                <w:sz w:val="20"/>
                <w:szCs w:val="20"/>
                <w:lang w:val="es-CO" w:eastAsia="es-CO"/>
              </w:rPr>
              <w:t>Participante</w:t>
            </w:r>
          </w:p>
        </w:tc>
        <w:tc>
          <w:tcPr>
            <w:tcW w:w="2728" w:type="dxa"/>
            <w:tcBorders>
              <w:top w:val="nil"/>
              <w:left w:val="nil"/>
              <w:bottom w:val="single" w:sz="4" w:space="0" w:color="FFFFFF"/>
              <w:right w:val="nil"/>
              <w:tl2br w:val="nil"/>
              <w:tr2bl w:val="nil"/>
            </w:tcBorders>
            <w:shd w:val="clear" w:color="auto" w:fill="A6A6A6"/>
            <w:vAlign w:val="center"/>
          </w:tcPr>
          <w:p w:rsidR="00580918" w:rsidRPr="00580918" w:rsidRDefault="00580918" w:rsidP="00580918">
            <w:pPr>
              <w:spacing w:before="0" w:after="200"/>
              <w:jc w:val="left"/>
              <w:rPr>
                <w:rFonts w:ascii="Arial Narrow" w:hAnsi="Arial Narrow"/>
                <w:b/>
                <w:caps/>
                <w:sz w:val="20"/>
                <w:szCs w:val="20"/>
                <w:lang w:val="es-CO" w:eastAsia="es-CO"/>
              </w:rPr>
            </w:pPr>
            <w:r w:rsidRPr="00580918">
              <w:rPr>
                <w:rFonts w:ascii="Arial Narrow" w:hAnsi="Arial Narrow"/>
                <w:b/>
                <w:sz w:val="20"/>
                <w:szCs w:val="20"/>
                <w:lang w:val="es-CO" w:eastAsia="es-CO"/>
              </w:rPr>
              <w:t>Entidad</w:t>
            </w:r>
          </w:p>
        </w:tc>
      </w:tr>
      <w:tr w:rsidR="00580918" w:rsidRPr="00580918" w:rsidTr="00547853">
        <w:trPr>
          <w:trHeight w:hRule="exact" w:val="255"/>
          <w:jc w:val="center"/>
        </w:trPr>
        <w:tc>
          <w:tcPr>
            <w:tcW w:w="2244" w:type="dxa"/>
            <w:tcBorders>
              <w:top w:val="nil"/>
            </w:tcBorders>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Camilo Martínez</w:t>
            </w:r>
          </w:p>
        </w:tc>
        <w:tc>
          <w:tcPr>
            <w:tcW w:w="2728" w:type="dxa"/>
            <w:tcBorders>
              <w:top w:val="nil"/>
            </w:tcBorders>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DNP</w:t>
            </w:r>
          </w:p>
        </w:tc>
      </w:tr>
      <w:tr w:rsidR="00580918" w:rsidRPr="00580918" w:rsidTr="00547853">
        <w:trPr>
          <w:trHeight w:hRule="exact" w:val="255"/>
          <w:jc w:val="center"/>
        </w:trPr>
        <w:tc>
          <w:tcPr>
            <w:tcW w:w="2244" w:type="dxa"/>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 xml:space="preserve">Diana Celis </w:t>
            </w:r>
          </w:p>
        </w:tc>
        <w:tc>
          <w:tcPr>
            <w:tcW w:w="2728" w:type="dxa"/>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Señal Colombia</w:t>
            </w:r>
          </w:p>
        </w:tc>
      </w:tr>
      <w:tr w:rsidR="00580918" w:rsidRPr="00580918" w:rsidTr="00547853">
        <w:trPr>
          <w:trHeight w:hRule="exact" w:val="255"/>
          <w:jc w:val="center"/>
        </w:trPr>
        <w:tc>
          <w:tcPr>
            <w:tcW w:w="2244" w:type="dxa"/>
            <w:tcBorders>
              <w:top w:val="nil"/>
            </w:tcBorders>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Juan Pablo Hernández</w:t>
            </w:r>
          </w:p>
        </w:tc>
        <w:tc>
          <w:tcPr>
            <w:tcW w:w="2728" w:type="dxa"/>
            <w:tcBorders>
              <w:top w:val="nil"/>
            </w:tcBorders>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CRC</w:t>
            </w:r>
          </w:p>
        </w:tc>
      </w:tr>
      <w:tr w:rsidR="00580918" w:rsidRPr="00580918" w:rsidTr="00547853">
        <w:trPr>
          <w:trHeight w:hRule="exact" w:val="255"/>
          <w:jc w:val="center"/>
        </w:trPr>
        <w:tc>
          <w:tcPr>
            <w:tcW w:w="2244" w:type="dxa"/>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Carlos Troncoso</w:t>
            </w:r>
          </w:p>
        </w:tc>
        <w:tc>
          <w:tcPr>
            <w:tcW w:w="2728" w:type="dxa"/>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DANE</w:t>
            </w:r>
          </w:p>
        </w:tc>
      </w:tr>
      <w:tr w:rsidR="00580918" w:rsidRPr="00580918" w:rsidTr="00547853">
        <w:trPr>
          <w:trHeight w:hRule="exact" w:val="255"/>
          <w:jc w:val="center"/>
        </w:trPr>
        <w:tc>
          <w:tcPr>
            <w:tcW w:w="2244" w:type="dxa"/>
            <w:tcBorders>
              <w:top w:val="nil"/>
            </w:tcBorders>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Mariana Viña</w:t>
            </w:r>
          </w:p>
        </w:tc>
        <w:tc>
          <w:tcPr>
            <w:tcW w:w="2728" w:type="dxa"/>
            <w:tcBorders>
              <w:top w:val="nil"/>
            </w:tcBorders>
            <w:shd w:val="clear" w:color="auto" w:fill="FFFFFF"/>
            <w:vAlign w:val="bottom"/>
          </w:tcPr>
          <w:p w:rsidR="00580918" w:rsidRPr="00580918" w:rsidRDefault="00580918" w:rsidP="00580918">
            <w:pPr>
              <w:spacing w:before="0" w:after="200"/>
              <w:jc w:val="left"/>
              <w:rPr>
                <w:rFonts w:ascii="Arial Narrow" w:hAnsi="Arial Narrow" w:cs="Arial"/>
                <w:sz w:val="20"/>
                <w:szCs w:val="20"/>
                <w:lang w:val="es-CO" w:eastAsia="es-CO"/>
              </w:rPr>
            </w:pPr>
            <w:r w:rsidRPr="00580918">
              <w:rPr>
                <w:rFonts w:ascii="Arial Narrow" w:hAnsi="Arial Narrow" w:cs="Arial"/>
                <w:sz w:val="20"/>
                <w:szCs w:val="20"/>
                <w:lang w:val="es-CO" w:eastAsia="es-CO"/>
              </w:rPr>
              <w:t>ANTV</w:t>
            </w:r>
          </w:p>
        </w:tc>
      </w:tr>
    </w:tbl>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caps/>
          <w:lang w:val="es-CO" w:eastAsia="es-CO"/>
        </w:rPr>
      </w:pPr>
      <w:r w:rsidRPr="00580918">
        <w:rPr>
          <w:lang w:val="es-CO" w:eastAsia="es-CO"/>
        </w:rPr>
        <w:t>Algunas preguntas son comunes a los dos grupos mientras que otras son específicas para cada uno. A continuación se presentan las principales conclusiones.</w:t>
      </w:r>
    </w:p>
    <w:p w:rsidR="00580918" w:rsidRPr="00EC3974" w:rsidRDefault="006D3520" w:rsidP="00547853">
      <w:pPr>
        <w:keepNext/>
        <w:keepLines/>
        <w:spacing w:before="0" w:after="200" w:line="240" w:lineRule="atLeast"/>
        <w:jc w:val="left"/>
        <w:outlineLvl w:val="0"/>
        <w:rPr>
          <w:rFonts w:ascii="Century Gothic" w:eastAsia="Times New Roman" w:hAnsi="Century Gothic" w:cs="Times New Roman"/>
          <w:bCs/>
          <w:smallCaps/>
          <w:color w:val="C00000"/>
          <w:sz w:val="30"/>
          <w:szCs w:val="30"/>
          <w:lang w:val="es-ES" w:eastAsia="es-CO"/>
        </w:rPr>
      </w:pPr>
      <w:r>
        <w:rPr>
          <w:rFonts w:ascii="Century Gothic" w:eastAsia="Times New Roman" w:hAnsi="Century Gothic" w:cs="Times New Roman"/>
          <w:bCs/>
          <w:smallCaps/>
          <w:color w:val="C00000"/>
          <w:sz w:val="30"/>
          <w:szCs w:val="30"/>
          <w:lang w:val="es-ES" w:eastAsia="es-CO"/>
        </w:rPr>
        <w:t xml:space="preserve">A3. 1 </w:t>
      </w:r>
      <w:r w:rsidR="00580918" w:rsidRPr="00EC3974">
        <w:rPr>
          <w:rFonts w:ascii="Century Gothic" w:eastAsia="Times New Roman" w:hAnsi="Century Gothic" w:cs="Times New Roman"/>
          <w:bCs/>
          <w:smallCaps/>
          <w:color w:val="C00000"/>
          <w:sz w:val="30"/>
          <w:szCs w:val="30"/>
          <w:lang w:val="es-ES" w:eastAsia="es-CO"/>
        </w:rPr>
        <w:t>Taller con líderes de proyectos</w:t>
      </w:r>
    </w:p>
    <w:p w:rsidR="00580918" w:rsidRDefault="00580918" w:rsidP="00580918">
      <w:pPr>
        <w:widowControl w:val="0"/>
        <w:spacing w:after="200"/>
        <w:rPr>
          <w:lang w:val="es-MX" w:eastAsia="es-CO"/>
        </w:rPr>
      </w:pPr>
      <w:bookmarkStart w:id="186" w:name="_GoBack"/>
      <w:r w:rsidRPr="00580918">
        <w:rPr>
          <w:lang w:val="es-ES" w:eastAsia="es-CO"/>
        </w:rPr>
        <w:t xml:space="preserve">El objetivo del taller Delphos fue </w:t>
      </w:r>
      <w:r w:rsidRPr="00580918">
        <w:rPr>
          <w:lang w:val="es-MX" w:eastAsia="es-CO"/>
        </w:rPr>
        <w:t xml:space="preserve">consultar sobre el funcionamiento del Ecosistema Digital, los logros y cuellos de botella del Plan Vive Digital. </w:t>
      </w:r>
    </w:p>
    <w:tbl>
      <w:tblPr>
        <w:tblW w:w="5000" w:type="pct"/>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tblBorders>
        <w:shd w:val="clear" w:color="auto" w:fill="FFFFFF" w:themeFill="background1"/>
        <w:tblCellMar>
          <w:left w:w="0" w:type="dxa"/>
          <w:right w:w="0" w:type="dxa"/>
        </w:tblCellMar>
        <w:tblLook w:val="0600"/>
      </w:tblPr>
      <w:tblGrid>
        <w:gridCol w:w="1430"/>
        <w:gridCol w:w="2368"/>
        <w:gridCol w:w="190"/>
        <w:gridCol w:w="1232"/>
        <w:gridCol w:w="3642"/>
      </w:tblGrid>
      <w:tr w:rsidR="00EF617D" w:rsidRPr="00EF617D" w:rsidTr="00DD1A16">
        <w:trPr>
          <w:trHeight w:val="20"/>
        </w:trPr>
        <w:tc>
          <w:tcPr>
            <w:tcW w:w="5000" w:type="pct"/>
            <w:gridSpan w:val="5"/>
            <w:shd w:val="clear" w:color="auto" w:fill="BFBFBF" w:themeFill="background1" w:themeFillShade="BF"/>
            <w:tcMar>
              <w:top w:w="12" w:type="dxa"/>
              <w:left w:w="12" w:type="dxa"/>
              <w:bottom w:w="0" w:type="dxa"/>
              <w:right w:w="12" w:type="dxa"/>
            </w:tcMar>
            <w:vAlign w:val="center"/>
            <w:hideMark/>
          </w:tcPr>
          <w:bookmarkEnd w:id="186"/>
          <w:p w:rsidR="00EF617D" w:rsidRPr="00EF617D" w:rsidRDefault="00EF617D" w:rsidP="00EF617D">
            <w:pPr>
              <w:spacing w:before="100" w:beforeAutospacing="1" w:after="100" w:afterAutospacing="1" w:line="240" w:lineRule="auto"/>
              <w:jc w:val="center"/>
              <w:rPr>
                <w:rFonts w:ascii="Arial Narrow" w:hAnsi="Arial Narrow"/>
                <w:sz w:val="20"/>
                <w:szCs w:val="20"/>
              </w:rPr>
            </w:pPr>
            <w:r w:rsidRPr="00EF617D">
              <w:rPr>
                <w:rFonts w:ascii="Arial Narrow" w:hAnsi="Arial Narrow"/>
                <w:b/>
                <w:bCs/>
                <w:sz w:val="20"/>
                <w:szCs w:val="20"/>
              </w:rPr>
              <w:t>Ficha técnica</w:t>
            </w:r>
          </w:p>
        </w:tc>
      </w:tr>
      <w:tr w:rsidR="00271BF7" w:rsidRPr="00EF617D" w:rsidTr="00A04B37">
        <w:trPr>
          <w:trHeight w:val="340"/>
        </w:trPr>
        <w:tc>
          <w:tcPr>
            <w:tcW w:w="807"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EF617D" w:rsidP="007C69F6">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Título</w:t>
            </w:r>
          </w:p>
        </w:tc>
        <w:tc>
          <w:tcPr>
            <w:tcW w:w="4193" w:type="pct"/>
            <w:gridSpan w:val="4"/>
            <w:tcBorders>
              <w:lef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494080" w:rsidP="007C69F6">
            <w:pPr>
              <w:spacing w:before="100" w:beforeAutospacing="1" w:after="100" w:afterAutospacing="1" w:line="240" w:lineRule="auto"/>
              <w:rPr>
                <w:rFonts w:ascii="Arial Narrow" w:hAnsi="Arial Narrow"/>
                <w:sz w:val="20"/>
                <w:szCs w:val="20"/>
              </w:rPr>
            </w:pPr>
            <w:r>
              <w:rPr>
                <w:rFonts w:ascii="Arial Narrow" w:hAnsi="Arial Narrow"/>
                <w:sz w:val="20"/>
                <w:szCs w:val="20"/>
              </w:rPr>
              <w:t>Taller Delphos</w:t>
            </w:r>
          </w:p>
        </w:tc>
      </w:tr>
      <w:tr w:rsidR="00271BF7" w:rsidRPr="00EF617D" w:rsidTr="00A04B37">
        <w:trPr>
          <w:trHeight w:val="340"/>
        </w:trPr>
        <w:tc>
          <w:tcPr>
            <w:tcW w:w="807"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EF617D" w:rsidP="007C69F6">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Proceso</w:t>
            </w:r>
          </w:p>
        </w:tc>
        <w:tc>
          <w:tcPr>
            <w:tcW w:w="4193" w:type="pct"/>
            <w:gridSpan w:val="4"/>
            <w:tcBorders>
              <w:lef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494080" w:rsidP="007C69F6">
            <w:pPr>
              <w:spacing w:before="100" w:beforeAutospacing="1" w:after="100" w:afterAutospacing="1" w:line="240" w:lineRule="auto"/>
              <w:rPr>
                <w:rFonts w:ascii="Arial Narrow" w:hAnsi="Arial Narrow"/>
                <w:sz w:val="20"/>
                <w:szCs w:val="20"/>
              </w:rPr>
            </w:pPr>
            <w:r>
              <w:rPr>
                <w:rFonts w:ascii="Arial Narrow" w:hAnsi="Arial Narrow"/>
                <w:sz w:val="20"/>
                <w:szCs w:val="20"/>
              </w:rPr>
              <w:t>Taller con líderes de proyectos del MINTIC</w:t>
            </w:r>
          </w:p>
        </w:tc>
      </w:tr>
      <w:tr w:rsidR="00271BF7" w:rsidRPr="00EF617D" w:rsidTr="00A04B37">
        <w:trPr>
          <w:trHeight w:val="2262"/>
        </w:trPr>
        <w:tc>
          <w:tcPr>
            <w:tcW w:w="807"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EF617D" w:rsidP="007C69F6">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lastRenderedPageBreak/>
              <w:t>Subprocesos (Alcance)</w:t>
            </w:r>
          </w:p>
        </w:tc>
        <w:tc>
          <w:tcPr>
            <w:tcW w:w="4193" w:type="pct"/>
            <w:gridSpan w:val="4"/>
            <w:tcBorders>
              <w:left w:val="single" w:sz="8" w:space="0" w:color="BFBFBF" w:themeColor="background1" w:themeShade="BF"/>
              <w:bottom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Default="00491321" w:rsidP="00613C5C">
            <w:pPr>
              <w:pStyle w:val="Prrafodelista"/>
              <w:numPr>
                <w:ilvl w:val="0"/>
                <w:numId w:val="53"/>
              </w:numPr>
              <w:spacing w:before="100" w:beforeAutospacing="1" w:line="240" w:lineRule="auto"/>
              <w:jc w:val="left"/>
              <w:rPr>
                <w:rFonts w:ascii="Arial Narrow" w:hAnsi="Arial Narrow"/>
                <w:sz w:val="20"/>
                <w:szCs w:val="20"/>
              </w:rPr>
            </w:pPr>
            <w:r>
              <w:rPr>
                <w:rFonts w:ascii="Arial Narrow" w:hAnsi="Arial Narrow"/>
                <w:sz w:val="20"/>
                <w:szCs w:val="20"/>
              </w:rPr>
              <w:t>Responder</w:t>
            </w:r>
            <w:r w:rsidRPr="00491321">
              <w:rPr>
                <w:rFonts w:ascii="Arial Narrow" w:hAnsi="Arial Narrow"/>
                <w:sz w:val="20"/>
                <w:szCs w:val="20"/>
              </w:rPr>
              <w:t xml:space="preserve"> individualmente las preguntas de</w:t>
            </w:r>
            <w:r>
              <w:rPr>
                <w:rFonts w:ascii="Arial Narrow" w:hAnsi="Arial Narrow"/>
                <w:sz w:val="20"/>
                <w:szCs w:val="20"/>
              </w:rPr>
              <w:t xml:space="preserve"> un formulario cuyos resultados serán socializados en una siguiente etapa del taller</w:t>
            </w:r>
            <w:r w:rsidR="00CB5982">
              <w:rPr>
                <w:rFonts w:ascii="Arial Narrow" w:hAnsi="Arial Narrow"/>
                <w:sz w:val="20"/>
                <w:szCs w:val="20"/>
              </w:rPr>
              <w:t>.</w:t>
            </w:r>
            <w:r w:rsidRPr="00491321">
              <w:rPr>
                <w:rFonts w:ascii="Arial Narrow" w:hAnsi="Arial Narrow"/>
                <w:sz w:val="20"/>
                <w:szCs w:val="20"/>
              </w:rPr>
              <w:t xml:space="preserve"> </w:t>
            </w:r>
            <w:r w:rsidR="00CB5982">
              <w:rPr>
                <w:rFonts w:ascii="Arial Narrow" w:hAnsi="Arial Narrow"/>
                <w:sz w:val="20"/>
                <w:szCs w:val="20"/>
              </w:rPr>
              <w:t xml:space="preserve">Se </w:t>
            </w:r>
            <w:r w:rsidRPr="00491321">
              <w:rPr>
                <w:rFonts w:ascii="Arial Narrow" w:hAnsi="Arial Narrow"/>
                <w:sz w:val="20"/>
                <w:szCs w:val="20"/>
              </w:rPr>
              <w:t xml:space="preserve"> selecciona sólo una de la</w:t>
            </w:r>
            <w:r w:rsidR="00CB5982">
              <w:rPr>
                <w:rFonts w:ascii="Arial Narrow" w:hAnsi="Arial Narrow"/>
                <w:sz w:val="20"/>
                <w:szCs w:val="20"/>
              </w:rPr>
              <w:t>s respuestas para cada pregunta</w:t>
            </w:r>
          </w:p>
          <w:p w:rsidR="00CB5982" w:rsidRDefault="00CB5982" w:rsidP="00613C5C">
            <w:pPr>
              <w:pStyle w:val="Prrafodelista"/>
              <w:numPr>
                <w:ilvl w:val="0"/>
                <w:numId w:val="53"/>
              </w:numPr>
              <w:spacing w:before="100" w:beforeAutospacing="1" w:line="240" w:lineRule="auto"/>
              <w:jc w:val="left"/>
              <w:rPr>
                <w:rFonts w:ascii="Arial Narrow" w:hAnsi="Arial Narrow"/>
                <w:sz w:val="20"/>
                <w:szCs w:val="20"/>
              </w:rPr>
            </w:pPr>
            <w:r>
              <w:rPr>
                <w:rFonts w:ascii="Arial Narrow" w:hAnsi="Arial Narrow"/>
                <w:sz w:val="20"/>
                <w:szCs w:val="20"/>
              </w:rPr>
              <w:t>Realizar</w:t>
            </w:r>
            <w:r w:rsidRPr="00CB5982">
              <w:rPr>
                <w:rFonts w:ascii="Arial Narrow" w:hAnsi="Arial Narrow"/>
                <w:sz w:val="20"/>
                <w:szCs w:val="20"/>
              </w:rPr>
              <w:t xml:space="preserve"> una presentación sobre el estudio que lleva a cabo </w:t>
            </w:r>
            <w:r>
              <w:rPr>
                <w:rFonts w:ascii="Arial Narrow" w:hAnsi="Arial Narrow"/>
                <w:sz w:val="20"/>
                <w:szCs w:val="20"/>
              </w:rPr>
              <w:t>la consultoría</w:t>
            </w:r>
            <w:r w:rsidRPr="00CB5982">
              <w:rPr>
                <w:rFonts w:ascii="Arial Narrow" w:hAnsi="Arial Narrow"/>
                <w:sz w:val="20"/>
                <w:szCs w:val="20"/>
              </w:rPr>
              <w:t xml:space="preserve"> y los temas estratégicos seleccionados</w:t>
            </w:r>
          </w:p>
          <w:p w:rsidR="00CB5982" w:rsidRDefault="00CB5982" w:rsidP="00613C5C">
            <w:pPr>
              <w:pStyle w:val="Prrafodelista"/>
              <w:numPr>
                <w:ilvl w:val="0"/>
                <w:numId w:val="53"/>
              </w:numPr>
              <w:spacing w:before="100" w:beforeAutospacing="1" w:line="240" w:lineRule="auto"/>
              <w:jc w:val="left"/>
              <w:rPr>
                <w:rFonts w:ascii="Arial Narrow" w:hAnsi="Arial Narrow"/>
                <w:sz w:val="20"/>
                <w:szCs w:val="20"/>
              </w:rPr>
            </w:pPr>
            <w:r>
              <w:rPr>
                <w:rFonts w:ascii="Arial Narrow" w:hAnsi="Arial Narrow"/>
                <w:sz w:val="20"/>
                <w:szCs w:val="20"/>
              </w:rPr>
              <w:t>Análisis de l</w:t>
            </w:r>
            <w:r w:rsidRPr="00CB5982">
              <w:rPr>
                <w:rFonts w:ascii="Arial Narrow" w:hAnsi="Arial Narrow"/>
                <w:sz w:val="20"/>
                <w:szCs w:val="20"/>
              </w:rPr>
              <w:t xml:space="preserve">os resultados de la encuesta </w:t>
            </w:r>
            <w:r w:rsidR="004111FD">
              <w:rPr>
                <w:rFonts w:ascii="Arial Narrow" w:hAnsi="Arial Narrow"/>
                <w:sz w:val="20"/>
                <w:szCs w:val="20"/>
              </w:rPr>
              <w:t xml:space="preserve"> entre los asistentes </w:t>
            </w:r>
            <w:r w:rsidRPr="00CB5982">
              <w:rPr>
                <w:rFonts w:ascii="Arial Narrow" w:hAnsi="Arial Narrow"/>
                <w:sz w:val="20"/>
                <w:szCs w:val="20"/>
              </w:rPr>
              <w:t>y discu</w:t>
            </w:r>
            <w:r w:rsidR="004111FD">
              <w:rPr>
                <w:rFonts w:ascii="Arial Narrow" w:hAnsi="Arial Narrow"/>
                <w:sz w:val="20"/>
                <w:szCs w:val="20"/>
              </w:rPr>
              <w:t>sión de</w:t>
            </w:r>
            <w:r w:rsidRPr="00CB5982">
              <w:rPr>
                <w:rFonts w:ascii="Arial Narrow" w:hAnsi="Arial Narrow"/>
                <w:sz w:val="20"/>
                <w:szCs w:val="20"/>
              </w:rPr>
              <w:t xml:space="preserve"> las difere</w:t>
            </w:r>
            <w:r w:rsidR="004111FD">
              <w:rPr>
                <w:rFonts w:ascii="Arial Narrow" w:hAnsi="Arial Narrow"/>
                <w:sz w:val="20"/>
                <w:szCs w:val="20"/>
              </w:rPr>
              <w:t>ntes posiciones sobre cada tema</w:t>
            </w:r>
          </w:p>
          <w:p w:rsidR="004111FD" w:rsidRPr="00491321" w:rsidRDefault="004111FD" w:rsidP="00613C5C">
            <w:pPr>
              <w:pStyle w:val="Prrafodelista"/>
              <w:numPr>
                <w:ilvl w:val="0"/>
                <w:numId w:val="53"/>
              </w:numPr>
              <w:spacing w:before="100" w:beforeAutospacing="1" w:line="240" w:lineRule="auto"/>
              <w:jc w:val="left"/>
              <w:rPr>
                <w:rFonts w:ascii="Arial Narrow" w:hAnsi="Arial Narrow"/>
                <w:sz w:val="20"/>
                <w:szCs w:val="20"/>
              </w:rPr>
            </w:pPr>
            <w:r>
              <w:rPr>
                <w:rFonts w:ascii="Arial Narrow" w:hAnsi="Arial Narrow"/>
                <w:sz w:val="20"/>
                <w:szCs w:val="20"/>
              </w:rPr>
              <w:t>L</w:t>
            </w:r>
            <w:r w:rsidRPr="004111FD">
              <w:rPr>
                <w:rFonts w:ascii="Arial Narrow" w:hAnsi="Arial Narrow"/>
                <w:sz w:val="20"/>
                <w:szCs w:val="20"/>
              </w:rPr>
              <w:t>os asistentes responde</w:t>
            </w:r>
            <w:r>
              <w:rPr>
                <w:rFonts w:ascii="Arial Narrow" w:hAnsi="Arial Narrow"/>
                <w:sz w:val="20"/>
                <w:szCs w:val="20"/>
              </w:rPr>
              <w:t>n</w:t>
            </w:r>
            <w:r w:rsidRPr="004111FD">
              <w:rPr>
                <w:rFonts w:ascii="Arial Narrow" w:hAnsi="Arial Narrow"/>
                <w:sz w:val="20"/>
                <w:szCs w:val="20"/>
              </w:rPr>
              <w:t xml:space="preserve"> nuevamente el formulario, de manera anónima, teniendo en cuenta los argumentos escuchados durante la discusión.</w:t>
            </w:r>
          </w:p>
        </w:tc>
      </w:tr>
      <w:tr w:rsidR="00271BF7" w:rsidRPr="00EF617D" w:rsidTr="00A04B37">
        <w:trPr>
          <w:trHeight w:val="20"/>
        </w:trPr>
        <w:tc>
          <w:tcPr>
            <w:tcW w:w="807"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EF617D" w:rsidP="007C69F6">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Objetivo</w:t>
            </w:r>
          </w:p>
        </w:tc>
        <w:tc>
          <w:tcPr>
            <w:tcW w:w="1443" w:type="pct"/>
            <w:gridSpan w:val="2"/>
            <w:tcBorders>
              <w:left w:val="single" w:sz="8" w:space="0" w:color="BFBFBF" w:themeColor="background1" w:themeShade="BF"/>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EF617D" w:rsidP="00A04B37">
            <w:pPr>
              <w:spacing w:before="100" w:beforeAutospacing="1" w:after="100" w:afterAutospacing="1" w:line="240" w:lineRule="auto"/>
              <w:jc w:val="left"/>
              <w:rPr>
                <w:rFonts w:ascii="Arial Narrow" w:hAnsi="Arial Narrow"/>
                <w:sz w:val="20"/>
                <w:szCs w:val="20"/>
              </w:rPr>
            </w:pPr>
            <w:r w:rsidRPr="00EF617D">
              <w:rPr>
                <w:rFonts w:ascii="Arial Narrow" w:hAnsi="Arial Narrow"/>
                <w:sz w:val="20"/>
                <w:szCs w:val="20"/>
              </w:rPr>
              <w:t xml:space="preserve">El objetivo </w:t>
            </w:r>
            <w:r w:rsidR="00494080" w:rsidRPr="00494080">
              <w:rPr>
                <w:rFonts w:ascii="Arial Narrow" w:hAnsi="Arial Narrow"/>
                <w:sz w:val="20"/>
                <w:szCs w:val="20"/>
              </w:rPr>
              <w:t>del taller Delphos fue consultar sobre el funcionamiento del Ecosistema Digital, los logros y cuellos d</w:t>
            </w:r>
            <w:r w:rsidR="00494080">
              <w:rPr>
                <w:rFonts w:ascii="Arial Narrow" w:hAnsi="Arial Narrow"/>
                <w:sz w:val="20"/>
                <w:szCs w:val="20"/>
              </w:rPr>
              <w:t>e botella del Plan Vive Digital a los líderes de proyectos de la diferentes direcciones del MINTIC</w:t>
            </w:r>
          </w:p>
        </w:tc>
        <w:tc>
          <w:tcPr>
            <w:tcW w:w="695" w:type="pct"/>
            <w:tcBorders>
              <w:left w:val="single" w:sz="8" w:space="0" w:color="BFBFBF" w:themeColor="background1" w:themeShade="BF"/>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EF617D" w:rsidP="00DD1A16">
            <w:pPr>
              <w:spacing w:before="100" w:beforeAutospacing="1" w:after="100" w:afterAutospacing="1" w:line="240" w:lineRule="auto"/>
              <w:jc w:val="center"/>
              <w:rPr>
                <w:rFonts w:ascii="Arial Narrow" w:hAnsi="Arial Narrow"/>
                <w:sz w:val="20"/>
                <w:szCs w:val="20"/>
              </w:rPr>
            </w:pPr>
            <w:r w:rsidRPr="00EF617D">
              <w:rPr>
                <w:rFonts w:ascii="Arial Narrow" w:hAnsi="Arial Narrow"/>
                <w:b/>
                <w:bCs/>
                <w:sz w:val="20"/>
                <w:szCs w:val="20"/>
              </w:rPr>
              <w:t>Justificación</w:t>
            </w:r>
          </w:p>
        </w:tc>
        <w:tc>
          <w:tcPr>
            <w:tcW w:w="2055" w:type="pct"/>
            <w:tcBorders>
              <w:lef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271BF7" w:rsidP="00A04B37">
            <w:pPr>
              <w:spacing w:before="100" w:beforeAutospacing="1" w:after="100" w:afterAutospacing="1" w:line="240" w:lineRule="auto"/>
              <w:jc w:val="left"/>
              <w:rPr>
                <w:rFonts w:ascii="Arial Narrow" w:hAnsi="Arial Narrow"/>
                <w:sz w:val="20"/>
                <w:szCs w:val="20"/>
              </w:rPr>
            </w:pPr>
            <w:r w:rsidRPr="00271BF7">
              <w:rPr>
                <w:rFonts w:ascii="Arial Narrow" w:hAnsi="Arial Narrow"/>
                <w:sz w:val="20"/>
                <w:szCs w:val="20"/>
              </w:rPr>
              <w:t>El Delphos es una modalidad de grupo focal que se basa en el registro de la opinión de los participantes en un aplicativo en Excel que facilita la exposición de los distintos puntos de vista que puede haber en un grupo. La metodología permite llegar a consensos, previo un proceso de debate y profundización de ideas similares o antagónicas.</w:t>
            </w:r>
          </w:p>
        </w:tc>
      </w:tr>
      <w:tr w:rsidR="00271BF7" w:rsidRPr="00EF617D" w:rsidTr="00A04B37">
        <w:trPr>
          <w:trHeight w:val="340"/>
        </w:trPr>
        <w:tc>
          <w:tcPr>
            <w:tcW w:w="807"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271BF7" w:rsidRPr="00EF617D" w:rsidRDefault="00271BF7" w:rsidP="007C69F6">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Metodología aplicada</w:t>
            </w:r>
          </w:p>
        </w:tc>
        <w:tc>
          <w:tcPr>
            <w:tcW w:w="4193" w:type="pct"/>
            <w:gridSpan w:val="4"/>
            <w:tcBorders>
              <w:left w:val="single" w:sz="8" w:space="0" w:color="BFBFBF" w:themeColor="background1" w:themeShade="BF"/>
            </w:tcBorders>
            <w:shd w:val="clear" w:color="auto" w:fill="FFFFFF" w:themeFill="background1"/>
            <w:tcMar>
              <w:top w:w="15" w:type="dxa"/>
              <w:left w:w="170" w:type="dxa"/>
              <w:bottom w:w="0" w:type="dxa"/>
              <w:right w:w="57" w:type="dxa"/>
            </w:tcMar>
            <w:vAlign w:val="center"/>
          </w:tcPr>
          <w:p w:rsidR="00271BF7" w:rsidRPr="00EF617D" w:rsidRDefault="00271BF7" w:rsidP="007C69F6">
            <w:pPr>
              <w:spacing w:before="100" w:beforeAutospacing="1" w:after="100" w:afterAutospacing="1" w:line="240" w:lineRule="auto"/>
              <w:rPr>
                <w:rFonts w:ascii="Arial Narrow" w:hAnsi="Arial Narrow"/>
                <w:sz w:val="20"/>
                <w:szCs w:val="20"/>
              </w:rPr>
            </w:pPr>
            <w:r>
              <w:rPr>
                <w:rFonts w:ascii="Arial Narrow" w:hAnsi="Arial Narrow"/>
                <w:sz w:val="20"/>
                <w:szCs w:val="20"/>
              </w:rPr>
              <w:t>Taller Delphos</w:t>
            </w:r>
          </w:p>
        </w:tc>
      </w:tr>
      <w:tr w:rsidR="007C69F6" w:rsidRPr="00EF617D" w:rsidTr="00A04B37">
        <w:trPr>
          <w:trHeight w:val="340"/>
        </w:trPr>
        <w:tc>
          <w:tcPr>
            <w:tcW w:w="807"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7C69F6" w:rsidRPr="00EF617D" w:rsidRDefault="007C69F6" w:rsidP="00271BF7">
            <w:pPr>
              <w:spacing w:before="100" w:beforeAutospacing="1" w:after="100" w:afterAutospacing="1" w:line="240" w:lineRule="auto"/>
              <w:rPr>
                <w:rFonts w:ascii="Arial Narrow" w:hAnsi="Arial Narrow"/>
                <w:b/>
                <w:bCs/>
                <w:sz w:val="20"/>
                <w:szCs w:val="20"/>
              </w:rPr>
            </w:pPr>
            <w:r>
              <w:rPr>
                <w:rFonts w:ascii="Arial Narrow" w:hAnsi="Arial Narrow"/>
                <w:b/>
                <w:bCs/>
                <w:sz w:val="20"/>
                <w:szCs w:val="20"/>
              </w:rPr>
              <w:t xml:space="preserve">No. Asistentes </w:t>
            </w:r>
          </w:p>
        </w:tc>
        <w:tc>
          <w:tcPr>
            <w:tcW w:w="4193" w:type="pct"/>
            <w:gridSpan w:val="4"/>
            <w:tcBorders>
              <w:left w:val="single" w:sz="8" w:space="0" w:color="BFBFBF" w:themeColor="background1" w:themeShade="BF"/>
            </w:tcBorders>
            <w:shd w:val="clear" w:color="auto" w:fill="FFFFFF" w:themeFill="background1"/>
            <w:tcMar>
              <w:top w:w="15" w:type="dxa"/>
              <w:left w:w="170" w:type="dxa"/>
              <w:bottom w:w="0" w:type="dxa"/>
              <w:right w:w="57" w:type="dxa"/>
            </w:tcMar>
            <w:vAlign w:val="center"/>
          </w:tcPr>
          <w:p w:rsidR="007C69F6" w:rsidRDefault="007C69F6" w:rsidP="007C69F6">
            <w:pPr>
              <w:spacing w:before="100" w:beforeAutospacing="1" w:after="100" w:afterAutospacing="1" w:line="240" w:lineRule="auto"/>
              <w:rPr>
                <w:rFonts w:ascii="Arial Narrow" w:hAnsi="Arial Narrow"/>
                <w:sz w:val="20"/>
                <w:szCs w:val="20"/>
              </w:rPr>
            </w:pPr>
            <w:r>
              <w:rPr>
                <w:rFonts w:ascii="Arial Narrow" w:hAnsi="Arial Narrow"/>
                <w:sz w:val="20"/>
                <w:szCs w:val="20"/>
              </w:rPr>
              <w:t>Catorce personas  (14)</w:t>
            </w:r>
          </w:p>
        </w:tc>
      </w:tr>
      <w:tr w:rsidR="008F4996" w:rsidRPr="00EF617D" w:rsidTr="00A04B37">
        <w:trPr>
          <w:trHeight w:val="20"/>
        </w:trPr>
        <w:tc>
          <w:tcPr>
            <w:tcW w:w="807" w:type="pct"/>
            <w:vMerge w:val="restar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Pr="00EF617D" w:rsidRDefault="008F4996" w:rsidP="008F4996">
            <w:pPr>
              <w:spacing w:before="0" w:line="240" w:lineRule="auto"/>
              <w:rPr>
                <w:rFonts w:ascii="Arial Narrow" w:hAnsi="Arial Narrow"/>
                <w:b/>
                <w:bCs/>
                <w:sz w:val="20"/>
                <w:szCs w:val="20"/>
              </w:rPr>
            </w:pPr>
            <w:r>
              <w:rPr>
                <w:rFonts w:ascii="Arial Narrow" w:hAnsi="Arial Narrow"/>
                <w:b/>
                <w:bCs/>
                <w:sz w:val="20"/>
                <w:szCs w:val="20"/>
              </w:rPr>
              <w:t>Participantes</w:t>
            </w:r>
          </w:p>
        </w:tc>
        <w:tc>
          <w:tcPr>
            <w:tcW w:w="1336" w:type="pct"/>
            <w:tcBorders>
              <w:left w:val="single" w:sz="8" w:space="0" w:color="BFBFBF" w:themeColor="background1" w:themeShade="BF"/>
              <w:bottom w:val="single" w:sz="8" w:space="0" w:color="BFBFBF" w:themeColor="background1" w:themeShade="BF"/>
            </w:tcBorders>
            <w:shd w:val="clear" w:color="auto" w:fill="BFBFBF" w:themeFill="background1" w:themeFillShade="BF"/>
            <w:tcMar>
              <w:top w:w="15" w:type="dxa"/>
              <w:left w:w="170" w:type="dxa"/>
              <w:bottom w:w="0" w:type="dxa"/>
              <w:right w:w="57" w:type="dxa"/>
            </w:tcMar>
          </w:tcPr>
          <w:p w:rsidR="008F4996" w:rsidRPr="00580918" w:rsidRDefault="008F4996" w:rsidP="008F4996">
            <w:pPr>
              <w:spacing w:before="0"/>
              <w:jc w:val="center"/>
              <w:rPr>
                <w:rFonts w:ascii="Arial Narrow" w:hAnsi="Arial Narrow"/>
                <w:b/>
                <w:caps/>
                <w:sz w:val="20"/>
                <w:szCs w:val="20"/>
                <w:lang w:val="es-CO" w:eastAsia="es-CO"/>
              </w:rPr>
            </w:pPr>
            <w:r w:rsidRPr="00580918">
              <w:rPr>
                <w:rFonts w:ascii="Arial Narrow" w:hAnsi="Arial Narrow"/>
                <w:b/>
                <w:sz w:val="20"/>
                <w:szCs w:val="20"/>
                <w:lang w:val="es-CO" w:eastAsia="es-CO"/>
              </w:rPr>
              <w:t>Participante</w:t>
            </w:r>
          </w:p>
        </w:tc>
        <w:tc>
          <w:tcPr>
            <w:tcW w:w="107" w:type="pct"/>
            <w:tcBorders>
              <w:left w:val="single" w:sz="8" w:space="0" w:color="BFBFBF" w:themeColor="background1" w:themeShade="BF"/>
            </w:tcBorders>
            <w:shd w:val="clear" w:color="auto" w:fill="BFBFBF" w:themeFill="background1" w:themeFillShade="BF"/>
            <w:vAlign w:val="center"/>
          </w:tcPr>
          <w:p w:rsidR="008F4996" w:rsidRPr="00580918" w:rsidRDefault="008F4996" w:rsidP="008F4996">
            <w:pPr>
              <w:spacing w:before="0"/>
              <w:jc w:val="center"/>
              <w:rPr>
                <w:rFonts w:ascii="Arial Narrow" w:hAnsi="Arial Narrow"/>
                <w:b/>
                <w:caps/>
                <w:sz w:val="20"/>
                <w:szCs w:val="20"/>
                <w:lang w:val="es-CO" w:eastAsia="es-CO"/>
              </w:rPr>
            </w:pPr>
          </w:p>
        </w:tc>
        <w:tc>
          <w:tcPr>
            <w:tcW w:w="2750" w:type="pct"/>
            <w:gridSpan w:val="2"/>
            <w:tcBorders>
              <w:left w:val="single" w:sz="8" w:space="0" w:color="BFBFBF" w:themeColor="background1" w:themeShade="BF"/>
            </w:tcBorders>
            <w:shd w:val="clear" w:color="auto" w:fill="BFBFBF" w:themeFill="background1" w:themeFillShade="BF"/>
          </w:tcPr>
          <w:p w:rsidR="008F4996" w:rsidRPr="00580918" w:rsidRDefault="008F4996" w:rsidP="008F4996">
            <w:pPr>
              <w:spacing w:before="0"/>
              <w:jc w:val="center"/>
              <w:rPr>
                <w:rFonts w:ascii="Arial Narrow" w:hAnsi="Arial Narrow"/>
                <w:b/>
                <w:caps/>
                <w:sz w:val="20"/>
                <w:szCs w:val="20"/>
                <w:lang w:val="es-CO" w:eastAsia="es-CO"/>
              </w:rPr>
            </w:pPr>
            <w:r w:rsidRPr="00580918">
              <w:rPr>
                <w:rFonts w:ascii="Arial Narrow" w:hAnsi="Arial Narrow"/>
                <w:b/>
                <w:sz w:val="20"/>
                <w:szCs w:val="20"/>
                <w:lang w:val="es-CO" w:eastAsia="es-CO"/>
              </w:rPr>
              <w:t>Proyecto</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Marta Castellanos</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Computadores para educar</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Santiago Aparicio</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Asesor - despacho ministro</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Ana Marta Miranda</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Oficina asesora de planeación y estudios sectoriales</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Albeiro Cuesta Mesa</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Políticas y desarrollo TI</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Jorge Fernando Bejarano</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Estándares y arquitectura</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Nicolás Llano</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Promoción de TIC</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proofErr w:type="spellStart"/>
            <w:r w:rsidRPr="00580918">
              <w:rPr>
                <w:rFonts w:ascii="Arial Narrow" w:eastAsia="Times New Roman" w:hAnsi="Arial Narrow" w:cs="Arial"/>
                <w:sz w:val="20"/>
                <w:szCs w:val="20"/>
                <w:lang w:val="es-CO" w:eastAsia="es-CO"/>
              </w:rPr>
              <w:t>Mayerly</w:t>
            </w:r>
            <w:proofErr w:type="spellEnd"/>
            <w:r w:rsidRPr="00580918">
              <w:rPr>
                <w:rFonts w:ascii="Arial Narrow" w:eastAsia="Times New Roman" w:hAnsi="Arial Narrow" w:cs="Arial"/>
                <w:sz w:val="20"/>
                <w:szCs w:val="20"/>
                <w:lang w:val="es-CO" w:eastAsia="es-CO"/>
              </w:rPr>
              <w:t xml:space="preserve"> Díaz</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Vigilancia y control</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Alejandro Delgado</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Oficina internacional</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Johanna Pimiento</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Gobierno en línea</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 xml:space="preserve">Miguel Felipe </w:t>
            </w:r>
            <w:proofErr w:type="spellStart"/>
            <w:r w:rsidRPr="00580918">
              <w:rPr>
                <w:rFonts w:ascii="Arial Narrow" w:eastAsia="Times New Roman" w:hAnsi="Arial Narrow" w:cs="Arial"/>
                <w:sz w:val="20"/>
                <w:szCs w:val="20"/>
                <w:lang w:val="es-CO" w:eastAsia="es-CO"/>
              </w:rPr>
              <w:t>Anzola</w:t>
            </w:r>
            <w:proofErr w:type="spellEnd"/>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Industria y comunicaciones</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Marcela Acosta</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Oficina asesora de planeación y estudios sectoriales</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Jorge Andrés Restrepo</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Apropiación</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Juan Carlos Ruiz</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Computadores para educar</w:t>
            </w:r>
          </w:p>
        </w:tc>
      </w:tr>
      <w:tr w:rsidR="008F4996" w:rsidRPr="00EF617D" w:rsidTr="00A04B37">
        <w:trPr>
          <w:trHeight w:val="25"/>
        </w:trPr>
        <w:tc>
          <w:tcPr>
            <w:tcW w:w="807"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8F4996" w:rsidRDefault="008F4996" w:rsidP="008F4996">
            <w:pPr>
              <w:spacing w:before="0" w:line="240" w:lineRule="auto"/>
              <w:rPr>
                <w:rFonts w:ascii="Arial Narrow" w:hAnsi="Arial Narrow"/>
                <w:b/>
                <w:bCs/>
                <w:sz w:val="20"/>
                <w:szCs w:val="20"/>
              </w:rPr>
            </w:pPr>
          </w:p>
        </w:tc>
        <w:tc>
          <w:tcPr>
            <w:tcW w:w="1336"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8F4996" w:rsidRPr="00580918" w:rsidRDefault="008F4996" w:rsidP="008F4996">
            <w:pPr>
              <w:spacing w:before="0" w:line="240" w:lineRule="auto"/>
              <w:jc w:val="left"/>
              <w:rPr>
                <w:rFonts w:ascii="Arial Narrow" w:eastAsia="Times New Roman" w:hAnsi="Arial Narrow" w:cs="Arial"/>
                <w:sz w:val="20"/>
                <w:szCs w:val="20"/>
                <w:lang w:val="es-CO" w:eastAsia="es-CO"/>
              </w:rPr>
            </w:pPr>
            <w:r w:rsidRPr="00580918">
              <w:rPr>
                <w:rFonts w:ascii="Arial Narrow" w:eastAsia="Times New Roman" w:hAnsi="Arial Narrow" w:cs="Arial"/>
                <w:sz w:val="20"/>
                <w:szCs w:val="20"/>
                <w:lang w:val="es-CO" w:eastAsia="es-CO"/>
              </w:rPr>
              <w:t>Claudia Obando</w:t>
            </w:r>
          </w:p>
        </w:tc>
        <w:tc>
          <w:tcPr>
            <w:tcW w:w="107" w:type="pct"/>
            <w:tcBorders>
              <w:left w:val="nil"/>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aps/>
                <w:sz w:val="20"/>
                <w:szCs w:val="20"/>
                <w:lang w:val="es-CO" w:eastAsia="es-CO"/>
              </w:rPr>
            </w:pPr>
          </w:p>
        </w:tc>
        <w:tc>
          <w:tcPr>
            <w:tcW w:w="2750" w:type="pct"/>
            <w:gridSpan w:val="2"/>
            <w:tcBorders>
              <w:left w:val="single" w:sz="8" w:space="0" w:color="BFBFBF" w:themeColor="background1" w:themeShade="BF"/>
            </w:tcBorders>
            <w:shd w:val="clear" w:color="auto" w:fill="FFFFFF" w:themeFill="background1"/>
            <w:vAlign w:val="center"/>
          </w:tcPr>
          <w:p w:rsidR="008F4996" w:rsidRPr="00580918" w:rsidRDefault="008F4996" w:rsidP="008F4996">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Aplicaciones</w:t>
            </w:r>
          </w:p>
        </w:tc>
      </w:tr>
      <w:tr w:rsidR="00271BF7" w:rsidRPr="00EF617D" w:rsidTr="00A04B37">
        <w:trPr>
          <w:trHeight w:val="340"/>
        </w:trPr>
        <w:tc>
          <w:tcPr>
            <w:tcW w:w="807"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EF617D" w:rsidP="00271BF7">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 xml:space="preserve">Fecha </w:t>
            </w:r>
          </w:p>
        </w:tc>
        <w:tc>
          <w:tcPr>
            <w:tcW w:w="4193" w:type="pct"/>
            <w:gridSpan w:val="4"/>
            <w:tcBorders>
              <w:lef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EF617D" w:rsidRPr="00EF617D" w:rsidRDefault="00271BF7" w:rsidP="007C69F6">
            <w:pPr>
              <w:spacing w:before="100" w:beforeAutospacing="1" w:after="100" w:afterAutospacing="1" w:line="240" w:lineRule="auto"/>
              <w:rPr>
                <w:rFonts w:ascii="Arial Narrow" w:hAnsi="Arial Narrow"/>
                <w:sz w:val="20"/>
                <w:szCs w:val="20"/>
              </w:rPr>
            </w:pPr>
            <w:r>
              <w:rPr>
                <w:rFonts w:ascii="Arial Narrow" w:hAnsi="Arial Narrow"/>
                <w:sz w:val="20"/>
                <w:szCs w:val="20"/>
              </w:rPr>
              <w:t>Octubre 17 de 2013</w:t>
            </w:r>
          </w:p>
        </w:tc>
      </w:tr>
    </w:tbl>
    <w:p w:rsidR="00580918" w:rsidRPr="00580918" w:rsidRDefault="00580918" w:rsidP="00580918">
      <w:pPr>
        <w:widowControl w:val="0"/>
        <w:spacing w:after="200"/>
        <w:rPr>
          <w:lang w:val="es-MX" w:eastAsia="es-CO"/>
        </w:rPr>
      </w:pPr>
      <w:r w:rsidRPr="00580918">
        <w:rPr>
          <w:lang w:val="es-MX" w:eastAsia="es-CO"/>
        </w:rPr>
        <w:t>Así, al indagar sobre los componentes del Ecosistema, se encontró que, de los cuatro que lo integran, los que requieren un mayor desarrollo según los líderes de proyectos, son los de aplicaciones y los de usuarios, tal como se puede apreciar en la figura A</w:t>
      </w:r>
      <w:r w:rsidR="00C85F33">
        <w:rPr>
          <w:lang w:val="es-MX" w:eastAsia="es-CO"/>
        </w:rPr>
        <w:t>3.1</w:t>
      </w:r>
      <w:r w:rsidRPr="00580918">
        <w:rPr>
          <w:lang w:val="es-MX" w:eastAsia="es-CO"/>
        </w:rPr>
        <w:t xml:space="preserve">. </w:t>
      </w:r>
    </w:p>
    <w:p w:rsidR="00580918" w:rsidRPr="00580918" w:rsidRDefault="00580918" w:rsidP="00F76A19">
      <w:pPr>
        <w:pStyle w:val="T-Figura"/>
        <w:rPr>
          <w:lang w:eastAsia="es-CO"/>
        </w:rPr>
      </w:pPr>
      <w:r w:rsidRPr="00580918">
        <w:rPr>
          <w:lang w:eastAsia="es-CO"/>
        </w:rPr>
        <w:lastRenderedPageBreak/>
        <w:t>Figura A</w:t>
      </w:r>
      <w:r w:rsidR="00C85F33">
        <w:rPr>
          <w:lang w:eastAsia="es-CO"/>
        </w:rPr>
        <w:t>3.1</w:t>
      </w:r>
      <w:r w:rsidRPr="00580918">
        <w:rPr>
          <w:lang w:eastAsia="es-CO"/>
        </w:rPr>
        <w:t xml:space="preserve"> - ¿En cuál de los siguientes componentes del Ecosistema Digital cree usted que hace falta un mayor desarrollo? </w:t>
      </w:r>
    </w:p>
    <w:p w:rsidR="00580918" w:rsidRPr="00580918" w:rsidRDefault="00580918" w:rsidP="00580918">
      <w:pPr>
        <w:spacing w:before="0" w:after="200"/>
        <w:jc w:val="center"/>
        <w:rPr>
          <w:caps/>
          <w:lang w:val="es-CO" w:eastAsia="es-CO"/>
        </w:rPr>
      </w:pPr>
      <w:r w:rsidRPr="00580918">
        <w:rPr>
          <w:caps/>
          <w:noProof/>
          <w:lang w:val="es-CO" w:eastAsia="es-CO"/>
        </w:rPr>
        <w:drawing>
          <wp:inline distT="0" distB="0" distL="0" distR="0">
            <wp:extent cx="4334510" cy="2529840"/>
            <wp:effectExtent l="0" t="0" r="8890" b="381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4510" cy="2529840"/>
                    </a:xfrm>
                    <a:prstGeom prst="rect">
                      <a:avLst/>
                    </a:prstGeom>
                    <a:noFill/>
                  </pic:spPr>
                </pic:pic>
              </a:graphicData>
            </a:graphic>
          </wp:inline>
        </w:drawing>
      </w:r>
    </w:p>
    <w:p w:rsidR="00580918" w:rsidRPr="00544B68" w:rsidRDefault="007C69F6" w:rsidP="007C69F6">
      <w:pPr>
        <w:spacing w:before="0" w:after="200"/>
        <w:jc w:val="center"/>
        <w:rPr>
          <w:rFonts w:ascii="Century Gothic" w:hAnsi="Century Gothic"/>
          <w:color w:val="404040" w:themeColor="text1" w:themeTint="BF"/>
          <w:sz w:val="20"/>
          <w:szCs w:val="18"/>
          <w:lang w:val="es-CO" w:eastAsia="es-CO"/>
        </w:rPr>
      </w:pPr>
      <w:r>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lang w:val="es-MX" w:eastAsia="es-CO"/>
        </w:rPr>
      </w:pPr>
      <w:r w:rsidRPr="00580918">
        <w:rPr>
          <w:lang w:val="es-MX" w:eastAsia="es-CO"/>
        </w:rPr>
        <w:t xml:space="preserve">Sobre las opiniones alrededor de esta pregunta cabe </w:t>
      </w:r>
      <w:r w:rsidR="00DC76A2">
        <w:rPr>
          <w:lang w:val="es-MX" w:eastAsia="es-CO"/>
        </w:rPr>
        <w:t>mencionar que, en concepto de uno de los participantes</w:t>
      </w:r>
      <w:r w:rsidRPr="00580918">
        <w:rPr>
          <w:lang w:val="es-MX" w:eastAsia="es-CO"/>
        </w:rPr>
        <w:t>, el componente de servicios es al que más le falta desarrollo pues, contrario a la mayoría, piensa que en aplicaciones y en usuarios los logros en tan corto tiempo son destacables. Asimismo, vale la pena resaltar que el componente de infraestructura no es señalado inicialmente por ninguno de los 14 participantes, sin embargo, en el desarrollo de la conversación se menciona la infraestructura en las áreas rurales y algunos de los participantes del taller mencionaron estar repensando su respuesta.</w:t>
      </w:r>
    </w:p>
    <w:p w:rsidR="00580918" w:rsidRPr="00580918" w:rsidRDefault="00580918" w:rsidP="00580918">
      <w:pPr>
        <w:spacing w:before="0" w:after="200"/>
        <w:rPr>
          <w:lang w:val="es-MX" w:eastAsia="es-CO"/>
        </w:rPr>
      </w:pPr>
      <w:r w:rsidRPr="00580918">
        <w:rPr>
          <w:lang w:val="es-MX" w:eastAsia="es-CO"/>
        </w:rPr>
        <w:t xml:space="preserve">Ahora bien, las principales razones mencionadas para señalar al componente de usuarios son la rapidez del desarrollo de conectividad frente a la velocidad en la capacitación de usuarios, garantizar el uso productivo y sostenible en los usuarios presenta dificultades y falta generar valor agregado para los usuarios. </w:t>
      </w:r>
    </w:p>
    <w:p w:rsidR="00580918" w:rsidRPr="00580918" w:rsidRDefault="00580918" w:rsidP="00580918">
      <w:pPr>
        <w:spacing w:before="0" w:after="200"/>
        <w:rPr>
          <w:lang w:val="es-MX" w:eastAsia="es-CO"/>
        </w:rPr>
      </w:pPr>
      <w:r w:rsidRPr="00580918">
        <w:rPr>
          <w:lang w:val="es-MX" w:eastAsia="es-CO"/>
        </w:rPr>
        <w:t xml:space="preserve">Dentro de las razones para mencionar el componente de aplicaciones como uno carente de desarrollo se encuentra, por un lado, el y tipo de incentivos otorgados al emprendimiento para la creación de aplicaciones tienen un componente perverso en el sentido en el que no garantizan la sostenibilidad ya que son orientados hacia la creación más no hacia la maduración de los negocios; de otra parte, las definiciones de temas como contenidos digitales y aplicaciones no son claras dentro del mismo MINTIC por lo que su comunicación al exterior no es clara.  </w:t>
      </w:r>
    </w:p>
    <w:p w:rsidR="00580918" w:rsidRPr="00580918" w:rsidRDefault="00580918" w:rsidP="00580918">
      <w:pPr>
        <w:spacing w:before="0" w:after="200"/>
        <w:rPr>
          <w:lang w:val="es-MX" w:eastAsia="es-CO"/>
        </w:rPr>
      </w:pPr>
      <w:r w:rsidRPr="00580918">
        <w:rPr>
          <w:lang w:val="es-MX" w:eastAsia="es-CO"/>
        </w:rPr>
        <w:lastRenderedPageBreak/>
        <w:t xml:space="preserve">En relación a las preguntas sobre cuellos de botella, se identificó para cada componente una serie de estos que se pueden </w:t>
      </w:r>
      <w:r w:rsidR="00C85F33">
        <w:rPr>
          <w:lang w:val="es-MX" w:eastAsia="es-CO"/>
        </w:rPr>
        <w:t>ver en las siguientes figuras</w:t>
      </w:r>
      <w:r w:rsidRPr="00580918">
        <w:rPr>
          <w:lang w:val="es-MX" w:eastAsia="es-CO"/>
        </w:rPr>
        <w:t>:</w:t>
      </w:r>
    </w:p>
    <w:p w:rsidR="00580918" w:rsidRPr="00EC3974" w:rsidRDefault="00580918" w:rsidP="00F76A19">
      <w:pPr>
        <w:pStyle w:val="T-Figura"/>
        <w:rPr>
          <w:lang w:eastAsia="es-CO"/>
        </w:rPr>
      </w:pPr>
      <w:r w:rsidRPr="00EC3974">
        <w:rPr>
          <w:lang w:eastAsia="es-CO"/>
        </w:rPr>
        <w:t>Figura A</w:t>
      </w:r>
      <w:r w:rsidR="00C85F33">
        <w:rPr>
          <w:lang w:eastAsia="es-CO"/>
        </w:rPr>
        <w:t>3.2</w:t>
      </w:r>
      <w:r w:rsidRPr="00EC3974">
        <w:rPr>
          <w:lang w:eastAsia="es-CO"/>
        </w:rPr>
        <w:t xml:space="preserve"> - ¿En su concepto, dónde se ubica actualmente el principal cuello de botella en el componente de Infraestructura?</w:t>
      </w:r>
    </w:p>
    <w:p w:rsidR="00580918" w:rsidRPr="00580918" w:rsidRDefault="00580918" w:rsidP="00580918">
      <w:pPr>
        <w:spacing w:before="0" w:after="200"/>
        <w:jc w:val="center"/>
        <w:rPr>
          <w:caps/>
          <w:lang w:val="es-CO" w:eastAsia="es-CO"/>
        </w:rPr>
      </w:pPr>
      <w:r w:rsidRPr="00580918">
        <w:rPr>
          <w:caps/>
          <w:noProof/>
          <w:lang w:val="es-CO" w:eastAsia="es-CO"/>
        </w:rPr>
        <w:drawing>
          <wp:inline distT="0" distB="0" distL="0" distR="0">
            <wp:extent cx="4334510" cy="2529840"/>
            <wp:effectExtent l="0" t="0" r="889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4510" cy="2529840"/>
                    </a:xfrm>
                    <a:prstGeom prst="rect">
                      <a:avLst/>
                    </a:prstGeom>
                    <a:noFill/>
                  </pic:spPr>
                </pic:pic>
              </a:graphicData>
            </a:graphic>
          </wp:inline>
        </w:drawing>
      </w:r>
    </w:p>
    <w:p w:rsidR="00580918" w:rsidRPr="00544B68" w:rsidRDefault="007C69F6" w:rsidP="007C69F6">
      <w:pPr>
        <w:spacing w:before="0" w:after="200"/>
        <w:jc w:val="center"/>
        <w:rPr>
          <w:rFonts w:ascii="Century Gothic" w:hAnsi="Century Gothic"/>
          <w:color w:val="404040" w:themeColor="text1" w:themeTint="BF"/>
          <w:sz w:val="20"/>
          <w:szCs w:val="18"/>
          <w:lang w:val="es-CO" w:eastAsia="es-CO"/>
        </w:rPr>
      </w:pPr>
      <w:r>
        <w:rPr>
          <w:rFonts w:ascii="Century Gothic" w:hAnsi="Century Gothic"/>
          <w:color w:val="404040" w:themeColor="text1" w:themeTint="BF"/>
          <w:sz w:val="20"/>
          <w:szCs w:val="18"/>
          <w:lang w:val="es-CO" w:eastAsia="es-CO"/>
        </w:rPr>
        <w:t>Fuente: Elaboración propia</w:t>
      </w:r>
    </w:p>
    <w:p w:rsidR="00580918" w:rsidRDefault="00580918" w:rsidP="00580918">
      <w:pPr>
        <w:spacing w:before="0" w:after="200"/>
        <w:rPr>
          <w:rFonts w:eastAsia="Calibri"/>
          <w:lang w:val="es-MX" w:eastAsia="es-CO"/>
        </w:rPr>
      </w:pPr>
      <w:r w:rsidRPr="00580918">
        <w:rPr>
          <w:rFonts w:eastAsia="Calibri"/>
          <w:lang w:val="es-MX" w:eastAsia="es-CO"/>
        </w:rPr>
        <w:t xml:space="preserve">Nótese que para el componente de infraestructura, la red de acceso rural es el mayor cuello de botella identificado por los participantes; la principal razón para señalar este aspecto es la de costos y que los operadores llegan hasta donde están definidas las concesiones. Las redes de acceso fija urbana y móvil urbana fueron también escogidas por igual número de participantes, según quienes mencionaron la red de acceso fija urbana, el costo es superior al razonable por lo que la gente prefiere la conexión móvil aunque ésta no sea un sustituto perfecto. En cuanto a la red de acceso móvil urbana, se identifica que el principal problema es la cantidad de antenas para suplir al creciente número de usuarios así como el despliegue de la fibra óptica.  </w:t>
      </w:r>
    </w:p>
    <w:p w:rsidR="00580918" w:rsidRPr="00EC3974" w:rsidRDefault="00580918" w:rsidP="00F76A19">
      <w:pPr>
        <w:pStyle w:val="T-Figura"/>
        <w:rPr>
          <w:lang w:eastAsia="es-CO"/>
        </w:rPr>
      </w:pPr>
      <w:r w:rsidRPr="00EC3974">
        <w:rPr>
          <w:lang w:eastAsia="es-CO"/>
        </w:rPr>
        <w:lastRenderedPageBreak/>
        <w:t>Figura A</w:t>
      </w:r>
      <w:r w:rsidR="00C85F33">
        <w:rPr>
          <w:lang w:eastAsia="es-CO"/>
        </w:rPr>
        <w:t>3.3</w:t>
      </w:r>
      <w:r w:rsidRPr="00EC3974">
        <w:rPr>
          <w:lang w:eastAsia="es-CO"/>
        </w:rPr>
        <w:t xml:space="preserve"> - ¿En su concepto, dónde se ubica actualmente el principal cuello de botella en el componente de Servicios?</w:t>
      </w:r>
    </w:p>
    <w:p w:rsidR="00580918" w:rsidRPr="00580918" w:rsidRDefault="00580918" w:rsidP="00580918">
      <w:pPr>
        <w:spacing w:before="0" w:after="200"/>
        <w:jc w:val="center"/>
        <w:rPr>
          <w:caps/>
          <w:lang w:val="es-CO" w:eastAsia="es-CO"/>
        </w:rPr>
      </w:pPr>
      <w:r w:rsidRPr="00580918">
        <w:rPr>
          <w:caps/>
          <w:noProof/>
          <w:lang w:val="es-CO" w:eastAsia="es-CO"/>
        </w:rPr>
        <w:drawing>
          <wp:inline distT="0" distB="0" distL="0" distR="0">
            <wp:extent cx="4191443" cy="2446339"/>
            <wp:effectExtent l="1905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4444" cy="2448090"/>
                    </a:xfrm>
                    <a:prstGeom prst="rect">
                      <a:avLst/>
                    </a:prstGeom>
                    <a:noFill/>
                  </pic:spPr>
                </pic:pic>
              </a:graphicData>
            </a:graphic>
          </wp:inline>
        </w:drawing>
      </w:r>
    </w:p>
    <w:p w:rsidR="00580918" w:rsidRPr="00544B68" w:rsidRDefault="00580918" w:rsidP="007C69F6">
      <w:pPr>
        <w:spacing w:before="0"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 xml:space="preserve">Fuente: </w:t>
      </w:r>
      <w:r w:rsidR="007C69F6">
        <w:rPr>
          <w:rFonts w:ascii="Century Gothic" w:hAnsi="Century Gothic"/>
          <w:color w:val="404040" w:themeColor="text1" w:themeTint="BF"/>
          <w:sz w:val="20"/>
          <w:szCs w:val="18"/>
          <w:lang w:val="es-CO" w:eastAsia="es-CO"/>
        </w:rPr>
        <w:t>Elaboración propia</w:t>
      </w:r>
    </w:p>
    <w:p w:rsidR="00580918" w:rsidRPr="00580918" w:rsidRDefault="00580918" w:rsidP="00580918">
      <w:pPr>
        <w:spacing w:before="0" w:after="200"/>
        <w:rPr>
          <w:rFonts w:eastAsia="Calibri"/>
          <w:bCs/>
          <w:caps/>
          <w:lang w:val="es-MX" w:eastAsia="es-CO"/>
        </w:rPr>
      </w:pPr>
      <w:r w:rsidRPr="00580918">
        <w:rPr>
          <w:rFonts w:eastAsia="Calibri"/>
          <w:lang w:val="es-MX" w:eastAsia="es-CO"/>
        </w:rPr>
        <w:t xml:space="preserve">En el componente de servicios se identifica que el principal cuello de botella es el de datos móviles y específicamente se hace referencia a la calidad pues la capacidad de la red móvil está saturada por el alto nivel de tráfico de datos. Adicionalmente, el esfuerzo de los operadores es mínimo así como la inversión que éstos realizan. Varios asistentes al taller mencionan que los esfuerzos deberían dirigirse a mejorar los servicios de datos móviles, que es la tendencia mundial.   </w:t>
      </w:r>
    </w:p>
    <w:p w:rsidR="00580918" w:rsidRPr="00EC3974" w:rsidRDefault="00580918" w:rsidP="00F76A19">
      <w:pPr>
        <w:pStyle w:val="T-Figura"/>
        <w:rPr>
          <w:lang w:eastAsia="es-CO"/>
        </w:rPr>
      </w:pPr>
      <w:r w:rsidRPr="00EC3974">
        <w:rPr>
          <w:lang w:eastAsia="es-CO"/>
        </w:rPr>
        <w:t>Figura A</w:t>
      </w:r>
      <w:r w:rsidR="00C85F33">
        <w:rPr>
          <w:lang w:eastAsia="es-CO"/>
        </w:rPr>
        <w:t>3.4</w:t>
      </w:r>
      <w:r w:rsidRPr="00EC3974">
        <w:rPr>
          <w:lang w:eastAsia="es-CO"/>
        </w:rPr>
        <w:t>- ¿En su concepto, dónde se ubica actualmente el principal cuello de botella en el componente de Aplicaciones?</w:t>
      </w:r>
    </w:p>
    <w:p w:rsidR="00580918" w:rsidRPr="00580918" w:rsidRDefault="00580918" w:rsidP="00580918">
      <w:pPr>
        <w:spacing w:before="0" w:after="200"/>
        <w:jc w:val="center"/>
        <w:rPr>
          <w:caps/>
          <w:lang w:val="es-CO" w:eastAsia="es-CO"/>
        </w:rPr>
      </w:pPr>
      <w:r w:rsidRPr="00580918">
        <w:rPr>
          <w:caps/>
          <w:noProof/>
          <w:lang w:val="es-CO" w:eastAsia="es-CO"/>
        </w:rPr>
        <w:drawing>
          <wp:inline distT="0" distB="0" distL="0" distR="0">
            <wp:extent cx="4334510" cy="2529840"/>
            <wp:effectExtent l="0" t="0" r="889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4510" cy="2529840"/>
                    </a:xfrm>
                    <a:prstGeom prst="rect">
                      <a:avLst/>
                    </a:prstGeom>
                    <a:noFill/>
                  </pic:spPr>
                </pic:pic>
              </a:graphicData>
            </a:graphic>
          </wp:inline>
        </w:drawing>
      </w:r>
    </w:p>
    <w:p w:rsidR="00580918" w:rsidRDefault="00844A3D" w:rsidP="007C69F6">
      <w:pPr>
        <w:spacing w:before="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7C69F6" w:rsidRPr="00544B68" w:rsidRDefault="007C69F6" w:rsidP="007C69F6">
      <w:pPr>
        <w:spacing w:before="0" w:after="200"/>
        <w:jc w:val="center"/>
        <w:rPr>
          <w:rFonts w:ascii="Century Gothic" w:hAnsi="Century Gothic"/>
          <w:color w:val="404040" w:themeColor="text1" w:themeTint="BF"/>
          <w:sz w:val="20"/>
          <w:szCs w:val="18"/>
          <w:lang w:val="es-CO" w:eastAsia="es-CO"/>
        </w:rPr>
      </w:pPr>
      <w:r>
        <w:rPr>
          <w:rFonts w:ascii="Century Gothic" w:hAnsi="Century Gothic"/>
          <w:color w:val="404040" w:themeColor="text1" w:themeTint="BF"/>
          <w:sz w:val="20"/>
          <w:szCs w:val="18"/>
          <w:lang w:val="es-CO" w:eastAsia="es-CO"/>
        </w:rPr>
        <w:t>Nota: Para esta pregunta sólo 13 de los asistentes respondieron</w:t>
      </w:r>
    </w:p>
    <w:p w:rsidR="00580918" w:rsidRPr="00580918" w:rsidRDefault="00580918" w:rsidP="00580918">
      <w:pPr>
        <w:spacing w:before="0" w:after="200"/>
        <w:rPr>
          <w:rFonts w:eastAsia="Calibri"/>
          <w:bCs/>
          <w:caps/>
          <w:lang w:val="es-MX" w:eastAsia="es-CO"/>
        </w:rPr>
      </w:pPr>
      <w:r w:rsidRPr="00580918">
        <w:rPr>
          <w:rFonts w:eastAsia="Calibri"/>
          <w:lang w:val="es-MX" w:eastAsia="es-CO"/>
        </w:rPr>
        <w:lastRenderedPageBreak/>
        <w:t>En cuanto a cuellos de botella en las aplicaciones (figura A</w:t>
      </w:r>
      <w:r w:rsidR="00F90EAB">
        <w:rPr>
          <w:rFonts w:eastAsia="Calibri"/>
          <w:lang w:val="es-MX" w:eastAsia="es-CO"/>
        </w:rPr>
        <w:t>2</w:t>
      </w:r>
      <w:r w:rsidRPr="00580918">
        <w:rPr>
          <w:rFonts w:eastAsia="Calibri"/>
          <w:lang w:val="es-MX" w:eastAsia="es-CO"/>
        </w:rPr>
        <w:t xml:space="preserve">.6), el principal identificado fue el de herramientas de productividad, seguido del de transacciones. En cuanto a productividad, se menciona que el desarrollo de aplicaciones se orienta hacia entretenimiento más que hacía usos productivos, no obstante uno de los asistentes resalta el desarrollo de la industria de entretenimiento a nivel internacional y la oportunidad que esto representa para la industria nacional.   </w:t>
      </w:r>
    </w:p>
    <w:p w:rsidR="00580918" w:rsidRPr="00EC3974" w:rsidRDefault="00580918" w:rsidP="00F76A19">
      <w:pPr>
        <w:pStyle w:val="T-Figura"/>
        <w:rPr>
          <w:lang w:eastAsia="es-CO"/>
        </w:rPr>
      </w:pPr>
      <w:r w:rsidRPr="00EC3974">
        <w:rPr>
          <w:lang w:eastAsia="es-CO"/>
        </w:rPr>
        <w:t>Figura A</w:t>
      </w:r>
      <w:r w:rsidR="00C85F33">
        <w:rPr>
          <w:lang w:eastAsia="es-CO"/>
        </w:rPr>
        <w:t>3.5</w:t>
      </w:r>
      <w:r w:rsidRPr="00EC3974">
        <w:rPr>
          <w:lang w:eastAsia="es-CO"/>
        </w:rPr>
        <w:t xml:space="preserve"> - ¿En su concepto, dónde se ubica actualmente el principal cuello de botella en el componente de Usuarios?</w:t>
      </w:r>
    </w:p>
    <w:p w:rsidR="00580918" w:rsidRPr="00580918" w:rsidRDefault="00580918" w:rsidP="00580918">
      <w:pPr>
        <w:spacing w:before="0" w:after="200"/>
        <w:jc w:val="center"/>
        <w:rPr>
          <w:caps/>
          <w:lang w:val="es-CO" w:eastAsia="es-CO"/>
        </w:rPr>
      </w:pPr>
      <w:r w:rsidRPr="00580918">
        <w:rPr>
          <w:caps/>
          <w:noProof/>
          <w:lang w:val="es-CO" w:eastAsia="es-CO"/>
        </w:rPr>
        <w:drawing>
          <wp:inline distT="0" distB="0" distL="0" distR="0">
            <wp:extent cx="4334510" cy="2529840"/>
            <wp:effectExtent l="0" t="0" r="889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4510" cy="2529840"/>
                    </a:xfrm>
                    <a:prstGeom prst="rect">
                      <a:avLst/>
                    </a:prstGeom>
                    <a:noFill/>
                  </pic:spPr>
                </pic:pic>
              </a:graphicData>
            </a:graphic>
          </wp:inline>
        </w:drawing>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caps/>
          <w:lang w:val="es-CO" w:eastAsia="es-CO"/>
        </w:rPr>
      </w:pPr>
      <w:r w:rsidRPr="00580918">
        <w:rPr>
          <w:lang w:val="es-CO" w:eastAsia="es-CO"/>
        </w:rPr>
        <w:t xml:space="preserve">En el componente de usuarios, los principales retos se identifican en la apropiación y en la capacidad de pago. Por un lado, los costos de banda ancha son muy altos para los usuarios y el sistema de subsidios no garantiza sostenibilidad hacía el futuro. Adicionalmente, muchas veces el tema “caro” tiene que ver con la relevancia de lo que la gente obtiene con el internet. Algunos participantes plantean que el problema no es de costo, sino de lo que la gente obtiene del Internet.  </w:t>
      </w:r>
    </w:p>
    <w:p w:rsidR="00580918" w:rsidRPr="00580918" w:rsidRDefault="00580918" w:rsidP="00580918">
      <w:pPr>
        <w:spacing w:before="0" w:after="200"/>
        <w:rPr>
          <w:caps/>
          <w:lang w:val="es-CO" w:eastAsia="es-CO"/>
        </w:rPr>
      </w:pPr>
      <w:r w:rsidRPr="00580918">
        <w:rPr>
          <w:lang w:val="es-CO" w:eastAsia="es-CO"/>
        </w:rPr>
        <w:t>Al indagar por las actividades que realizan otras entidades del gobierno y cuál cree que es la más importante para que el Ecosistema Digital funcione adecuadamente, se encuentra que la digitalización de las operaciones es la más importante y se menciona que es necesario generar estándares que homogenicen las bases de las diferentes entidades. La</w:t>
      </w:r>
      <w:r w:rsidR="00932BFD">
        <w:rPr>
          <w:lang w:val="es-CO" w:eastAsia="es-CO"/>
        </w:rPr>
        <w:t xml:space="preserve"> siguiente figura</w:t>
      </w:r>
      <w:r w:rsidRPr="00580918">
        <w:rPr>
          <w:lang w:val="es-CO" w:eastAsia="es-CO"/>
        </w:rPr>
        <w:t xml:space="preserve"> muestra los resultados: además de la digitalización de operaciones, se menciona que algunas entidades del gobierno no han hecho esfuerzos para que el ecosistema funcione y se entiende como una importante a realizar el hecho de permitir realizar hacer los trámites más usados a través de internet.</w:t>
      </w:r>
    </w:p>
    <w:p w:rsidR="00580918" w:rsidRPr="00EC3974" w:rsidRDefault="00580918" w:rsidP="00F76A19">
      <w:pPr>
        <w:pStyle w:val="T-Figura"/>
        <w:rPr>
          <w:lang w:eastAsia="es-CO"/>
        </w:rPr>
      </w:pPr>
      <w:r w:rsidRPr="00EC3974">
        <w:rPr>
          <w:lang w:eastAsia="es-CO"/>
        </w:rPr>
        <w:lastRenderedPageBreak/>
        <w:t>Figura A</w:t>
      </w:r>
      <w:r w:rsidR="00C85F33">
        <w:rPr>
          <w:lang w:eastAsia="es-CO"/>
        </w:rPr>
        <w:t>3.6</w:t>
      </w:r>
      <w:r w:rsidRPr="00EC3974">
        <w:rPr>
          <w:lang w:eastAsia="es-CO"/>
        </w:rPr>
        <w:t xml:space="preserve"> - ¿Cuál de las siguientes actividades que realizan otras entidades del gobierno cree usted es la más importante para que el Ecosistema Digital funcione de manera adecuada?</w:t>
      </w:r>
    </w:p>
    <w:p w:rsidR="00580918" w:rsidRPr="00580918" w:rsidRDefault="00580918" w:rsidP="00580918">
      <w:pPr>
        <w:spacing w:before="0" w:after="200"/>
        <w:jc w:val="center"/>
        <w:rPr>
          <w:caps/>
          <w:lang w:val="es-CO" w:eastAsia="es-CO"/>
        </w:rPr>
      </w:pPr>
      <w:r w:rsidRPr="00580918">
        <w:rPr>
          <w:caps/>
          <w:noProof/>
          <w:lang w:val="es-CO" w:eastAsia="es-CO"/>
        </w:rPr>
        <w:drawing>
          <wp:inline distT="0" distB="0" distL="0" distR="0">
            <wp:extent cx="4334510" cy="2529840"/>
            <wp:effectExtent l="0" t="0" r="8890" b="381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4510" cy="2529840"/>
                    </a:xfrm>
                    <a:prstGeom prst="rect">
                      <a:avLst/>
                    </a:prstGeom>
                    <a:noFill/>
                  </pic:spPr>
                </pic:pic>
              </a:graphicData>
            </a:graphic>
          </wp:inline>
        </w:drawing>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caps/>
          <w:lang w:val="es-CO" w:eastAsia="es-CO"/>
        </w:rPr>
      </w:pPr>
      <w:r w:rsidRPr="00580918">
        <w:rPr>
          <w:lang w:val="es-CO" w:eastAsia="es-CO"/>
        </w:rPr>
        <w:t xml:space="preserve">Al preguntar por los mayores obstáculos para los procesos de contratación y/o selección de proyectos del Plan Vive Digital, se encontró que la mayoría de asistentes considera que la duración de los procesos de contratación supera el tiempo que deberían tardar. La otra respuesta mencionada es la falta de proponentes </w:t>
      </w:r>
      <w:proofErr w:type="gramStart"/>
      <w:r w:rsidRPr="00580918">
        <w:rPr>
          <w:lang w:val="es-CO" w:eastAsia="es-CO"/>
        </w:rPr>
        <w:t>idóneos</w:t>
      </w:r>
      <w:proofErr w:type="gramEnd"/>
      <w:r w:rsidRPr="00580918">
        <w:rPr>
          <w:lang w:val="es-CO" w:eastAsia="es-CO"/>
        </w:rPr>
        <w:t>. Lo anterior se evidencia en la siguiente figura:</w:t>
      </w:r>
    </w:p>
    <w:p w:rsidR="00580918" w:rsidRPr="00EC3974" w:rsidRDefault="00580918" w:rsidP="00F76A19">
      <w:pPr>
        <w:pStyle w:val="T-Figura"/>
        <w:rPr>
          <w:lang w:eastAsia="es-CO"/>
        </w:rPr>
      </w:pPr>
      <w:r w:rsidRPr="00EC3974">
        <w:rPr>
          <w:lang w:eastAsia="es-CO"/>
        </w:rPr>
        <w:t>Figura A</w:t>
      </w:r>
      <w:r w:rsidR="00C85F33">
        <w:rPr>
          <w:lang w:eastAsia="es-CO"/>
        </w:rPr>
        <w:t>3.7</w:t>
      </w:r>
      <w:r w:rsidRPr="00EC3974">
        <w:rPr>
          <w:lang w:eastAsia="es-CO"/>
        </w:rPr>
        <w:t xml:space="preserve"> - ¿En los procesos de contratación y/o selección de proyectos del Plan Vive Digital, cuál de los siguientes aspectos cree usted que representa el mayor obstáculo?</w:t>
      </w:r>
    </w:p>
    <w:p w:rsidR="00580918" w:rsidRPr="00580918" w:rsidRDefault="00580918" w:rsidP="00580918">
      <w:pPr>
        <w:spacing w:before="0" w:after="200"/>
        <w:jc w:val="center"/>
        <w:rPr>
          <w:caps/>
          <w:lang w:val="es-CO" w:eastAsia="es-CO"/>
        </w:rPr>
      </w:pPr>
      <w:r w:rsidRPr="00580918">
        <w:rPr>
          <w:caps/>
          <w:noProof/>
          <w:lang w:val="es-CO" w:eastAsia="es-CO"/>
        </w:rPr>
        <w:drawing>
          <wp:inline distT="0" distB="0" distL="0" distR="0">
            <wp:extent cx="4476307" cy="2357668"/>
            <wp:effectExtent l="0" t="0" r="635"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2120" cy="2360730"/>
                    </a:xfrm>
                    <a:prstGeom prst="rect">
                      <a:avLst/>
                    </a:prstGeom>
                    <a:noFill/>
                  </pic:spPr>
                </pic:pic>
              </a:graphicData>
            </a:graphic>
          </wp:inline>
        </w:drawing>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caps/>
          <w:lang w:val="es-CO" w:eastAsia="es-CO"/>
        </w:rPr>
      </w:pPr>
      <w:r w:rsidRPr="00580918">
        <w:rPr>
          <w:lang w:val="es-CO" w:eastAsia="es-CO"/>
        </w:rPr>
        <w:lastRenderedPageBreak/>
        <w:t>Adicionalmente, se preguntó sobre la percepción sobre el nivel de logros alcanzado por el Plan Vive Digital en diferentes aspectos (objetivos) que tiene el plan (independientemente de las metas fijadas por el gobierno).</w:t>
      </w:r>
    </w:p>
    <w:p w:rsidR="00580918" w:rsidRPr="00EC3974" w:rsidRDefault="00580918" w:rsidP="00F76A19">
      <w:pPr>
        <w:pStyle w:val="T-Figura"/>
        <w:rPr>
          <w:lang w:eastAsia="es-CO"/>
        </w:rPr>
      </w:pPr>
      <w:r w:rsidRPr="00EC3974">
        <w:rPr>
          <w:lang w:eastAsia="es-CO"/>
        </w:rPr>
        <w:t>Cuadro A</w:t>
      </w:r>
      <w:r w:rsidR="00C85F33">
        <w:rPr>
          <w:lang w:eastAsia="es-CO"/>
        </w:rPr>
        <w:t>3.</w:t>
      </w:r>
      <w:r w:rsidR="00932BFD">
        <w:rPr>
          <w:lang w:eastAsia="es-CO"/>
        </w:rPr>
        <w:t>3</w:t>
      </w:r>
      <w:r w:rsidRPr="00EC3974">
        <w:rPr>
          <w:lang w:eastAsia="es-CO"/>
        </w:rPr>
        <w:t xml:space="preserve"> – Percepción sobre el nivel de avance</w:t>
      </w:r>
    </w:p>
    <w:tbl>
      <w:tblPr>
        <w:tblStyle w:val="Tablaconcuadrcula"/>
        <w:tblW w:w="0" w:type="auto"/>
        <w:tblBorders>
          <w:top w:val="single" w:sz="6" w:space="0" w:color="BFBFBF" w:themeColor="background1" w:themeShade="BF"/>
          <w:bottom w:val="single" w:sz="6" w:space="0" w:color="BFBFBF" w:themeColor="background1" w:themeShade="BF"/>
          <w:insideH w:val="single" w:sz="6" w:space="0" w:color="BFBFBF" w:themeColor="background1" w:themeShade="BF"/>
        </w:tblBorders>
        <w:tblLook w:val="04A0"/>
      </w:tblPr>
      <w:tblGrid>
        <w:gridCol w:w="5637"/>
        <w:gridCol w:w="2126"/>
        <w:gridCol w:w="1291"/>
      </w:tblGrid>
      <w:tr w:rsidR="00580918" w:rsidRPr="002B3762" w:rsidTr="002B3762">
        <w:trPr>
          <w:cnfStyle w:val="100000000000"/>
          <w:trHeight w:val="397"/>
        </w:trPr>
        <w:tc>
          <w:tcPr>
            <w:tcW w:w="5637" w:type="dxa"/>
            <w:shd w:val="clear" w:color="auto" w:fill="BFBFBF" w:themeFill="background1" w:themeFillShade="BF"/>
            <w:vAlign w:val="center"/>
          </w:tcPr>
          <w:p w:rsidR="00580918" w:rsidRPr="002B3762" w:rsidRDefault="00580918" w:rsidP="002B3762">
            <w:pPr>
              <w:spacing w:before="0"/>
              <w:rPr>
                <w:rFonts w:ascii="Arial Narrow" w:hAnsi="Arial Narrow"/>
                <w:sz w:val="22"/>
                <w:szCs w:val="22"/>
                <w:lang w:val="es-CO"/>
              </w:rPr>
            </w:pPr>
            <w:r w:rsidRPr="002B3762">
              <w:rPr>
                <w:rFonts w:ascii="Arial Narrow" w:hAnsi="Arial Narrow"/>
                <w:sz w:val="22"/>
                <w:szCs w:val="22"/>
                <w:lang w:val="es-CO"/>
              </w:rPr>
              <w:t>Aspectos</w:t>
            </w:r>
          </w:p>
        </w:tc>
        <w:tc>
          <w:tcPr>
            <w:tcW w:w="2126" w:type="dxa"/>
            <w:shd w:val="clear" w:color="auto" w:fill="BFBFBF" w:themeFill="background1" w:themeFillShade="BF"/>
            <w:vAlign w:val="center"/>
          </w:tcPr>
          <w:p w:rsidR="00580918" w:rsidRPr="002B3762" w:rsidRDefault="00580918" w:rsidP="002B3762">
            <w:pPr>
              <w:spacing w:before="0"/>
              <w:rPr>
                <w:rFonts w:ascii="Arial Narrow" w:hAnsi="Arial Narrow"/>
                <w:sz w:val="22"/>
                <w:szCs w:val="22"/>
                <w:lang w:val="es-CO"/>
              </w:rPr>
            </w:pPr>
            <w:r w:rsidRPr="002B3762">
              <w:rPr>
                <w:rFonts w:ascii="Arial Narrow" w:hAnsi="Arial Narrow"/>
                <w:sz w:val="22"/>
                <w:szCs w:val="22"/>
                <w:lang w:val="es-CO"/>
              </w:rPr>
              <w:t>Nivel de logro</w:t>
            </w:r>
          </w:p>
        </w:tc>
        <w:tc>
          <w:tcPr>
            <w:tcW w:w="1291" w:type="dxa"/>
            <w:shd w:val="clear" w:color="auto" w:fill="BFBFBF" w:themeFill="background1" w:themeFillShade="BF"/>
            <w:vAlign w:val="center"/>
          </w:tcPr>
          <w:p w:rsidR="00580918" w:rsidRPr="002B3762" w:rsidRDefault="00580918" w:rsidP="002B3762">
            <w:pPr>
              <w:spacing w:before="0"/>
              <w:rPr>
                <w:rFonts w:ascii="Arial Narrow" w:hAnsi="Arial Narrow"/>
                <w:sz w:val="22"/>
                <w:szCs w:val="22"/>
                <w:lang w:val="es-CO"/>
              </w:rPr>
            </w:pPr>
            <w:r w:rsidRPr="002B3762">
              <w:rPr>
                <w:rFonts w:ascii="Arial Narrow" w:hAnsi="Arial Narrow"/>
                <w:sz w:val="22"/>
                <w:szCs w:val="22"/>
                <w:lang w:val="es-CO"/>
              </w:rPr>
              <w:t>Porcentaje</w:t>
            </w:r>
          </w:p>
        </w:tc>
      </w:tr>
      <w:tr w:rsidR="00580918" w:rsidRPr="002B3762" w:rsidTr="002B3762">
        <w:trPr>
          <w:cnfStyle w:val="000000100000"/>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 xml:space="preserve">Aumento en conexiones a Internet fijas en Hogares </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Alto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78,6</w:t>
            </w:r>
          </w:p>
        </w:tc>
      </w:tr>
      <w:tr w:rsidR="00580918" w:rsidRPr="002B3762" w:rsidTr="002B3762">
        <w:trPr>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 xml:space="preserve">Aumento en conexiones a Internet  fijas en Mipymes </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Medio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50</w:t>
            </w:r>
          </w:p>
        </w:tc>
      </w:tr>
      <w:tr w:rsidR="00580918" w:rsidRPr="002B3762" w:rsidTr="002B3762">
        <w:trPr>
          <w:cnfStyle w:val="000000100000"/>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Aumento de conexiones a Internet móviles 3G y 4G</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Alto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57,4</w:t>
            </w:r>
          </w:p>
        </w:tc>
      </w:tr>
      <w:tr w:rsidR="00580918" w:rsidRPr="002B3762" w:rsidTr="002B3762">
        <w:trPr>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Aumento de regiones vinculadas a Vive Digital</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Alto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64,3</w:t>
            </w:r>
          </w:p>
        </w:tc>
      </w:tr>
      <w:tr w:rsidR="00580918" w:rsidRPr="002B3762" w:rsidTr="002B3762">
        <w:trPr>
          <w:cnfStyle w:val="000000100000"/>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Aumento en velocidades de acceso a Internet</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Medio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64,3</w:t>
            </w:r>
          </w:p>
        </w:tc>
      </w:tr>
      <w:tr w:rsidR="00580918" w:rsidRPr="002B3762" w:rsidTr="002B3762">
        <w:trPr>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Cabeceras municipales con fibra óptica</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Alto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50</w:t>
            </w:r>
          </w:p>
        </w:tc>
      </w:tr>
      <w:tr w:rsidR="00580918" w:rsidRPr="002B3762" w:rsidTr="002B3762">
        <w:trPr>
          <w:cnfStyle w:val="000000100000"/>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Aumento de número de usuarios de internet por cada 100 habitantes</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Alto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71,4</w:t>
            </w:r>
          </w:p>
        </w:tc>
      </w:tr>
      <w:tr w:rsidR="00580918" w:rsidRPr="002B3762" w:rsidTr="002B3762">
        <w:trPr>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Servidores públicos certificados en el uso de TIC</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Alto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71,4</w:t>
            </w:r>
          </w:p>
        </w:tc>
      </w:tr>
      <w:tr w:rsidR="00580918" w:rsidRPr="002B3762" w:rsidTr="002B3762">
        <w:trPr>
          <w:cnfStyle w:val="000000100000"/>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 xml:space="preserve">Número de computadores entregados a sedes beneficiarias. </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Alto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42,9</w:t>
            </w:r>
          </w:p>
        </w:tc>
      </w:tr>
      <w:tr w:rsidR="00580918" w:rsidRPr="002B3762" w:rsidTr="002B3762">
        <w:trPr>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 xml:space="preserve">Entes territoriales con código postal implementado. </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Medio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42,9</w:t>
            </w:r>
          </w:p>
        </w:tc>
      </w:tr>
      <w:tr w:rsidR="00580918" w:rsidRPr="002B3762" w:rsidTr="002B3762">
        <w:trPr>
          <w:cnfStyle w:val="000000100000"/>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Número de docentes formados en la incorporación de TIC en la educación</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Medio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64,3</w:t>
            </w:r>
          </w:p>
        </w:tc>
      </w:tr>
      <w:tr w:rsidR="00580918" w:rsidRPr="002B3762" w:rsidTr="002B3762">
        <w:trPr>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Reducción de costos de terminales para acceso a internet</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Alto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57,1</w:t>
            </w:r>
          </w:p>
        </w:tc>
      </w:tr>
      <w:tr w:rsidR="00580918" w:rsidRPr="002B3762" w:rsidTr="002B3762">
        <w:trPr>
          <w:cnfStyle w:val="000000100000"/>
          <w:trHeight w:val="454"/>
        </w:trPr>
        <w:tc>
          <w:tcPr>
            <w:tcW w:w="5637"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Instrumentos de política pública implementados</w:t>
            </w:r>
          </w:p>
        </w:tc>
        <w:tc>
          <w:tcPr>
            <w:tcW w:w="2126" w:type="dxa"/>
            <w:vAlign w:val="center"/>
          </w:tcPr>
          <w:p w:rsidR="00580918" w:rsidRPr="002B3762" w:rsidRDefault="00580918" w:rsidP="00580918">
            <w:pPr>
              <w:spacing w:before="0"/>
              <w:rPr>
                <w:rFonts w:ascii="Arial Narrow" w:hAnsi="Arial Narrow"/>
                <w:sz w:val="22"/>
                <w:szCs w:val="22"/>
                <w:lang w:val="es-CO"/>
              </w:rPr>
            </w:pPr>
            <w:r w:rsidRPr="002B3762">
              <w:rPr>
                <w:rFonts w:ascii="Arial Narrow" w:hAnsi="Arial Narrow"/>
                <w:sz w:val="22"/>
                <w:szCs w:val="22"/>
                <w:lang w:val="es-CO"/>
              </w:rPr>
              <w:t>Medio</w:t>
            </w:r>
          </w:p>
        </w:tc>
        <w:tc>
          <w:tcPr>
            <w:tcW w:w="1291" w:type="dxa"/>
            <w:vAlign w:val="center"/>
          </w:tcPr>
          <w:p w:rsidR="00580918" w:rsidRPr="002B3762" w:rsidRDefault="00580918" w:rsidP="00580918">
            <w:pPr>
              <w:spacing w:before="0"/>
              <w:jc w:val="left"/>
              <w:rPr>
                <w:rFonts w:ascii="Arial Narrow" w:hAnsi="Arial Narrow"/>
                <w:sz w:val="22"/>
                <w:szCs w:val="22"/>
                <w:lang w:val="es-CO"/>
              </w:rPr>
            </w:pPr>
            <w:r w:rsidRPr="002B3762">
              <w:rPr>
                <w:rFonts w:ascii="Arial Narrow" w:hAnsi="Arial Narrow"/>
                <w:sz w:val="22"/>
                <w:szCs w:val="22"/>
                <w:lang w:val="es-CO"/>
              </w:rPr>
              <w:t>50</w:t>
            </w:r>
          </w:p>
        </w:tc>
      </w:tr>
    </w:tbl>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after="200"/>
        <w:rPr>
          <w:lang w:val="es-CO" w:eastAsia="es-CO"/>
        </w:rPr>
      </w:pPr>
      <w:r w:rsidRPr="00580918">
        <w:rPr>
          <w:lang w:val="es-CO" w:eastAsia="es-CO"/>
        </w:rPr>
        <w:t>El cuadro anterior muestra los niveles de logro que respondió la mayoría de los asistentes en cada pregunta. Nótese que la mayoría de asistentes al taller considera que, en los 14 aspectos por los que se indagó, el nivel de logros alcanzado está entre “Alto” y “Medio” (las opciones eran: “Muy bajo”, “Bajo”, “Medio”, “Alto” y “Muy Alto”)</w:t>
      </w:r>
      <w:r w:rsidRPr="00580918">
        <w:rPr>
          <w:vertAlign w:val="superscript"/>
          <w:lang w:val="es-CO" w:eastAsia="es-CO"/>
        </w:rPr>
        <w:footnoteReference w:id="50"/>
      </w:r>
      <w:r w:rsidRPr="00580918">
        <w:rPr>
          <w:lang w:val="es-CO" w:eastAsia="es-CO"/>
        </w:rPr>
        <w:t>.</w:t>
      </w:r>
    </w:p>
    <w:p w:rsidR="00580918" w:rsidRPr="00EC3974" w:rsidRDefault="006D3520" w:rsidP="00547853">
      <w:pPr>
        <w:keepNext/>
        <w:keepLines/>
        <w:spacing w:before="0" w:after="200" w:line="240" w:lineRule="atLeast"/>
        <w:jc w:val="left"/>
        <w:outlineLvl w:val="0"/>
        <w:rPr>
          <w:rFonts w:ascii="Century Gothic" w:eastAsia="Times New Roman" w:hAnsi="Century Gothic" w:cs="Times New Roman"/>
          <w:bCs/>
          <w:smallCaps/>
          <w:color w:val="C00000"/>
          <w:sz w:val="30"/>
          <w:szCs w:val="30"/>
          <w:lang w:val="es-ES" w:eastAsia="es-CO"/>
        </w:rPr>
      </w:pPr>
      <w:r>
        <w:rPr>
          <w:rFonts w:ascii="Century Gothic" w:eastAsia="Times New Roman" w:hAnsi="Century Gothic" w:cs="Times New Roman"/>
          <w:bCs/>
          <w:smallCaps/>
          <w:color w:val="C00000"/>
          <w:sz w:val="30"/>
          <w:szCs w:val="30"/>
          <w:lang w:val="es-ES" w:eastAsia="es-CO"/>
        </w:rPr>
        <w:t xml:space="preserve">A3. 2 </w:t>
      </w:r>
      <w:r w:rsidR="00580918" w:rsidRPr="00EC3974">
        <w:rPr>
          <w:rFonts w:ascii="Century Gothic" w:eastAsia="Times New Roman" w:hAnsi="Century Gothic" w:cs="Times New Roman"/>
          <w:bCs/>
          <w:smallCaps/>
          <w:color w:val="C00000"/>
          <w:sz w:val="30"/>
          <w:szCs w:val="30"/>
          <w:lang w:val="es-ES" w:eastAsia="es-CO"/>
        </w:rPr>
        <w:t>Taller con autoridades del sector</w:t>
      </w:r>
    </w:p>
    <w:p w:rsidR="00580918" w:rsidRDefault="00580918" w:rsidP="00580918">
      <w:pPr>
        <w:widowControl w:val="0"/>
        <w:spacing w:after="200"/>
        <w:rPr>
          <w:lang w:val="es-MX" w:eastAsia="es-CO"/>
        </w:rPr>
      </w:pPr>
      <w:r w:rsidRPr="00580918">
        <w:rPr>
          <w:lang w:val="es-ES" w:eastAsia="es-CO"/>
        </w:rPr>
        <w:t>En  este taller Delphos también se consultó sobre</w:t>
      </w:r>
      <w:r w:rsidRPr="00580918">
        <w:rPr>
          <w:lang w:val="es-MX" w:eastAsia="es-CO"/>
        </w:rPr>
        <w:t xml:space="preserve"> el funcionamiento del Ecosistema Digital, los logros y cuellos de botella del Plan Vive Digital. </w:t>
      </w:r>
    </w:p>
    <w:tbl>
      <w:tblPr>
        <w:tblW w:w="5000" w:type="pct"/>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tblBorders>
        <w:shd w:val="clear" w:color="auto" w:fill="FFFFFF" w:themeFill="background1"/>
        <w:tblCellMar>
          <w:left w:w="0" w:type="dxa"/>
          <w:right w:w="0" w:type="dxa"/>
        </w:tblCellMar>
        <w:tblLook w:val="0600"/>
      </w:tblPr>
      <w:tblGrid>
        <w:gridCol w:w="1375"/>
        <w:gridCol w:w="2309"/>
        <w:gridCol w:w="287"/>
        <w:gridCol w:w="1368"/>
        <w:gridCol w:w="60"/>
        <w:gridCol w:w="3463"/>
      </w:tblGrid>
      <w:tr w:rsidR="00A04B37" w:rsidRPr="00EF617D" w:rsidTr="00ED5897">
        <w:trPr>
          <w:trHeight w:val="20"/>
        </w:trPr>
        <w:tc>
          <w:tcPr>
            <w:tcW w:w="5000" w:type="pct"/>
            <w:gridSpan w:val="6"/>
            <w:shd w:val="clear" w:color="auto" w:fill="BFBFBF" w:themeFill="background1" w:themeFillShade="BF"/>
            <w:tcMar>
              <w:top w:w="12" w:type="dxa"/>
              <w:left w:w="12" w:type="dxa"/>
              <w:bottom w:w="0" w:type="dxa"/>
              <w:right w:w="12" w:type="dxa"/>
            </w:tcMar>
            <w:vAlign w:val="center"/>
            <w:hideMark/>
          </w:tcPr>
          <w:p w:rsidR="00A04B37" w:rsidRPr="00EF617D" w:rsidRDefault="00A04B37" w:rsidP="00ED5897">
            <w:pPr>
              <w:spacing w:before="100" w:beforeAutospacing="1" w:after="100" w:afterAutospacing="1" w:line="240" w:lineRule="auto"/>
              <w:jc w:val="center"/>
              <w:rPr>
                <w:rFonts w:ascii="Arial Narrow" w:hAnsi="Arial Narrow"/>
                <w:sz w:val="20"/>
                <w:szCs w:val="20"/>
              </w:rPr>
            </w:pPr>
            <w:r w:rsidRPr="00EF617D">
              <w:rPr>
                <w:rFonts w:ascii="Arial Narrow" w:hAnsi="Arial Narrow"/>
                <w:b/>
                <w:bCs/>
                <w:sz w:val="20"/>
                <w:szCs w:val="20"/>
              </w:rPr>
              <w:lastRenderedPageBreak/>
              <w:t>Ficha técnica</w:t>
            </w:r>
          </w:p>
        </w:tc>
      </w:tr>
      <w:tr w:rsidR="00A04B37" w:rsidRPr="00EF617D" w:rsidTr="00B64830">
        <w:trPr>
          <w:trHeight w:val="340"/>
        </w:trPr>
        <w:tc>
          <w:tcPr>
            <w:tcW w:w="775"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ED5897">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Título</w:t>
            </w:r>
          </w:p>
        </w:tc>
        <w:tc>
          <w:tcPr>
            <w:tcW w:w="4225" w:type="pct"/>
            <w:gridSpan w:val="5"/>
            <w:tcBorders>
              <w:lef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ED5897">
            <w:pPr>
              <w:spacing w:before="100" w:beforeAutospacing="1" w:after="100" w:afterAutospacing="1" w:line="240" w:lineRule="auto"/>
              <w:rPr>
                <w:rFonts w:ascii="Arial Narrow" w:hAnsi="Arial Narrow"/>
                <w:sz w:val="20"/>
                <w:szCs w:val="20"/>
              </w:rPr>
            </w:pPr>
            <w:r>
              <w:rPr>
                <w:rFonts w:ascii="Arial Narrow" w:hAnsi="Arial Narrow"/>
                <w:sz w:val="20"/>
                <w:szCs w:val="20"/>
              </w:rPr>
              <w:t>Taller Delphos</w:t>
            </w:r>
          </w:p>
        </w:tc>
      </w:tr>
      <w:tr w:rsidR="00A04B37" w:rsidRPr="00EF617D" w:rsidTr="00B64830">
        <w:trPr>
          <w:trHeight w:val="340"/>
        </w:trPr>
        <w:tc>
          <w:tcPr>
            <w:tcW w:w="775"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ED5897">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Proceso</w:t>
            </w:r>
          </w:p>
        </w:tc>
        <w:tc>
          <w:tcPr>
            <w:tcW w:w="4225" w:type="pct"/>
            <w:gridSpan w:val="5"/>
            <w:tcBorders>
              <w:lef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2B3762">
            <w:pPr>
              <w:spacing w:before="100" w:beforeAutospacing="1" w:after="100" w:afterAutospacing="1" w:line="240" w:lineRule="auto"/>
              <w:rPr>
                <w:rFonts w:ascii="Arial Narrow" w:hAnsi="Arial Narrow"/>
                <w:sz w:val="20"/>
                <w:szCs w:val="20"/>
              </w:rPr>
            </w:pPr>
            <w:r>
              <w:rPr>
                <w:rFonts w:ascii="Arial Narrow" w:hAnsi="Arial Narrow"/>
                <w:sz w:val="20"/>
                <w:szCs w:val="20"/>
              </w:rPr>
              <w:t xml:space="preserve">Taller con </w:t>
            </w:r>
            <w:r w:rsidR="002B3762">
              <w:rPr>
                <w:rFonts w:ascii="Arial Narrow" w:hAnsi="Arial Narrow"/>
                <w:sz w:val="20"/>
                <w:szCs w:val="20"/>
              </w:rPr>
              <w:t>autoridades del sector</w:t>
            </w:r>
          </w:p>
        </w:tc>
      </w:tr>
      <w:tr w:rsidR="00A04B37" w:rsidRPr="00EF617D" w:rsidTr="00B64830">
        <w:trPr>
          <w:trHeight w:val="2262"/>
        </w:trPr>
        <w:tc>
          <w:tcPr>
            <w:tcW w:w="775"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ED5897">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Subprocesos (Alcance)</w:t>
            </w:r>
          </w:p>
        </w:tc>
        <w:tc>
          <w:tcPr>
            <w:tcW w:w="4225" w:type="pct"/>
            <w:gridSpan w:val="5"/>
            <w:tcBorders>
              <w:left w:val="single" w:sz="8" w:space="0" w:color="BFBFBF" w:themeColor="background1" w:themeShade="BF"/>
              <w:bottom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Default="00A04B37" w:rsidP="00613C5C">
            <w:pPr>
              <w:pStyle w:val="Prrafodelista"/>
              <w:numPr>
                <w:ilvl w:val="0"/>
                <w:numId w:val="54"/>
              </w:numPr>
              <w:spacing w:before="100" w:beforeAutospacing="1" w:line="240" w:lineRule="auto"/>
              <w:jc w:val="left"/>
              <w:rPr>
                <w:rFonts w:ascii="Arial Narrow" w:hAnsi="Arial Narrow"/>
                <w:sz w:val="20"/>
                <w:szCs w:val="20"/>
              </w:rPr>
            </w:pPr>
            <w:r>
              <w:rPr>
                <w:rFonts w:ascii="Arial Narrow" w:hAnsi="Arial Narrow"/>
                <w:sz w:val="20"/>
                <w:szCs w:val="20"/>
              </w:rPr>
              <w:t>Responder</w:t>
            </w:r>
            <w:r w:rsidRPr="00491321">
              <w:rPr>
                <w:rFonts w:ascii="Arial Narrow" w:hAnsi="Arial Narrow"/>
                <w:sz w:val="20"/>
                <w:szCs w:val="20"/>
              </w:rPr>
              <w:t xml:space="preserve"> individualmente las preguntas de</w:t>
            </w:r>
            <w:r>
              <w:rPr>
                <w:rFonts w:ascii="Arial Narrow" w:hAnsi="Arial Narrow"/>
                <w:sz w:val="20"/>
                <w:szCs w:val="20"/>
              </w:rPr>
              <w:t xml:space="preserve"> un formulario cuyos resultados serán socializados en una siguiente etapa del taller.</w:t>
            </w:r>
            <w:r w:rsidRPr="00491321">
              <w:rPr>
                <w:rFonts w:ascii="Arial Narrow" w:hAnsi="Arial Narrow"/>
                <w:sz w:val="20"/>
                <w:szCs w:val="20"/>
              </w:rPr>
              <w:t xml:space="preserve"> </w:t>
            </w:r>
            <w:r>
              <w:rPr>
                <w:rFonts w:ascii="Arial Narrow" w:hAnsi="Arial Narrow"/>
                <w:sz w:val="20"/>
                <w:szCs w:val="20"/>
              </w:rPr>
              <w:t xml:space="preserve">Se </w:t>
            </w:r>
            <w:r w:rsidRPr="00491321">
              <w:rPr>
                <w:rFonts w:ascii="Arial Narrow" w:hAnsi="Arial Narrow"/>
                <w:sz w:val="20"/>
                <w:szCs w:val="20"/>
              </w:rPr>
              <w:t xml:space="preserve"> selecciona sólo una de la</w:t>
            </w:r>
            <w:r>
              <w:rPr>
                <w:rFonts w:ascii="Arial Narrow" w:hAnsi="Arial Narrow"/>
                <w:sz w:val="20"/>
                <w:szCs w:val="20"/>
              </w:rPr>
              <w:t>s respuestas para cada pregunta</w:t>
            </w:r>
          </w:p>
          <w:p w:rsidR="00A04B37" w:rsidRDefault="00A04B37" w:rsidP="00613C5C">
            <w:pPr>
              <w:pStyle w:val="Prrafodelista"/>
              <w:numPr>
                <w:ilvl w:val="0"/>
                <w:numId w:val="54"/>
              </w:numPr>
              <w:spacing w:before="100" w:beforeAutospacing="1" w:line="240" w:lineRule="auto"/>
              <w:jc w:val="left"/>
              <w:rPr>
                <w:rFonts w:ascii="Arial Narrow" w:hAnsi="Arial Narrow"/>
                <w:sz w:val="20"/>
                <w:szCs w:val="20"/>
              </w:rPr>
            </w:pPr>
            <w:r>
              <w:rPr>
                <w:rFonts w:ascii="Arial Narrow" w:hAnsi="Arial Narrow"/>
                <w:sz w:val="20"/>
                <w:szCs w:val="20"/>
              </w:rPr>
              <w:t>Realizar</w:t>
            </w:r>
            <w:r w:rsidRPr="00CB5982">
              <w:rPr>
                <w:rFonts w:ascii="Arial Narrow" w:hAnsi="Arial Narrow"/>
                <w:sz w:val="20"/>
                <w:szCs w:val="20"/>
              </w:rPr>
              <w:t xml:space="preserve"> una presentación sobre el estudio que lleva a cabo </w:t>
            </w:r>
            <w:r>
              <w:rPr>
                <w:rFonts w:ascii="Arial Narrow" w:hAnsi="Arial Narrow"/>
                <w:sz w:val="20"/>
                <w:szCs w:val="20"/>
              </w:rPr>
              <w:t>la consultoría</w:t>
            </w:r>
            <w:r w:rsidRPr="00CB5982">
              <w:rPr>
                <w:rFonts w:ascii="Arial Narrow" w:hAnsi="Arial Narrow"/>
                <w:sz w:val="20"/>
                <w:szCs w:val="20"/>
              </w:rPr>
              <w:t xml:space="preserve"> y los temas estratégicos seleccionados</w:t>
            </w:r>
          </w:p>
          <w:p w:rsidR="00A04B37" w:rsidRDefault="00A04B37" w:rsidP="00613C5C">
            <w:pPr>
              <w:pStyle w:val="Prrafodelista"/>
              <w:numPr>
                <w:ilvl w:val="0"/>
                <w:numId w:val="54"/>
              </w:numPr>
              <w:spacing w:before="100" w:beforeAutospacing="1" w:line="240" w:lineRule="auto"/>
              <w:jc w:val="left"/>
              <w:rPr>
                <w:rFonts w:ascii="Arial Narrow" w:hAnsi="Arial Narrow"/>
                <w:sz w:val="20"/>
                <w:szCs w:val="20"/>
              </w:rPr>
            </w:pPr>
            <w:r>
              <w:rPr>
                <w:rFonts w:ascii="Arial Narrow" w:hAnsi="Arial Narrow"/>
                <w:sz w:val="20"/>
                <w:szCs w:val="20"/>
              </w:rPr>
              <w:t>Análisis de l</w:t>
            </w:r>
            <w:r w:rsidRPr="00CB5982">
              <w:rPr>
                <w:rFonts w:ascii="Arial Narrow" w:hAnsi="Arial Narrow"/>
                <w:sz w:val="20"/>
                <w:szCs w:val="20"/>
              </w:rPr>
              <w:t xml:space="preserve">os resultados de la encuesta </w:t>
            </w:r>
            <w:r>
              <w:rPr>
                <w:rFonts w:ascii="Arial Narrow" w:hAnsi="Arial Narrow"/>
                <w:sz w:val="20"/>
                <w:szCs w:val="20"/>
              </w:rPr>
              <w:t xml:space="preserve"> entre los asistentes </w:t>
            </w:r>
            <w:r w:rsidRPr="00CB5982">
              <w:rPr>
                <w:rFonts w:ascii="Arial Narrow" w:hAnsi="Arial Narrow"/>
                <w:sz w:val="20"/>
                <w:szCs w:val="20"/>
              </w:rPr>
              <w:t>y discu</w:t>
            </w:r>
            <w:r>
              <w:rPr>
                <w:rFonts w:ascii="Arial Narrow" w:hAnsi="Arial Narrow"/>
                <w:sz w:val="20"/>
                <w:szCs w:val="20"/>
              </w:rPr>
              <w:t>sión de</w:t>
            </w:r>
            <w:r w:rsidRPr="00CB5982">
              <w:rPr>
                <w:rFonts w:ascii="Arial Narrow" w:hAnsi="Arial Narrow"/>
                <w:sz w:val="20"/>
                <w:szCs w:val="20"/>
              </w:rPr>
              <w:t xml:space="preserve"> las difere</w:t>
            </w:r>
            <w:r>
              <w:rPr>
                <w:rFonts w:ascii="Arial Narrow" w:hAnsi="Arial Narrow"/>
                <w:sz w:val="20"/>
                <w:szCs w:val="20"/>
              </w:rPr>
              <w:t>ntes posiciones sobre cada tema</w:t>
            </w:r>
          </w:p>
          <w:p w:rsidR="00A04B37" w:rsidRPr="00491321" w:rsidRDefault="00A04B37" w:rsidP="00613C5C">
            <w:pPr>
              <w:pStyle w:val="Prrafodelista"/>
              <w:numPr>
                <w:ilvl w:val="0"/>
                <w:numId w:val="54"/>
              </w:numPr>
              <w:spacing w:before="100" w:beforeAutospacing="1" w:line="240" w:lineRule="auto"/>
              <w:jc w:val="left"/>
              <w:rPr>
                <w:rFonts w:ascii="Arial Narrow" w:hAnsi="Arial Narrow"/>
                <w:sz w:val="20"/>
                <w:szCs w:val="20"/>
              </w:rPr>
            </w:pPr>
            <w:r>
              <w:rPr>
                <w:rFonts w:ascii="Arial Narrow" w:hAnsi="Arial Narrow"/>
                <w:sz w:val="20"/>
                <w:szCs w:val="20"/>
              </w:rPr>
              <w:t>L</w:t>
            </w:r>
            <w:r w:rsidRPr="004111FD">
              <w:rPr>
                <w:rFonts w:ascii="Arial Narrow" w:hAnsi="Arial Narrow"/>
                <w:sz w:val="20"/>
                <w:szCs w:val="20"/>
              </w:rPr>
              <w:t>os asistentes responde</w:t>
            </w:r>
            <w:r>
              <w:rPr>
                <w:rFonts w:ascii="Arial Narrow" w:hAnsi="Arial Narrow"/>
                <w:sz w:val="20"/>
                <w:szCs w:val="20"/>
              </w:rPr>
              <w:t>n</w:t>
            </w:r>
            <w:r w:rsidRPr="004111FD">
              <w:rPr>
                <w:rFonts w:ascii="Arial Narrow" w:hAnsi="Arial Narrow"/>
                <w:sz w:val="20"/>
                <w:szCs w:val="20"/>
              </w:rPr>
              <w:t xml:space="preserve"> nuevamente el formulario, de manera anónima, teniendo en cuenta los argumentos escuchados durante la discusión.</w:t>
            </w:r>
          </w:p>
        </w:tc>
      </w:tr>
      <w:tr w:rsidR="00A04B37" w:rsidRPr="00EF617D" w:rsidTr="00B64830">
        <w:trPr>
          <w:trHeight w:val="20"/>
        </w:trPr>
        <w:tc>
          <w:tcPr>
            <w:tcW w:w="775"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ED5897">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Objetivo</w:t>
            </w:r>
          </w:p>
        </w:tc>
        <w:tc>
          <w:tcPr>
            <w:tcW w:w="1465" w:type="pct"/>
            <w:gridSpan w:val="2"/>
            <w:tcBorders>
              <w:left w:val="single" w:sz="8" w:space="0" w:color="BFBFBF" w:themeColor="background1" w:themeShade="BF"/>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ED5897">
            <w:pPr>
              <w:spacing w:before="100" w:beforeAutospacing="1" w:after="100" w:afterAutospacing="1" w:line="240" w:lineRule="auto"/>
              <w:jc w:val="left"/>
              <w:rPr>
                <w:rFonts w:ascii="Arial Narrow" w:hAnsi="Arial Narrow"/>
                <w:sz w:val="20"/>
                <w:szCs w:val="20"/>
              </w:rPr>
            </w:pPr>
            <w:r w:rsidRPr="00EF617D">
              <w:rPr>
                <w:rFonts w:ascii="Arial Narrow" w:hAnsi="Arial Narrow"/>
                <w:sz w:val="20"/>
                <w:szCs w:val="20"/>
              </w:rPr>
              <w:t xml:space="preserve">El objetivo </w:t>
            </w:r>
            <w:r w:rsidRPr="00494080">
              <w:rPr>
                <w:rFonts w:ascii="Arial Narrow" w:hAnsi="Arial Narrow"/>
                <w:sz w:val="20"/>
                <w:szCs w:val="20"/>
              </w:rPr>
              <w:t>del taller Delphos fue consultar sobre el funcionamiento del Ecosistema Digital, los logros y cuellos d</w:t>
            </w:r>
            <w:r>
              <w:rPr>
                <w:rFonts w:ascii="Arial Narrow" w:hAnsi="Arial Narrow"/>
                <w:sz w:val="20"/>
                <w:szCs w:val="20"/>
              </w:rPr>
              <w:t>e botella del Plan Vive Digital a los líderes de proyectos de la diferentes direcciones del MINTIC</w:t>
            </w:r>
          </w:p>
        </w:tc>
        <w:tc>
          <w:tcPr>
            <w:tcW w:w="772" w:type="pct"/>
            <w:tcBorders>
              <w:left w:val="single" w:sz="8" w:space="0" w:color="BFBFBF" w:themeColor="background1" w:themeShade="BF"/>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ED5897">
            <w:pPr>
              <w:spacing w:before="100" w:beforeAutospacing="1" w:after="100" w:afterAutospacing="1" w:line="240" w:lineRule="auto"/>
              <w:jc w:val="center"/>
              <w:rPr>
                <w:rFonts w:ascii="Arial Narrow" w:hAnsi="Arial Narrow"/>
                <w:sz w:val="20"/>
                <w:szCs w:val="20"/>
              </w:rPr>
            </w:pPr>
            <w:r w:rsidRPr="00EF617D">
              <w:rPr>
                <w:rFonts w:ascii="Arial Narrow" w:hAnsi="Arial Narrow"/>
                <w:b/>
                <w:bCs/>
                <w:sz w:val="20"/>
                <w:szCs w:val="20"/>
              </w:rPr>
              <w:t>Justificación</w:t>
            </w:r>
          </w:p>
        </w:tc>
        <w:tc>
          <w:tcPr>
            <w:tcW w:w="1988" w:type="pct"/>
            <w:gridSpan w:val="2"/>
            <w:tcBorders>
              <w:lef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ED5897">
            <w:pPr>
              <w:spacing w:before="100" w:beforeAutospacing="1" w:after="100" w:afterAutospacing="1" w:line="240" w:lineRule="auto"/>
              <w:jc w:val="left"/>
              <w:rPr>
                <w:rFonts w:ascii="Arial Narrow" w:hAnsi="Arial Narrow"/>
                <w:sz w:val="20"/>
                <w:szCs w:val="20"/>
              </w:rPr>
            </w:pPr>
            <w:r w:rsidRPr="00271BF7">
              <w:rPr>
                <w:rFonts w:ascii="Arial Narrow" w:hAnsi="Arial Narrow"/>
                <w:sz w:val="20"/>
                <w:szCs w:val="20"/>
              </w:rPr>
              <w:t>El Delphos es una modalidad de grupo focal que se basa en el registro de la opinión de los participantes en un aplicativo en Excel que facilita la exposición de los distintos puntos de vista que puede haber en un grupo. La metodología permite llegar a consensos, previo un proceso de debate y profundización de ideas similares o antagónicas.</w:t>
            </w:r>
          </w:p>
        </w:tc>
      </w:tr>
      <w:tr w:rsidR="00A04B37" w:rsidRPr="00EF617D" w:rsidTr="00B64830">
        <w:trPr>
          <w:trHeight w:val="340"/>
        </w:trPr>
        <w:tc>
          <w:tcPr>
            <w:tcW w:w="775"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A04B37" w:rsidRPr="00EF617D" w:rsidRDefault="00A04B37" w:rsidP="00ED5897">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Metodología aplicada</w:t>
            </w:r>
          </w:p>
        </w:tc>
        <w:tc>
          <w:tcPr>
            <w:tcW w:w="4225" w:type="pct"/>
            <w:gridSpan w:val="5"/>
            <w:tcBorders>
              <w:left w:val="single" w:sz="8" w:space="0" w:color="BFBFBF" w:themeColor="background1" w:themeShade="BF"/>
            </w:tcBorders>
            <w:shd w:val="clear" w:color="auto" w:fill="FFFFFF" w:themeFill="background1"/>
            <w:tcMar>
              <w:top w:w="15" w:type="dxa"/>
              <w:left w:w="170" w:type="dxa"/>
              <w:bottom w:w="0" w:type="dxa"/>
              <w:right w:w="57" w:type="dxa"/>
            </w:tcMar>
            <w:vAlign w:val="center"/>
          </w:tcPr>
          <w:p w:rsidR="00A04B37" w:rsidRPr="00EF617D" w:rsidRDefault="00A04B37" w:rsidP="00ED5897">
            <w:pPr>
              <w:spacing w:before="100" w:beforeAutospacing="1" w:after="100" w:afterAutospacing="1" w:line="240" w:lineRule="auto"/>
              <w:rPr>
                <w:rFonts w:ascii="Arial Narrow" w:hAnsi="Arial Narrow"/>
                <w:sz w:val="20"/>
                <w:szCs w:val="20"/>
              </w:rPr>
            </w:pPr>
            <w:r>
              <w:rPr>
                <w:rFonts w:ascii="Arial Narrow" w:hAnsi="Arial Narrow"/>
                <w:sz w:val="20"/>
                <w:szCs w:val="20"/>
              </w:rPr>
              <w:t>Taller Delphos</w:t>
            </w:r>
          </w:p>
        </w:tc>
      </w:tr>
      <w:tr w:rsidR="00A04B37" w:rsidRPr="00EF617D" w:rsidTr="00B64830">
        <w:trPr>
          <w:trHeight w:val="340"/>
        </w:trPr>
        <w:tc>
          <w:tcPr>
            <w:tcW w:w="775"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A04B37" w:rsidRPr="00EF617D" w:rsidRDefault="00A04B37" w:rsidP="00ED5897">
            <w:pPr>
              <w:spacing w:before="100" w:beforeAutospacing="1" w:after="100" w:afterAutospacing="1" w:line="240" w:lineRule="auto"/>
              <w:rPr>
                <w:rFonts w:ascii="Arial Narrow" w:hAnsi="Arial Narrow"/>
                <w:b/>
                <w:bCs/>
                <w:sz w:val="20"/>
                <w:szCs w:val="20"/>
              </w:rPr>
            </w:pPr>
            <w:r>
              <w:rPr>
                <w:rFonts w:ascii="Arial Narrow" w:hAnsi="Arial Narrow"/>
                <w:b/>
                <w:bCs/>
                <w:sz w:val="20"/>
                <w:szCs w:val="20"/>
              </w:rPr>
              <w:t xml:space="preserve">No. Asistentes </w:t>
            </w:r>
          </w:p>
        </w:tc>
        <w:tc>
          <w:tcPr>
            <w:tcW w:w="4225" w:type="pct"/>
            <w:gridSpan w:val="5"/>
            <w:tcBorders>
              <w:left w:val="single" w:sz="8" w:space="0" w:color="BFBFBF" w:themeColor="background1" w:themeShade="BF"/>
            </w:tcBorders>
            <w:shd w:val="clear" w:color="auto" w:fill="FFFFFF" w:themeFill="background1"/>
            <w:tcMar>
              <w:top w:w="15" w:type="dxa"/>
              <w:left w:w="170" w:type="dxa"/>
              <w:bottom w:w="0" w:type="dxa"/>
              <w:right w:w="57" w:type="dxa"/>
            </w:tcMar>
            <w:vAlign w:val="center"/>
          </w:tcPr>
          <w:p w:rsidR="00A04B37" w:rsidRDefault="002B3762" w:rsidP="002B3762">
            <w:pPr>
              <w:spacing w:before="100" w:beforeAutospacing="1" w:after="100" w:afterAutospacing="1" w:line="240" w:lineRule="auto"/>
              <w:rPr>
                <w:rFonts w:ascii="Arial Narrow" w:hAnsi="Arial Narrow"/>
                <w:sz w:val="20"/>
                <w:szCs w:val="20"/>
              </w:rPr>
            </w:pPr>
            <w:r>
              <w:rPr>
                <w:rFonts w:ascii="Arial Narrow" w:hAnsi="Arial Narrow"/>
                <w:sz w:val="20"/>
                <w:szCs w:val="20"/>
              </w:rPr>
              <w:t>Cinco personas  (5</w:t>
            </w:r>
            <w:r w:rsidR="00A04B37">
              <w:rPr>
                <w:rFonts w:ascii="Arial Narrow" w:hAnsi="Arial Narrow"/>
                <w:sz w:val="20"/>
                <w:szCs w:val="20"/>
              </w:rPr>
              <w:t>)</w:t>
            </w:r>
          </w:p>
        </w:tc>
      </w:tr>
      <w:tr w:rsidR="00B64830" w:rsidRPr="00EF617D" w:rsidTr="00B64830">
        <w:trPr>
          <w:trHeight w:val="20"/>
        </w:trPr>
        <w:tc>
          <w:tcPr>
            <w:tcW w:w="775" w:type="pct"/>
            <w:vMerge w:val="restar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B64830" w:rsidRPr="00EF617D" w:rsidRDefault="00B64830" w:rsidP="00ED5897">
            <w:pPr>
              <w:spacing w:before="0" w:line="240" w:lineRule="auto"/>
              <w:rPr>
                <w:rFonts w:ascii="Arial Narrow" w:hAnsi="Arial Narrow"/>
                <w:b/>
                <w:bCs/>
                <w:sz w:val="20"/>
                <w:szCs w:val="20"/>
              </w:rPr>
            </w:pPr>
            <w:r>
              <w:rPr>
                <w:rFonts w:ascii="Arial Narrow" w:hAnsi="Arial Narrow"/>
                <w:b/>
                <w:bCs/>
                <w:sz w:val="20"/>
                <w:szCs w:val="20"/>
              </w:rPr>
              <w:t>Participantes</w:t>
            </w:r>
          </w:p>
        </w:tc>
        <w:tc>
          <w:tcPr>
            <w:tcW w:w="1303" w:type="pct"/>
            <w:tcBorders>
              <w:left w:val="single" w:sz="8" w:space="0" w:color="BFBFBF" w:themeColor="background1" w:themeShade="BF"/>
              <w:bottom w:val="single" w:sz="8" w:space="0" w:color="BFBFBF" w:themeColor="background1" w:themeShade="BF"/>
            </w:tcBorders>
            <w:shd w:val="clear" w:color="auto" w:fill="BFBFBF" w:themeFill="background1" w:themeFillShade="BF"/>
            <w:tcMar>
              <w:top w:w="15" w:type="dxa"/>
              <w:left w:w="170" w:type="dxa"/>
              <w:bottom w:w="0" w:type="dxa"/>
              <w:right w:w="57" w:type="dxa"/>
            </w:tcMar>
          </w:tcPr>
          <w:p w:rsidR="00B64830" w:rsidRPr="00580918" w:rsidRDefault="00B64830" w:rsidP="00ED5897">
            <w:pPr>
              <w:spacing w:before="0"/>
              <w:jc w:val="center"/>
              <w:rPr>
                <w:rFonts w:ascii="Arial Narrow" w:hAnsi="Arial Narrow"/>
                <w:b/>
                <w:caps/>
                <w:sz w:val="20"/>
                <w:szCs w:val="20"/>
                <w:lang w:val="es-CO" w:eastAsia="es-CO"/>
              </w:rPr>
            </w:pPr>
            <w:r w:rsidRPr="00580918">
              <w:rPr>
                <w:rFonts w:ascii="Arial Narrow" w:hAnsi="Arial Narrow"/>
                <w:b/>
                <w:sz w:val="20"/>
                <w:szCs w:val="20"/>
                <w:lang w:val="es-CO" w:eastAsia="es-CO"/>
              </w:rPr>
              <w:t>Participante</w:t>
            </w:r>
          </w:p>
        </w:tc>
        <w:tc>
          <w:tcPr>
            <w:tcW w:w="968" w:type="pct"/>
            <w:gridSpan w:val="3"/>
            <w:tcBorders>
              <w:left w:val="single" w:sz="8" w:space="0" w:color="BFBFBF" w:themeColor="background1" w:themeShade="BF"/>
            </w:tcBorders>
            <w:shd w:val="clear" w:color="auto" w:fill="BFBFBF" w:themeFill="background1" w:themeFillShade="BF"/>
            <w:vAlign w:val="center"/>
          </w:tcPr>
          <w:p w:rsidR="00B64830" w:rsidRPr="00580918" w:rsidRDefault="00B64830" w:rsidP="00ED5897">
            <w:pPr>
              <w:spacing w:before="0"/>
              <w:jc w:val="center"/>
              <w:rPr>
                <w:rFonts w:ascii="Arial Narrow" w:hAnsi="Arial Narrow"/>
                <w:b/>
                <w:caps/>
                <w:sz w:val="20"/>
                <w:szCs w:val="20"/>
                <w:lang w:val="es-CO" w:eastAsia="es-CO"/>
              </w:rPr>
            </w:pPr>
            <w:r>
              <w:rPr>
                <w:rFonts w:ascii="Arial Narrow" w:hAnsi="Arial Narrow"/>
                <w:b/>
                <w:sz w:val="20"/>
                <w:szCs w:val="20"/>
                <w:lang w:val="es-CO" w:eastAsia="es-CO"/>
              </w:rPr>
              <w:t>Entidad</w:t>
            </w:r>
          </w:p>
        </w:tc>
        <w:tc>
          <w:tcPr>
            <w:tcW w:w="1954" w:type="pct"/>
            <w:tcBorders>
              <w:left w:val="single" w:sz="8" w:space="0" w:color="BFBFBF" w:themeColor="background1" w:themeShade="BF"/>
            </w:tcBorders>
            <w:shd w:val="clear" w:color="auto" w:fill="BFBFBF" w:themeFill="background1" w:themeFillShade="BF"/>
            <w:vAlign w:val="center"/>
          </w:tcPr>
          <w:p w:rsidR="00B64830" w:rsidRPr="00580918" w:rsidRDefault="00B64830" w:rsidP="00ED5897">
            <w:pPr>
              <w:spacing w:before="0"/>
              <w:jc w:val="center"/>
              <w:rPr>
                <w:rFonts w:ascii="Arial Narrow" w:hAnsi="Arial Narrow"/>
                <w:b/>
                <w:caps/>
                <w:sz w:val="20"/>
                <w:szCs w:val="20"/>
                <w:lang w:val="es-CO" w:eastAsia="es-CO"/>
              </w:rPr>
            </w:pPr>
            <w:r>
              <w:rPr>
                <w:rFonts w:ascii="Arial Narrow" w:hAnsi="Arial Narrow"/>
                <w:b/>
                <w:sz w:val="20"/>
                <w:szCs w:val="20"/>
                <w:lang w:val="es-CO" w:eastAsia="es-CO"/>
              </w:rPr>
              <w:t>Cargo</w:t>
            </w:r>
          </w:p>
        </w:tc>
      </w:tr>
      <w:tr w:rsidR="00B64830" w:rsidRPr="00EF617D" w:rsidTr="00B64830">
        <w:trPr>
          <w:trHeight w:val="25"/>
        </w:trPr>
        <w:tc>
          <w:tcPr>
            <w:tcW w:w="775"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B64830" w:rsidRDefault="00B64830" w:rsidP="00ED5897">
            <w:pPr>
              <w:spacing w:before="0" w:line="240" w:lineRule="auto"/>
              <w:rPr>
                <w:rFonts w:ascii="Arial Narrow" w:hAnsi="Arial Narrow"/>
                <w:b/>
                <w:bCs/>
                <w:sz w:val="20"/>
                <w:szCs w:val="20"/>
              </w:rPr>
            </w:pPr>
          </w:p>
        </w:tc>
        <w:tc>
          <w:tcPr>
            <w:tcW w:w="1303"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B64830" w:rsidRPr="00580918" w:rsidRDefault="00B64830" w:rsidP="00BE0330">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Camilo Martínez</w:t>
            </w:r>
          </w:p>
        </w:tc>
        <w:tc>
          <w:tcPr>
            <w:tcW w:w="968" w:type="pct"/>
            <w:gridSpan w:val="3"/>
            <w:tcBorders>
              <w:left w:val="nil"/>
            </w:tcBorders>
            <w:shd w:val="clear" w:color="auto" w:fill="FFFFFF" w:themeFill="background1"/>
            <w:vAlign w:val="center"/>
          </w:tcPr>
          <w:p w:rsidR="00B64830" w:rsidRPr="00580918" w:rsidRDefault="00B64830" w:rsidP="00ED5897">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DNP</w:t>
            </w:r>
          </w:p>
        </w:tc>
        <w:tc>
          <w:tcPr>
            <w:tcW w:w="1954" w:type="pct"/>
            <w:tcBorders>
              <w:left w:val="single" w:sz="8" w:space="0" w:color="BFBFBF" w:themeColor="background1" w:themeShade="BF"/>
            </w:tcBorders>
            <w:shd w:val="clear" w:color="auto" w:fill="FFFFFF" w:themeFill="background1"/>
            <w:vAlign w:val="center"/>
          </w:tcPr>
          <w:p w:rsidR="00B64830" w:rsidRPr="00580918" w:rsidRDefault="00B64830" w:rsidP="00BE0330">
            <w:pPr>
              <w:spacing w:before="0" w:line="240" w:lineRule="auto"/>
              <w:jc w:val="left"/>
              <w:rPr>
                <w:rFonts w:ascii="Arial Narrow" w:hAnsi="Arial Narrow" w:cs="Arial"/>
                <w:sz w:val="20"/>
                <w:szCs w:val="20"/>
                <w:lang w:val="es-CO" w:eastAsia="es-CO"/>
              </w:rPr>
            </w:pPr>
            <w:r w:rsidRPr="00B64830">
              <w:rPr>
                <w:rFonts w:ascii="Arial Narrow" w:hAnsi="Arial Narrow" w:cs="Arial"/>
                <w:sz w:val="20"/>
                <w:szCs w:val="20"/>
                <w:lang w:val="es-CO" w:eastAsia="es-CO"/>
              </w:rPr>
              <w:t>Subdirector de Telecomunicaciones</w:t>
            </w:r>
          </w:p>
        </w:tc>
      </w:tr>
      <w:tr w:rsidR="00B64830" w:rsidRPr="00EF617D" w:rsidTr="00B64830">
        <w:trPr>
          <w:trHeight w:val="25"/>
        </w:trPr>
        <w:tc>
          <w:tcPr>
            <w:tcW w:w="775"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B64830" w:rsidRDefault="00B64830" w:rsidP="00ED5897">
            <w:pPr>
              <w:spacing w:before="0" w:line="240" w:lineRule="auto"/>
              <w:rPr>
                <w:rFonts w:ascii="Arial Narrow" w:hAnsi="Arial Narrow"/>
                <w:b/>
                <w:bCs/>
                <w:sz w:val="20"/>
                <w:szCs w:val="20"/>
              </w:rPr>
            </w:pPr>
          </w:p>
        </w:tc>
        <w:tc>
          <w:tcPr>
            <w:tcW w:w="1303"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B64830" w:rsidRPr="00580918" w:rsidRDefault="00B64830" w:rsidP="00BE0330">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 xml:space="preserve">Diana Celis </w:t>
            </w:r>
          </w:p>
        </w:tc>
        <w:tc>
          <w:tcPr>
            <w:tcW w:w="968" w:type="pct"/>
            <w:gridSpan w:val="3"/>
            <w:tcBorders>
              <w:left w:val="nil"/>
            </w:tcBorders>
            <w:shd w:val="clear" w:color="auto" w:fill="FFFFFF" w:themeFill="background1"/>
            <w:vAlign w:val="center"/>
          </w:tcPr>
          <w:p w:rsidR="00B64830" w:rsidRPr="00580918" w:rsidRDefault="00B64830" w:rsidP="00ED5897">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Señal Colombia</w:t>
            </w:r>
          </w:p>
        </w:tc>
        <w:tc>
          <w:tcPr>
            <w:tcW w:w="1954" w:type="pct"/>
            <w:tcBorders>
              <w:left w:val="single" w:sz="8" w:space="0" w:color="BFBFBF" w:themeColor="background1" w:themeShade="BF"/>
            </w:tcBorders>
            <w:shd w:val="clear" w:color="auto" w:fill="FFFFFF" w:themeFill="background1"/>
            <w:vAlign w:val="center"/>
          </w:tcPr>
          <w:p w:rsidR="00B64830" w:rsidRPr="00580918" w:rsidRDefault="006B7262" w:rsidP="006B7262">
            <w:pPr>
              <w:spacing w:before="0" w:line="240" w:lineRule="auto"/>
              <w:jc w:val="left"/>
              <w:rPr>
                <w:rFonts w:ascii="Arial Narrow" w:hAnsi="Arial Narrow" w:cs="Arial"/>
                <w:sz w:val="20"/>
                <w:szCs w:val="20"/>
                <w:lang w:val="es-CO" w:eastAsia="es-CO"/>
              </w:rPr>
            </w:pPr>
            <w:r>
              <w:rPr>
                <w:rFonts w:ascii="Arial Narrow" w:hAnsi="Arial Narrow" w:cs="Arial"/>
                <w:sz w:val="20"/>
                <w:szCs w:val="20"/>
                <w:lang w:val="es-CO" w:eastAsia="es-CO"/>
              </w:rPr>
              <w:t>D</w:t>
            </w:r>
            <w:r w:rsidRPr="006B7262">
              <w:rPr>
                <w:rFonts w:ascii="Arial Narrow" w:hAnsi="Arial Narrow" w:cs="Arial"/>
                <w:sz w:val="20"/>
                <w:szCs w:val="20"/>
                <w:lang w:val="es-CO" w:eastAsia="es-CO"/>
              </w:rPr>
              <w:t xml:space="preserve">irectora </w:t>
            </w:r>
          </w:p>
        </w:tc>
      </w:tr>
      <w:tr w:rsidR="00B64830" w:rsidRPr="00EF617D" w:rsidTr="00B64830">
        <w:trPr>
          <w:trHeight w:val="25"/>
        </w:trPr>
        <w:tc>
          <w:tcPr>
            <w:tcW w:w="775"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B64830" w:rsidRDefault="00B64830" w:rsidP="00ED5897">
            <w:pPr>
              <w:spacing w:before="0" w:line="240" w:lineRule="auto"/>
              <w:rPr>
                <w:rFonts w:ascii="Arial Narrow" w:hAnsi="Arial Narrow"/>
                <w:b/>
                <w:bCs/>
                <w:sz w:val="20"/>
                <w:szCs w:val="20"/>
              </w:rPr>
            </w:pPr>
          </w:p>
        </w:tc>
        <w:tc>
          <w:tcPr>
            <w:tcW w:w="1303"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B64830" w:rsidRPr="00580918" w:rsidRDefault="00B64830" w:rsidP="00BE0330">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Juan Pablo Hernández</w:t>
            </w:r>
          </w:p>
        </w:tc>
        <w:tc>
          <w:tcPr>
            <w:tcW w:w="968" w:type="pct"/>
            <w:gridSpan w:val="3"/>
            <w:tcBorders>
              <w:left w:val="nil"/>
            </w:tcBorders>
            <w:shd w:val="clear" w:color="auto" w:fill="FFFFFF" w:themeFill="background1"/>
            <w:vAlign w:val="center"/>
          </w:tcPr>
          <w:p w:rsidR="00B64830" w:rsidRPr="00580918" w:rsidRDefault="00B64830" w:rsidP="00ED5897">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CRC</w:t>
            </w:r>
          </w:p>
        </w:tc>
        <w:tc>
          <w:tcPr>
            <w:tcW w:w="1954" w:type="pct"/>
            <w:tcBorders>
              <w:left w:val="single" w:sz="8" w:space="0" w:color="BFBFBF" w:themeColor="background1" w:themeShade="BF"/>
            </w:tcBorders>
            <w:shd w:val="clear" w:color="auto" w:fill="FFFFFF" w:themeFill="background1"/>
            <w:vAlign w:val="center"/>
          </w:tcPr>
          <w:p w:rsidR="00B64830" w:rsidRPr="00580918" w:rsidRDefault="007F35F8" w:rsidP="00BE0330">
            <w:pPr>
              <w:spacing w:before="0" w:line="240" w:lineRule="auto"/>
              <w:jc w:val="left"/>
              <w:rPr>
                <w:rFonts w:ascii="Arial Narrow" w:hAnsi="Arial Narrow" w:cs="Arial"/>
                <w:sz w:val="20"/>
                <w:szCs w:val="20"/>
                <w:lang w:val="es-CO" w:eastAsia="es-CO"/>
              </w:rPr>
            </w:pPr>
            <w:r>
              <w:rPr>
                <w:rFonts w:ascii="Arial Narrow" w:hAnsi="Arial Narrow" w:cs="Arial"/>
                <w:sz w:val="20"/>
                <w:szCs w:val="20"/>
                <w:lang w:val="es-CO" w:eastAsia="es-CO"/>
              </w:rPr>
              <w:t>Coordinador</w:t>
            </w:r>
          </w:p>
        </w:tc>
      </w:tr>
      <w:tr w:rsidR="00B64830" w:rsidRPr="00EF617D" w:rsidTr="00B64830">
        <w:trPr>
          <w:trHeight w:val="25"/>
        </w:trPr>
        <w:tc>
          <w:tcPr>
            <w:tcW w:w="775"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B64830" w:rsidRDefault="00B64830" w:rsidP="00ED5897">
            <w:pPr>
              <w:spacing w:before="0" w:line="240" w:lineRule="auto"/>
              <w:rPr>
                <w:rFonts w:ascii="Arial Narrow" w:hAnsi="Arial Narrow"/>
                <w:b/>
                <w:bCs/>
                <w:sz w:val="20"/>
                <w:szCs w:val="20"/>
              </w:rPr>
            </w:pPr>
          </w:p>
        </w:tc>
        <w:tc>
          <w:tcPr>
            <w:tcW w:w="1303"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B64830" w:rsidRPr="00580918" w:rsidRDefault="00B64830" w:rsidP="00BE0330">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Carlos Troncoso</w:t>
            </w:r>
          </w:p>
        </w:tc>
        <w:tc>
          <w:tcPr>
            <w:tcW w:w="968" w:type="pct"/>
            <w:gridSpan w:val="3"/>
            <w:tcBorders>
              <w:left w:val="nil"/>
            </w:tcBorders>
            <w:shd w:val="clear" w:color="auto" w:fill="FFFFFF" w:themeFill="background1"/>
            <w:vAlign w:val="center"/>
          </w:tcPr>
          <w:p w:rsidR="00B64830" w:rsidRPr="00580918" w:rsidRDefault="00B64830" w:rsidP="00ED5897">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DANE</w:t>
            </w:r>
          </w:p>
        </w:tc>
        <w:tc>
          <w:tcPr>
            <w:tcW w:w="1954" w:type="pct"/>
            <w:tcBorders>
              <w:left w:val="single" w:sz="8" w:space="0" w:color="BFBFBF" w:themeColor="background1" w:themeShade="BF"/>
            </w:tcBorders>
            <w:shd w:val="clear" w:color="auto" w:fill="FFFFFF" w:themeFill="background1"/>
            <w:vAlign w:val="center"/>
          </w:tcPr>
          <w:p w:rsidR="00B64830" w:rsidRPr="00580918" w:rsidRDefault="00474B17" w:rsidP="00BE0330">
            <w:pPr>
              <w:spacing w:before="0" w:line="240" w:lineRule="auto"/>
              <w:jc w:val="left"/>
              <w:rPr>
                <w:rFonts w:ascii="Arial Narrow" w:hAnsi="Arial Narrow" w:cs="Arial"/>
                <w:sz w:val="20"/>
                <w:szCs w:val="20"/>
                <w:lang w:val="es-CO" w:eastAsia="es-CO"/>
              </w:rPr>
            </w:pPr>
            <w:r w:rsidRPr="00474B17">
              <w:rPr>
                <w:rFonts w:ascii="Arial Narrow" w:hAnsi="Arial Narrow" w:cs="Arial"/>
                <w:sz w:val="20"/>
                <w:szCs w:val="20"/>
                <w:lang w:val="es-CO" w:eastAsia="es-CO"/>
              </w:rPr>
              <w:t>Dirección de metodología y producción estadística</w:t>
            </w:r>
          </w:p>
        </w:tc>
      </w:tr>
      <w:tr w:rsidR="00B64830" w:rsidRPr="00EF617D" w:rsidTr="00B64830">
        <w:trPr>
          <w:trHeight w:val="25"/>
        </w:trPr>
        <w:tc>
          <w:tcPr>
            <w:tcW w:w="775" w:type="pct"/>
            <w:vMerge/>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tcPr>
          <w:p w:rsidR="00B64830" w:rsidRDefault="00B64830" w:rsidP="00ED5897">
            <w:pPr>
              <w:spacing w:before="0" w:line="240" w:lineRule="auto"/>
              <w:rPr>
                <w:rFonts w:ascii="Arial Narrow" w:hAnsi="Arial Narrow"/>
                <w:b/>
                <w:bCs/>
                <w:sz w:val="20"/>
                <w:szCs w:val="20"/>
              </w:rPr>
            </w:pPr>
          </w:p>
        </w:tc>
        <w:tc>
          <w:tcPr>
            <w:tcW w:w="1303" w:type="pct"/>
            <w:tcBorders>
              <w:left w:val="single" w:sz="8" w:space="0" w:color="BFBFBF" w:themeColor="background1" w:themeShade="BF"/>
              <w:right w:val="nil"/>
            </w:tcBorders>
            <w:shd w:val="clear" w:color="auto" w:fill="FFFFFF" w:themeFill="background1"/>
            <w:tcMar>
              <w:top w:w="15" w:type="dxa"/>
              <w:left w:w="170" w:type="dxa"/>
              <w:bottom w:w="0" w:type="dxa"/>
              <w:right w:w="57" w:type="dxa"/>
            </w:tcMar>
            <w:vAlign w:val="center"/>
          </w:tcPr>
          <w:p w:rsidR="00B64830" w:rsidRPr="00580918" w:rsidRDefault="00B64830" w:rsidP="00BE0330">
            <w:pPr>
              <w:spacing w:before="0" w:line="240" w:lineRule="auto"/>
              <w:jc w:val="left"/>
              <w:rPr>
                <w:rFonts w:ascii="Arial Narrow" w:hAnsi="Arial Narrow" w:cs="Arial"/>
                <w:sz w:val="20"/>
                <w:szCs w:val="20"/>
                <w:lang w:val="es-CO" w:eastAsia="es-CO"/>
              </w:rPr>
            </w:pPr>
            <w:r w:rsidRPr="00B67564">
              <w:rPr>
                <w:rFonts w:ascii="Arial Narrow" w:hAnsi="Arial Narrow" w:cs="Arial"/>
                <w:sz w:val="20"/>
                <w:szCs w:val="20"/>
                <w:lang w:val="es-CO" w:eastAsia="es-CO"/>
              </w:rPr>
              <w:t>Mariana Viña</w:t>
            </w:r>
          </w:p>
        </w:tc>
        <w:tc>
          <w:tcPr>
            <w:tcW w:w="968" w:type="pct"/>
            <w:gridSpan w:val="3"/>
            <w:tcBorders>
              <w:left w:val="nil"/>
            </w:tcBorders>
            <w:shd w:val="clear" w:color="auto" w:fill="FFFFFF" w:themeFill="background1"/>
            <w:vAlign w:val="center"/>
          </w:tcPr>
          <w:p w:rsidR="00B64830" w:rsidRPr="00580918" w:rsidRDefault="00B64830" w:rsidP="00ED5897">
            <w:pPr>
              <w:spacing w:before="0" w:line="240" w:lineRule="auto"/>
              <w:jc w:val="left"/>
              <w:rPr>
                <w:rFonts w:ascii="Arial Narrow" w:hAnsi="Arial Narrow" w:cs="Arial"/>
                <w:sz w:val="20"/>
                <w:szCs w:val="20"/>
                <w:lang w:val="es-CO" w:eastAsia="es-CO"/>
              </w:rPr>
            </w:pPr>
            <w:r w:rsidRPr="00580918">
              <w:rPr>
                <w:rFonts w:ascii="Arial Narrow" w:hAnsi="Arial Narrow" w:cs="Arial"/>
                <w:sz w:val="20"/>
                <w:szCs w:val="20"/>
                <w:lang w:val="es-CO" w:eastAsia="es-CO"/>
              </w:rPr>
              <w:t>ANTV</w:t>
            </w:r>
          </w:p>
        </w:tc>
        <w:tc>
          <w:tcPr>
            <w:tcW w:w="1954" w:type="pct"/>
            <w:tcBorders>
              <w:left w:val="single" w:sz="8" w:space="0" w:color="BFBFBF" w:themeColor="background1" w:themeShade="BF"/>
            </w:tcBorders>
            <w:shd w:val="clear" w:color="auto" w:fill="FFFFFF" w:themeFill="background1"/>
            <w:vAlign w:val="center"/>
          </w:tcPr>
          <w:p w:rsidR="00B64830" w:rsidRPr="00580918" w:rsidRDefault="00B67564" w:rsidP="00BE0330">
            <w:pPr>
              <w:spacing w:before="0" w:line="240" w:lineRule="auto"/>
              <w:jc w:val="left"/>
              <w:rPr>
                <w:rFonts w:ascii="Arial Narrow" w:hAnsi="Arial Narrow" w:cs="Arial"/>
                <w:sz w:val="20"/>
                <w:szCs w:val="20"/>
                <w:lang w:val="es-CO" w:eastAsia="es-CO"/>
              </w:rPr>
            </w:pPr>
            <w:r>
              <w:rPr>
                <w:rFonts w:ascii="Arial Narrow" w:hAnsi="Arial Narrow" w:cs="Arial"/>
                <w:sz w:val="20"/>
                <w:szCs w:val="20"/>
                <w:lang w:val="es-CO" w:eastAsia="es-CO"/>
              </w:rPr>
              <w:t>Directora</w:t>
            </w:r>
          </w:p>
        </w:tc>
      </w:tr>
      <w:tr w:rsidR="00B64830" w:rsidRPr="00EF617D" w:rsidTr="00B64830">
        <w:trPr>
          <w:trHeight w:val="340"/>
        </w:trPr>
        <w:tc>
          <w:tcPr>
            <w:tcW w:w="775" w:type="pct"/>
            <w:tcBorders>
              <w:righ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B64830" w:rsidRPr="00EF617D" w:rsidRDefault="00B64830" w:rsidP="00ED5897">
            <w:pPr>
              <w:spacing w:before="100" w:beforeAutospacing="1" w:after="100" w:afterAutospacing="1" w:line="240" w:lineRule="auto"/>
              <w:rPr>
                <w:rFonts w:ascii="Arial Narrow" w:hAnsi="Arial Narrow"/>
                <w:sz w:val="20"/>
                <w:szCs w:val="20"/>
              </w:rPr>
            </w:pPr>
            <w:r w:rsidRPr="00EF617D">
              <w:rPr>
                <w:rFonts w:ascii="Arial Narrow" w:hAnsi="Arial Narrow"/>
                <w:b/>
                <w:bCs/>
                <w:sz w:val="20"/>
                <w:szCs w:val="20"/>
              </w:rPr>
              <w:t xml:space="preserve">Fecha </w:t>
            </w:r>
          </w:p>
        </w:tc>
        <w:tc>
          <w:tcPr>
            <w:tcW w:w="4225" w:type="pct"/>
            <w:gridSpan w:val="5"/>
            <w:tcBorders>
              <w:left w:val="single" w:sz="8" w:space="0" w:color="BFBFBF" w:themeColor="background1" w:themeShade="BF"/>
            </w:tcBorders>
            <w:shd w:val="clear" w:color="auto" w:fill="FFFFFF" w:themeFill="background1"/>
            <w:tcMar>
              <w:top w:w="15" w:type="dxa"/>
              <w:left w:w="170" w:type="dxa"/>
              <w:bottom w:w="0" w:type="dxa"/>
              <w:right w:w="57" w:type="dxa"/>
            </w:tcMar>
            <w:vAlign w:val="center"/>
            <w:hideMark/>
          </w:tcPr>
          <w:p w:rsidR="00B64830" w:rsidRPr="00EF617D" w:rsidRDefault="00B64830" w:rsidP="002B3762">
            <w:pPr>
              <w:spacing w:before="100" w:beforeAutospacing="1" w:after="100" w:afterAutospacing="1" w:line="240" w:lineRule="auto"/>
              <w:rPr>
                <w:rFonts w:ascii="Arial Narrow" w:hAnsi="Arial Narrow"/>
                <w:sz w:val="20"/>
                <w:szCs w:val="20"/>
              </w:rPr>
            </w:pPr>
            <w:r>
              <w:rPr>
                <w:rFonts w:ascii="Arial Narrow" w:hAnsi="Arial Narrow"/>
                <w:sz w:val="20"/>
                <w:szCs w:val="20"/>
              </w:rPr>
              <w:t>Octubre 30 de 2013</w:t>
            </w:r>
          </w:p>
        </w:tc>
      </w:tr>
    </w:tbl>
    <w:p w:rsidR="00580918" w:rsidRPr="00580918" w:rsidRDefault="00580918" w:rsidP="00580918">
      <w:pPr>
        <w:widowControl w:val="0"/>
        <w:spacing w:after="200"/>
        <w:rPr>
          <w:lang w:val="es-MX" w:eastAsia="es-CO"/>
        </w:rPr>
      </w:pPr>
      <w:r w:rsidRPr="00580918">
        <w:rPr>
          <w:lang w:val="es-MX" w:eastAsia="es-CO"/>
        </w:rPr>
        <w:t>Al indagar sobre los componentes del Ecosistema, se encontró que, de los cuatro que lo integran, los que requieren un mayor desarrollo según los asistentes, son los de servicios y los de usuarios, tal como se puede apreciar en la figura A</w:t>
      </w:r>
      <w:r w:rsidR="00C85F33">
        <w:rPr>
          <w:lang w:val="es-MX" w:eastAsia="es-CO"/>
        </w:rPr>
        <w:t>3</w:t>
      </w:r>
      <w:r w:rsidR="00932BFD">
        <w:rPr>
          <w:lang w:val="es-MX" w:eastAsia="es-CO"/>
        </w:rPr>
        <w:t>.8</w:t>
      </w:r>
      <w:r w:rsidRPr="00580918">
        <w:rPr>
          <w:lang w:val="es-MX" w:eastAsia="es-CO"/>
        </w:rPr>
        <w:t xml:space="preserve">. </w:t>
      </w:r>
    </w:p>
    <w:p w:rsidR="00580918" w:rsidRPr="00580918" w:rsidRDefault="00580918" w:rsidP="00580918">
      <w:pPr>
        <w:widowControl w:val="0"/>
        <w:spacing w:after="200"/>
        <w:rPr>
          <w:lang w:val="es-MX" w:eastAsia="es-CO"/>
        </w:rPr>
      </w:pPr>
    </w:p>
    <w:p w:rsidR="00580918" w:rsidRPr="00580918" w:rsidRDefault="00580918" w:rsidP="00580918">
      <w:pPr>
        <w:spacing w:before="0" w:after="200"/>
        <w:jc w:val="center"/>
        <w:rPr>
          <w:rFonts w:ascii="Century Gothic" w:hAnsi="Century Gothic"/>
          <w:b/>
          <w:color w:val="C0504D"/>
          <w:sz w:val="20"/>
          <w:szCs w:val="20"/>
          <w:lang w:val="es-MX" w:eastAsia="es-CO"/>
        </w:rPr>
      </w:pPr>
    </w:p>
    <w:p w:rsidR="00580918" w:rsidRPr="00580918" w:rsidRDefault="00580918" w:rsidP="00580918">
      <w:pPr>
        <w:spacing w:before="0" w:after="200"/>
        <w:jc w:val="center"/>
        <w:rPr>
          <w:rFonts w:ascii="Century Gothic" w:hAnsi="Century Gothic"/>
          <w:b/>
          <w:color w:val="C0504D"/>
          <w:sz w:val="20"/>
          <w:szCs w:val="20"/>
          <w:lang w:val="es-MX" w:eastAsia="es-CO"/>
        </w:rPr>
      </w:pPr>
    </w:p>
    <w:p w:rsidR="00580918" w:rsidRPr="00517DD8" w:rsidRDefault="00580918" w:rsidP="00F76A19">
      <w:pPr>
        <w:pStyle w:val="T-Figura"/>
        <w:rPr>
          <w:lang w:eastAsia="es-CO"/>
        </w:rPr>
      </w:pPr>
      <w:r w:rsidRPr="00517DD8">
        <w:rPr>
          <w:lang w:eastAsia="es-CO"/>
        </w:rPr>
        <w:lastRenderedPageBreak/>
        <w:t>Figura A</w:t>
      </w:r>
      <w:r w:rsidR="00C85F33">
        <w:rPr>
          <w:lang w:eastAsia="es-CO"/>
        </w:rPr>
        <w:t>3</w:t>
      </w:r>
      <w:r w:rsidR="00932BFD">
        <w:rPr>
          <w:lang w:eastAsia="es-CO"/>
        </w:rPr>
        <w:t>.8</w:t>
      </w:r>
      <w:r w:rsidRPr="00517DD8">
        <w:rPr>
          <w:lang w:eastAsia="es-CO"/>
        </w:rPr>
        <w:t xml:space="preserve"> - ¿En cuál de los siguientes componentes del Ecosistema Digital cree usted que hace falta un mayor desarrollo? </w:t>
      </w:r>
    </w:p>
    <w:p w:rsidR="00580918" w:rsidRPr="00580918" w:rsidRDefault="00580918" w:rsidP="00580918">
      <w:pPr>
        <w:spacing w:before="0" w:after="200"/>
        <w:jc w:val="center"/>
        <w:rPr>
          <w:caps/>
          <w:lang w:val="es-CO" w:eastAsia="es-CO"/>
        </w:rPr>
      </w:pPr>
      <w:r w:rsidRPr="00580918">
        <w:rPr>
          <w:rFonts w:asciiTheme="minorHAnsi" w:hAnsiTheme="minorHAnsi"/>
          <w:noProof/>
          <w:sz w:val="22"/>
          <w:lang w:val="es-CO" w:eastAsia="es-CO"/>
        </w:rPr>
        <w:drawing>
          <wp:inline distT="0" distB="0" distL="0" distR="0">
            <wp:extent cx="4348800" cy="2549169"/>
            <wp:effectExtent l="19050" t="0" r="0" b="0"/>
            <wp:docPr id="2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srcRect/>
                    <a:stretch>
                      <a:fillRect/>
                    </a:stretch>
                  </pic:blipFill>
                  <pic:spPr bwMode="auto">
                    <a:xfrm>
                      <a:off x="0" y="0"/>
                      <a:ext cx="4348800" cy="2549169"/>
                    </a:xfrm>
                    <a:prstGeom prst="rect">
                      <a:avLst/>
                    </a:prstGeom>
                    <a:noFill/>
                    <a:ln w="9525">
                      <a:noFill/>
                      <a:miter lim="800000"/>
                      <a:headEnd/>
                      <a:tailEnd/>
                    </a:ln>
                  </pic:spPr>
                </pic:pic>
              </a:graphicData>
            </a:graphic>
          </wp:inline>
        </w:drawing>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lang w:val="es-MX" w:eastAsia="es-CO"/>
        </w:rPr>
      </w:pPr>
      <w:r w:rsidRPr="00580918">
        <w:rPr>
          <w:lang w:val="es-MX" w:eastAsia="es-CO"/>
        </w:rPr>
        <w:t>Al respecto los asistentes manifiestan que, en cuanto a usuarios, falta apropiación y capacitación; adicionalmente, en cuanto a la protección de los usuarios aun es necesario avanzar más.</w:t>
      </w:r>
    </w:p>
    <w:p w:rsidR="00580918" w:rsidRPr="00580918" w:rsidRDefault="00580918" w:rsidP="00580918">
      <w:pPr>
        <w:spacing w:before="0" w:after="200"/>
        <w:jc w:val="center"/>
        <w:rPr>
          <w:lang w:val="es-MX" w:eastAsia="es-CO"/>
        </w:rPr>
      </w:pPr>
      <w:r w:rsidRPr="00580918">
        <w:rPr>
          <w:i/>
          <w:lang w:val="es-MX" w:eastAsia="es-CO"/>
        </w:rPr>
        <w:t>“Aún no se ha creado cultura, falta penetrar en la gente” Testimonio de asistente al taller de autoridades del sector</w:t>
      </w:r>
    </w:p>
    <w:p w:rsidR="00580918" w:rsidRPr="00580918" w:rsidRDefault="00580918" w:rsidP="00580918">
      <w:pPr>
        <w:spacing w:before="0" w:after="200"/>
        <w:rPr>
          <w:lang w:val="es-MX" w:eastAsia="es-CO"/>
        </w:rPr>
      </w:pPr>
      <w:r w:rsidRPr="00580918">
        <w:rPr>
          <w:lang w:val="es-MX" w:eastAsia="es-CO"/>
        </w:rPr>
        <w:t xml:space="preserve">Ahora bien, quienes escogieron el componente de servicios dicen que hace falta que el Plan Vive Digital profundice más en servicios distintos a internet: </w:t>
      </w:r>
      <w:r w:rsidRPr="00580918">
        <w:rPr>
          <w:i/>
          <w:lang w:val="es-MX" w:eastAsia="es-CO"/>
        </w:rPr>
        <w:t>“El sector TIC es más que internet”</w:t>
      </w:r>
      <w:r w:rsidRPr="00580918">
        <w:rPr>
          <w:vertAlign w:val="superscript"/>
          <w:lang w:val="es-MX" w:eastAsia="es-CO"/>
        </w:rPr>
        <w:footnoteReference w:id="51"/>
      </w:r>
      <w:r w:rsidRPr="00580918">
        <w:rPr>
          <w:lang w:val="es-MX" w:eastAsia="es-CO"/>
        </w:rPr>
        <w:t>; los temas de televisión, radio y servicio postal tienen aún oportunidades para avanzar. Así, se menciona que no hay regulación en temas radiales y tampoco se ha avanzado en regulación, implementación y difusión de lo que es la TDT.</w:t>
      </w:r>
    </w:p>
    <w:p w:rsidR="00580918" w:rsidRPr="00580918" w:rsidRDefault="00580918" w:rsidP="00580918">
      <w:pPr>
        <w:spacing w:before="0" w:after="200"/>
        <w:rPr>
          <w:lang w:val="es-MX" w:eastAsia="es-CO"/>
        </w:rPr>
      </w:pPr>
      <w:r w:rsidRPr="00580918">
        <w:rPr>
          <w:lang w:val="es-MX" w:eastAsia="es-CO"/>
        </w:rPr>
        <w:t>De otra parte, se menciona que el mercado llega a estratos 4, 5 y 6 pero en cuanto a subsidios, éstos no han llegado a tantos usuarios como se esperaría por lo tanto el reto es llegar a la base de la pirámide, como lo menciona uno de los asistentes.</w:t>
      </w:r>
    </w:p>
    <w:p w:rsidR="00580918" w:rsidRPr="00580918" w:rsidRDefault="00580918" w:rsidP="00580918">
      <w:pPr>
        <w:spacing w:before="0" w:after="200"/>
        <w:rPr>
          <w:lang w:val="es-MX" w:eastAsia="es-CO"/>
        </w:rPr>
      </w:pPr>
      <w:r w:rsidRPr="00580918">
        <w:rPr>
          <w:lang w:val="es-MX" w:eastAsia="es-CO"/>
        </w:rPr>
        <w:t xml:space="preserve">Este resultado contrasta con las respuestas de los líderes del MINTIC, para quienes el componente de aplicaciones es uno con oportunidades de desarrollo, en tanto que el de servicios, aunque es mencionado, sólo se resalta por una persona. </w:t>
      </w:r>
    </w:p>
    <w:p w:rsidR="00580918" w:rsidRPr="00580918" w:rsidRDefault="00580918" w:rsidP="00580918">
      <w:pPr>
        <w:spacing w:before="0" w:after="200"/>
        <w:rPr>
          <w:lang w:val="es-MX" w:eastAsia="es-CO"/>
        </w:rPr>
      </w:pPr>
      <w:r w:rsidRPr="00580918">
        <w:rPr>
          <w:lang w:val="es-MX" w:eastAsia="es-CO"/>
        </w:rPr>
        <w:lastRenderedPageBreak/>
        <w:t xml:space="preserve">En relación a las preguntas sobre cuellos de botella, se identificó para cada componente una serie de estos que se pueden </w:t>
      </w:r>
      <w:r w:rsidR="00C85F33">
        <w:rPr>
          <w:lang w:val="es-MX" w:eastAsia="es-CO"/>
        </w:rPr>
        <w:t>ver en las siguientes figuras</w:t>
      </w:r>
      <w:r w:rsidRPr="00580918">
        <w:rPr>
          <w:lang w:val="es-MX" w:eastAsia="es-CO"/>
        </w:rPr>
        <w:t>:</w:t>
      </w:r>
    </w:p>
    <w:p w:rsidR="00580918" w:rsidRPr="00517DD8" w:rsidRDefault="00580918" w:rsidP="00F76A19">
      <w:pPr>
        <w:pStyle w:val="T-Figura"/>
        <w:rPr>
          <w:lang w:eastAsia="es-CO"/>
        </w:rPr>
      </w:pPr>
      <w:r w:rsidRPr="00517DD8">
        <w:rPr>
          <w:lang w:eastAsia="es-CO"/>
        </w:rPr>
        <w:t>Figura A</w:t>
      </w:r>
      <w:r w:rsidR="00C85F33">
        <w:rPr>
          <w:lang w:eastAsia="es-CO"/>
        </w:rPr>
        <w:t>3</w:t>
      </w:r>
      <w:r w:rsidR="00932BFD">
        <w:rPr>
          <w:lang w:eastAsia="es-CO"/>
        </w:rPr>
        <w:t>.9</w:t>
      </w:r>
      <w:r w:rsidRPr="00517DD8">
        <w:rPr>
          <w:lang w:eastAsia="es-CO"/>
        </w:rPr>
        <w:t xml:space="preserve"> - ¿En su concepto, dónde se ubica actualmente el principal cuello de botella en el componente de Infraestructura?</w:t>
      </w:r>
    </w:p>
    <w:p w:rsidR="00580918" w:rsidRPr="00580918" w:rsidRDefault="00580918" w:rsidP="00580918">
      <w:pPr>
        <w:spacing w:before="0" w:after="200"/>
        <w:jc w:val="center"/>
        <w:rPr>
          <w:rFonts w:asciiTheme="minorHAnsi" w:hAnsiTheme="minorHAnsi"/>
          <w:sz w:val="22"/>
          <w:szCs w:val="22"/>
          <w:lang w:val="es-CO" w:eastAsia="es-CO"/>
        </w:rPr>
      </w:pPr>
      <w:r w:rsidRPr="00580918">
        <w:rPr>
          <w:rFonts w:asciiTheme="minorHAnsi" w:hAnsiTheme="minorHAnsi"/>
          <w:noProof/>
          <w:sz w:val="22"/>
          <w:szCs w:val="22"/>
          <w:lang w:val="es-CO" w:eastAsia="es-CO"/>
        </w:rPr>
        <w:drawing>
          <wp:inline distT="0" distB="0" distL="0" distR="0">
            <wp:extent cx="4608000" cy="26892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8000" cy="2689200"/>
                    </a:xfrm>
                    <a:prstGeom prst="rect">
                      <a:avLst/>
                    </a:prstGeom>
                    <a:noFill/>
                  </pic:spPr>
                </pic:pic>
              </a:graphicData>
            </a:graphic>
          </wp:inline>
        </w:drawing>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lang w:val="es-MX" w:eastAsia="es-CO"/>
        </w:rPr>
      </w:pPr>
      <w:r w:rsidRPr="00580918">
        <w:rPr>
          <w:lang w:val="es-MX" w:eastAsia="es-CO"/>
        </w:rPr>
        <w:t xml:space="preserve">En esta pregunta, las opiniones estuvieron divididas: la red de acceso móvil urbana fue la que obtuvo una mayor cantidad de votos (2), sin embargo, red de acceso rural, conectividad internacional y equipos terminales fueron también mencionados. En cuanto a equipos terminales, </w:t>
      </w:r>
      <w:r w:rsidR="00517DD8">
        <w:rPr>
          <w:lang w:val="es-MX" w:eastAsia="es-CO"/>
        </w:rPr>
        <w:t>uno de los asistentes al taller</w:t>
      </w:r>
      <w:r w:rsidRPr="00580918">
        <w:rPr>
          <w:lang w:val="es-MX" w:eastAsia="es-CO"/>
        </w:rPr>
        <w:t xml:space="preserve"> señala que “hasta el momento se ha trabajado en despliegue de redes y otras soluciones pero se identifica que hay dificultad en disponibilidad de equipos terminales para TDT y TDH; en televisión específicamente, debería haber una mayor articulación con el Ecosistema</w:t>
      </w:r>
      <w:r w:rsidR="00517DD8">
        <w:rPr>
          <w:lang w:val="es-MX" w:eastAsia="es-CO"/>
        </w:rPr>
        <w:t>”</w:t>
      </w:r>
      <w:r w:rsidRPr="00580918">
        <w:rPr>
          <w:lang w:val="es-MX" w:eastAsia="es-CO"/>
        </w:rPr>
        <w:t>. Sobre conectividad internacional</w:t>
      </w:r>
      <w:r w:rsidR="00517DD8">
        <w:rPr>
          <w:lang w:val="es-MX" w:eastAsia="es-CO"/>
        </w:rPr>
        <w:t>,</w:t>
      </w:r>
      <w:r w:rsidRPr="00580918">
        <w:rPr>
          <w:lang w:val="es-MX" w:eastAsia="es-CO"/>
        </w:rPr>
        <w:t xml:space="preserve"> se menciona la dependencia que se tiene de esta y </w:t>
      </w:r>
      <w:r w:rsidR="00517DD8">
        <w:rPr>
          <w:lang w:val="es-MX" w:eastAsia="es-CO"/>
        </w:rPr>
        <w:t>uno de los asistentes al taller</w:t>
      </w:r>
      <w:r w:rsidR="00517DD8" w:rsidRPr="00580918">
        <w:rPr>
          <w:lang w:val="es-MX" w:eastAsia="es-CO"/>
        </w:rPr>
        <w:t xml:space="preserve"> </w:t>
      </w:r>
      <w:r w:rsidRPr="00580918">
        <w:rPr>
          <w:lang w:val="es-MX" w:eastAsia="es-CO"/>
        </w:rPr>
        <w:t xml:space="preserve">señala que se podrían promover más </w:t>
      </w:r>
      <w:r w:rsidRPr="00517DD8">
        <w:rPr>
          <w:i/>
          <w:lang w:val="es-MX" w:eastAsia="es-CO"/>
        </w:rPr>
        <w:t>host</w:t>
      </w:r>
      <w:r w:rsidRPr="00580918">
        <w:rPr>
          <w:lang w:val="es-MX" w:eastAsia="es-CO"/>
        </w:rPr>
        <w:t xml:space="preserve"> locales.</w:t>
      </w:r>
    </w:p>
    <w:p w:rsidR="00580918" w:rsidRPr="00580918" w:rsidRDefault="00580918" w:rsidP="00580918">
      <w:pPr>
        <w:spacing w:before="0" w:after="200"/>
        <w:rPr>
          <w:lang w:val="es-MX" w:eastAsia="es-CO"/>
        </w:rPr>
      </w:pPr>
      <w:r w:rsidRPr="00580918">
        <w:rPr>
          <w:lang w:val="es-MX" w:eastAsia="es-CO"/>
        </w:rPr>
        <w:t>También se indagó sobre los cuellos de botella en el componente d</w:t>
      </w:r>
      <w:r w:rsidR="00932BFD">
        <w:rPr>
          <w:lang w:val="es-MX" w:eastAsia="es-CO"/>
        </w:rPr>
        <w:t>e servicios</w:t>
      </w:r>
      <w:r w:rsidRPr="00580918">
        <w:rPr>
          <w:lang w:val="es-MX" w:eastAsia="es-CO"/>
        </w:rPr>
        <w:t xml:space="preserve">. En este aspecto, los datos móviles y el tema audiovisual son señalados por dos participantes cada uno y voz móvil también escogido por una persona que indica que el cuello de botella en ese aspecto son los POT de los municipios. En cuanto a medios audiovisuales se hace referencia al servicio de televisión; según </w:t>
      </w:r>
      <w:r w:rsidR="00517DD8">
        <w:rPr>
          <w:lang w:val="es-MX" w:eastAsia="es-CO"/>
        </w:rPr>
        <w:t>uno de los asistentes al taller</w:t>
      </w:r>
      <w:r w:rsidRPr="00580918">
        <w:rPr>
          <w:lang w:val="es-MX" w:eastAsia="es-CO"/>
        </w:rPr>
        <w:t>: “Los privados ya tienen 50% de cobertura en TDT. A los privados no les interesa prender su red ni usarla”.</w:t>
      </w:r>
    </w:p>
    <w:p w:rsidR="00580918" w:rsidRPr="00580918" w:rsidRDefault="00580918" w:rsidP="00580918">
      <w:pPr>
        <w:spacing w:before="0" w:after="200"/>
        <w:rPr>
          <w:rFonts w:ascii="Century Gothic" w:hAnsi="Century Gothic"/>
          <w:b/>
          <w:color w:val="C0504D"/>
          <w:sz w:val="20"/>
          <w:szCs w:val="20"/>
          <w:lang w:val="es-CO" w:eastAsia="es-CO"/>
        </w:rPr>
      </w:pPr>
      <w:r w:rsidRPr="00580918">
        <w:rPr>
          <w:lang w:val="es-MX" w:eastAsia="es-CO"/>
        </w:rPr>
        <w:t>Nótese que tanto datos como voz fijos no parecen presentarse como cuellos de botella.</w:t>
      </w:r>
    </w:p>
    <w:p w:rsidR="00580918" w:rsidRPr="00580918" w:rsidRDefault="00580918" w:rsidP="00F76A19">
      <w:pPr>
        <w:pStyle w:val="T-Figura"/>
        <w:rPr>
          <w:lang w:eastAsia="es-CO"/>
        </w:rPr>
      </w:pPr>
      <w:r w:rsidRPr="00580918">
        <w:rPr>
          <w:lang w:eastAsia="es-CO"/>
        </w:rPr>
        <w:lastRenderedPageBreak/>
        <w:t>Figura A</w:t>
      </w:r>
      <w:r w:rsidR="00932BFD">
        <w:rPr>
          <w:lang w:eastAsia="es-CO"/>
        </w:rPr>
        <w:t>3.10</w:t>
      </w:r>
      <w:r w:rsidRPr="00580918">
        <w:rPr>
          <w:lang w:eastAsia="es-CO"/>
        </w:rPr>
        <w:t xml:space="preserve"> - ¿En su concepto, dónde se ubica actualmente el principal cuello de botella en el componente de Servicios?</w:t>
      </w:r>
    </w:p>
    <w:p w:rsidR="00580918" w:rsidRPr="00580918" w:rsidRDefault="00580918" w:rsidP="00580918">
      <w:pPr>
        <w:spacing w:before="0" w:after="200"/>
        <w:jc w:val="center"/>
        <w:rPr>
          <w:rFonts w:asciiTheme="minorHAnsi" w:hAnsiTheme="minorHAnsi"/>
          <w:sz w:val="22"/>
          <w:szCs w:val="22"/>
          <w:lang w:val="es-CO" w:eastAsia="es-CO"/>
        </w:rPr>
      </w:pPr>
      <w:r w:rsidRPr="00580918">
        <w:rPr>
          <w:rFonts w:asciiTheme="minorHAnsi" w:hAnsiTheme="minorHAnsi"/>
          <w:noProof/>
          <w:sz w:val="22"/>
          <w:szCs w:val="22"/>
          <w:lang w:val="es-CO" w:eastAsia="es-CO"/>
        </w:rPr>
        <w:drawing>
          <wp:inline distT="0" distB="0" distL="0" distR="0">
            <wp:extent cx="4608000" cy="268946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8000" cy="2689460"/>
                    </a:xfrm>
                    <a:prstGeom prst="rect">
                      <a:avLst/>
                    </a:prstGeom>
                    <a:noFill/>
                  </pic:spPr>
                </pic:pic>
              </a:graphicData>
            </a:graphic>
          </wp:inline>
        </w:drawing>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F76A19">
      <w:pPr>
        <w:pStyle w:val="T-Figura"/>
        <w:rPr>
          <w:noProof/>
          <w:lang w:eastAsia="es-CO"/>
        </w:rPr>
      </w:pPr>
      <w:r w:rsidRPr="00580918">
        <w:rPr>
          <w:lang w:eastAsia="es-CO"/>
        </w:rPr>
        <w:t>Figura A</w:t>
      </w:r>
      <w:r w:rsidR="00932BFD">
        <w:rPr>
          <w:lang w:eastAsia="es-CO"/>
        </w:rPr>
        <w:t>3.11</w:t>
      </w:r>
      <w:r w:rsidRPr="00580918">
        <w:rPr>
          <w:lang w:eastAsia="es-CO"/>
        </w:rPr>
        <w:t xml:space="preserve"> - ¿En su concepto, dónde se ubica actualmente el principal cuello de botella en el componente de Aplicaciones?</w:t>
      </w:r>
    </w:p>
    <w:p w:rsidR="00580918" w:rsidRPr="00580918" w:rsidRDefault="00580918" w:rsidP="00580918">
      <w:pPr>
        <w:spacing w:before="0" w:after="200"/>
        <w:jc w:val="center"/>
        <w:rPr>
          <w:rFonts w:ascii="Century Gothic" w:hAnsi="Century Gothic"/>
          <w:b/>
          <w:color w:val="C0504D"/>
          <w:sz w:val="20"/>
          <w:szCs w:val="20"/>
          <w:lang w:val="es-CO" w:eastAsia="es-CO"/>
        </w:rPr>
      </w:pPr>
      <w:r w:rsidRPr="00580918">
        <w:rPr>
          <w:rFonts w:ascii="Century Gothic" w:hAnsi="Century Gothic"/>
          <w:b/>
          <w:noProof/>
          <w:color w:val="C0504D"/>
          <w:sz w:val="20"/>
          <w:szCs w:val="20"/>
          <w:lang w:val="es-CO" w:eastAsia="es-CO"/>
        </w:rPr>
        <w:drawing>
          <wp:inline distT="0" distB="0" distL="0" distR="0">
            <wp:extent cx="4334510" cy="252984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4510" cy="2529840"/>
                    </a:xfrm>
                    <a:prstGeom prst="rect">
                      <a:avLst/>
                    </a:prstGeom>
                    <a:noFill/>
                  </pic:spPr>
                </pic:pic>
              </a:graphicData>
            </a:graphic>
          </wp:inline>
        </w:drawing>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lang w:val="es-MX" w:eastAsia="es-CO"/>
        </w:rPr>
      </w:pPr>
      <w:r w:rsidRPr="00580918">
        <w:rPr>
          <w:lang w:val="es-MX" w:eastAsia="es-CO"/>
        </w:rPr>
        <w:t xml:space="preserve">En cuanto a cuellos de botella identificados en el componente de aplicaciones, se encuentra que las transaccionales es la opción más elegida; principalmente se menciona que entretenimiento es por lo que la gente está más dispuesta a pagar mientras que lo transaccional se debe impulsar. Para esto se proponen capacitaciones a los usuarios con el fin de superar las barreras.     </w:t>
      </w:r>
    </w:p>
    <w:p w:rsidR="00580918" w:rsidRPr="00580918" w:rsidRDefault="00580918" w:rsidP="00F76A19">
      <w:pPr>
        <w:pStyle w:val="T-Figura"/>
        <w:rPr>
          <w:lang w:eastAsia="es-CO"/>
        </w:rPr>
      </w:pPr>
      <w:r w:rsidRPr="00580918">
        <w:rPr>
          <w:lang w:eastAsia="es-CO"/>
        </w:rPr>
        <w:lastRenderedPageBreak/>
        <w:t>Figura A</w:t>
      </w:r>
      <w:r w:rsidR="00932BFD">
        <w:rPr>
          <w:lang w:eastAsia="es-CO"/>
        </w:rPr>
        <w:t>3.12</w:t>
      </w:r>
      <w:r w:rsidRPr="00580918">
        <w:rPr>
          <w:lang w:eastAsia="es-CO"/>
        </w:rPr>
        <w:t xml:space="preserve"> - ¿En su concepto, dónde se ubica actualmente el principal cuello de botella en el componente de Usuarios?</w:t>
      </w:r>
    </w:p>
    <w:p w:rsidR="00580918" w:rsidRPr="00580918" w:rsidRDefault="00580918" w:rsidP="00580918">
      <w:pPr>
        <w:spacing w:before="0" w:after="200"/>
        <w:jc w:val="center"/>
        <w:rPr>
          <w:lang w:val="es-MX" w:eastAsia="es-CO"/>
        </w:rPr>
      </w:pPr>
      <w:r w:rsidRPr="00580918">
        <w:rPr>
          <w:noProof/>
          <w:lang w:val="es-CO" w:eastAsia="es-CO"/>
        </w:rPr>
        <w:drawing>
          <wp:inline distT="0" distB="0" distL="0" distR="0">
            <wp:extent cx="4150800" cy="24228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0800" cy="2422800"/>
                    </a:xfrm>
                    <a:prstGeom prst="rect">
                      <a:avLst/>
                    </a:prstGeom>
                    <a:noFill/>
                  </pic:spPr>
                </pic:pic>
              </a:graphicData>
            </a:graphic>
          </wp:inline>
        </w:drawing>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lang w:val="es-MX" w:eastAsia="es-CO"/>
        </w:rPr>
      </w:pPr>
      <w:r w:rsidRPr="00580918">
        <w:rPr>
          <w:lang w:val="es-MX" w:eastAsia="es-CO"/>
        </w:rPr>
        <w:t xml:space="preserve">En el componente de usuarios, la alfabetización digital y la capacidad de pago son las opciones más señaladas. </w:t>
      </w:r>
      <w:r w:rsidR="00517DD8">
        <w:rPr>
          <w:lang w:val="es-MX" w:eastAsia="es-CO"/>
        </w:rPr>
        <w:t>Uno de los asistentes al taller</w:t>
      </w:r>
      <w:r w:rsidR="00517DD8" w:rsidRPr="00580918">
        <w:rPr>
          <w:lang w:val="es-MX" w:eastAsia="es-CO"/>
        </w:rPr>
        <w:t xml:space="preserve"> </w:t>
      </w:r>
      <w:r w:rsidRPr="00580918">
        <w:rPr>
          <w:lang w:val="es-MX" w:eastAsia="es-CO"/>
        </w:rPr>
        <w:t xml:space="preserve">señala que: “La alfabetización va de la mano con apropiación. Falta mucho por enseñar cómo se usa pero también para que sirve”; y </w:t>
      </w:r>
      <w:r w:rsidR="00517DD8">
        <w:rPr>
          <w:lang w:val="es-MX" w:eastAsia="es-CO"/>
        </w:rPr>
        <w:t xml:space="preserve">otro </w:t>
      </w:r>
      <w:r w:rsidRPr="00580918">
        <w:rPr>
          <w:lang w:val="es-MX" w:eastAsia="es-CO"/>
        </w:rPr>
        <w:t xml:space="preserve"> indica que “Hace falta </w:t>
      </w:r>
      <w:proofErr w:type="spellStart"/>
      <w:r w:rsidRPr="00580918">
        <w:rPr>
          <w:lang w:val="es-MX" w:eastAsia="es-CO"/>
        </w:rPr>
        <w:t>transversalizar</w:t>
      </w:r>
      <w:proofErr w:type="spellEnd"/>
      <w:r w:rsidR="006F7E9B">
        <w:rPr>
          <w:lang w:val="es-MX" w:eastAsia="es-CO"/>
        </w:rPr>
        <w:t xml:space="preserve"> la</w:t>
      </w:r>
      <w:r w:rsidRPr="00580918">
        <w:rPr>
          <w:lang w:val="es-MX" w:eastAsia="es-CO"/>
        </w:rPr>
        <w:t xml:space="preserve"> alfabetización digital”. En cuanto a capacidad de pago, </w:t>
      </w:r>
      <w:r w:rsidR="00517DD8">
        <w:rPr>
          <w:lang w:val="es-MX" w:eastAsia="es-CO"/>
        </w:rPr>
        <w:t>uno de los asistentes al taller</w:t>
      </w:r>
      <w:r w:rsidR="00517DD8" w:rsidRPr="00580918">
        <w:rPr>
          <w:lang w:val="es-MX" w:eastAsia="es-CO"/>
        </w:rPr>
        <w:t xml:space="preserve"> </w:t>
      </w:r>
      <w:r w:rsidRPr="00580918">
        <w:rPr>
          <w:lang w:val="es-MX" w:eastAsia="es-CO"/>
        </w:rPr>
        <w:t xml:space="preserve">menciona que: “40% de población está en situación de pobreza, es una gran barrera y hace que tengamos que tener más creatividad para llegar a usuarios de ingresos muy bajos”. </w:t>
      </w:r>
    </w:p>
    <w:p w:rsidR="00580918" w:rsidRPr="00517DD8" w:rsidRDefault="00580918" w:rsidP="00F76A19">
      <w:pPr>
        <w:pStyle w:val="T-Figura"/>
        <w:rPr>
          <w:lang w:eastAsia="es-CO"/>
        </w:rPr>
      </w:pPr>
      <w:r w:rsidRPr="00517DD8">
        <w:rPr>
          <w:lang w:eastAsia="es-CO"/>
        </w:rPr>
        <w:t>Figura A</w:t>
      </w:r>
      <w:r w:rsidR="00932BFD">
        <w:rPr>
          <w:lang w:eastAsia="es-CO"/>
        </w:rPr>
        <w:t>3.13</w:t>
      </w:r>
      <w:r w:rsidRPr="00517DD8">
        <w:rPr>
          <w:lang w:eastAsia="es-CO"/>
        </w:rPr>
        <w:t xml:space="preserve"> - ¿De los siguientes posibles ajustes institucionales, cuál cree usted que sería necesario realizar con miras a que el Ecosistema Digital fluya de mejor manera?</w:t>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80918">
        <w:rPr>
          <w:noProof/>
          <w:lang w:val="es-CO" w:eastAsia="es-CO"/>
        </w:rPr>
        <w:drawing>
          <wp:inline distT="0" distB="0" distL="0" distR="0">
            <wp:extent cx="5057775" cy="222885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61903" cy="2230669"/>
                    </a:xfrm>
                    <a:prstGeom prst="rect">
                      <a:avLst/>
                    </a:prstGeom>
                    <a:noFill/>
                  </pic:spPr>
                </pic:pic>
              </a:graphicData>
            </a:graphic>
          </wp:inline>
        </w:drawing>
      </w:r>
      <w:r w:rsidRPr="00580918">
        <w:rPr>
          <w:rFonts w:ascii="Century Gothic" w:hAnsi="Century Gothic"/>
          <w:color w:val="404040" w:themeColor="text1" w:themeTint="BF"/>
          <w:sz w:val="18"/>
          <w:szCs w:val="18"/>
          <w:lang w:val="es-CO" w:eastAsia="es-CO"/>
        </w:rPr>
        <w:t xml:space="preserve">     </w:t>
      </w: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lang w:val="es-MX" w:eastAsia="es-CO"/>
        </w:rPr>
      </w:pPr>
      <w:r w:rsidRPr="00580918">
        <w:rPr>
          <w:lang w:val="es-MX" w:eastAsia="es-CO"/>
        </w:rPr>
        <w:lastRenderedPageBreak/>
        <w:t xml:space="preserve">Cuando se indagó por los ajustes institucionales que sería necesario realizar para un mejor funcionamiento del Ecosistema Digital, la mayoría de los asistentes señaló que debe haber un fortalecimiento de las entidades de vigilancia y control. Al respecto se menciona que, más que las instituciones, lo que se debe fortalecer es el conocimiento de la gente sobre la regulación, adicionalmente, para los operadores el costo de una multa es mínimo y prefieren pagarlo en vez de acogerse a la reglamentación por lo tanto deben haber sanciones que funcionen. </w:t>
      </w:r>
    </w:p>
    <w:p w:rsidR="00580918" w:rsidRPr="00517DD8" w:rsidRDefault="00EB6EF6" w:rsidP="00580918">
      <w:pPr>
        <w:spacing w:before="0" w:after="200"/>
        <w:jc w:val="center"/>
        <w:rPr>
          <w:color w:val="C00000"/>
          <w:lang w:val="es-CO" w:eastAsia="es-CO"/>
        </w:rPr>
      </w:pPr>
      <w:r>
        <w:rPr>
          <w:rFonts w:ascii="Century Gothic" w:hAnsi="Century Gothic"/>
          <w:b/>
          <w:color w:val="C00000"/>
          <w:sz w:val="20"/>
          <w:szCs w:val="20"/>
          <w:lang w:val="es-CO" w:eastAsia="es-CO"/>
        </w:rPr>
        <w:t>Figura A</w:t>
      </w:r>
      <w:r w:rsidR="00932BFD">
        <w:rPr>
          <w:rFonts w:ascii="Century Gothic" w:hAnsi="Century Gothic"/>
          <w:b/>
          <w:color w:val="C00000"/>
          <w:sz w:val="20"/>
          <w:szCs w:val="20"/>
          <w:lang w:val="es-CO" w:eastAsia="es-CO"/>
        </w:rPr>
        <w:t>3.14</w:t>
      </w:r>
      <w:r w:rsidR="00580918" w:rsidRPr="00517DD8">
        <w:rPr>
          <w:rFonts w:ascii="Century Gothic" w:hAnsi="Century Gothic"/>
          <w:b/>
          <w:color w:val="C00000"/>
          <w:sz w:val="20"/>
          <w:szCs w:val="20"/>
          <w:lang w:val="es-CO" w:eastAsia="es-CO"/>
        </w:rPr>
        <w:t xml:space="preserve"> - </w:t>
      </w:r>
      <w:r w:rsidRPr="00EB6EF6">
        <w:rPr>
          <w:rFonts w:ascii="Century Gothic" w:hAnsi="Century Gothic"/>
          <w:b/>
          <w:color w:val="C00000"/>
          <w:sz w:val="20"/>
          <w:szCs w:val="20"/>
          <w:lang w:val="es-CO" w:eastAsia="es-CO"/>
        </w:rPr>
        <w:t>¿Cuáles de las siguientes acciones es más importante para lograr el posicionamiento de Colombia a escala mundial, considerando el avance gradual que ha mostrado el país?</w:t>
      </w:r>
    </w:p>
    <w:p w:rsidR="00580918" w:rsidRPr="00580918" w:rsidRDefault="00580918" w:rsidP="00580918">
      <w:pPr>
        <w:spacing w:before="0" w:after="200"/>
        <w:jc w:val="center"/>
        <w:rPr>
          <w:lang w:val="es-MX" w:eastAsia="es-CO"/>
        </w:rPr>
      </w:pPr>
      <w:r w:rsidRPr="00580918">
        <w:rPr>
          <w:noProof/>
          <w:lang w:val="es-CO" w:eastAsia="es-CO"/>
        </w:rPr>
        <w:drawing>
          <wp:inline distT="0" distB="0" distL="0" distR="0">
            <wp:extent cx="4334510" cy="252984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4510" cy="2529840"/>
                    </a:xfrm>
                    <a:prstGeom prst="rect">
                      <a:avLst/>
                    </a:prstGeom>
                    <a:noFill/>
                  </pic:spPr>
                </pic:pic>
              </a:graphicData>
            </a:graphic>
          </wp:inline>
        </w:drawing>
      </w:r>
    </w:p>
    <w:p w:rsidR="00580918" w:rsidRPr="00544B68" w:rsidRDefault="00580918" w:rsidP="00580918">
      <w:pPr>
        <w:spacing w:after="200"/>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580918" w:rsidRPr="00580918" w:rsidRDefault="00580918" w:rsidP="00580918">
      <w:pPr>
        <w:spacing w:before="0" w:after="200"/>
        <w:rPr>
          <w:lang w:val="es-MX" w:eastAsia="es-CO"/>
        </w:rPr>
      </w:pPr>
      <w:r w:rsidRPr="00580918">
        <w:rPr>
          <w:lang w:val="es-MX" w:eastAsia="es-CO"/>
        </w:rPr>
        <w:t xml:space="preserve">Ante la pregunta de cuáles </w:t>
      </w:r>
      <w:r w:rsidR="00EB6EF6" w:rsidRPr="00EB6EF6">
        <w:rPr>
          <w:lang w:val="es-MX" w:eastAsia="es-CO"/>
        </w:rPr>
        <w:t>de las siguientes acciones es más importante para lograr el posicionamiento de Colombia a escala mundial, considerando el avance gradual que ha mostrado el país</w:t>
      </w:r>
      <w:r w:rsidRPr="00580918">
        <w:rPr>
          <w:lang w:val="es-MX" w:eastAsia="es-CO"/>
        </w:rPr>
        <w:t xml:space="preserve">, se menciona que la promoción de modelos de </w:t>
      </w:r>
      <w:proofErr w:type="spellStart"/>
      <w:r w:rsidRPr="00580918">
        <w:rPr>
          <w:i/>
          <w:lang w:val="es-MX" w:eastAsia="es-CO"/>
        </w:rPr>
        <w:t>clusters</w:t>
      </w:r>
      <w:proofErr w:type="spellEnd"/>
      <w:r w:rsidRPr="00580918">
        <w:rPr>
          <w:lang w:val="es-MX" w:eastAsia="es-CO"/>
        </w:rPr>
        <w:t xml:space="preserve"> empresariales es una posibilidad (la de mayor número de votos) pero también fijar metas más agresivas, enfocar recursos a redes de banda ultra ancha y subsidiar el acceso a terminales son opciones escogidas. </w:t>
      </w:r>
      <w:r w:rsidR="00517DD8">
        <w:rPr>
          <w:lang w:val="es-MX" w:eastAsia="es-CO"/>
        </w:rPr>
        <w:t>Uno de los asistentes al taller</w:t>
      </w:r>
      <w:r w:rsidR="00517DD8" w:rsidRPr="00580918">
        <w:rPr>
          <w:lang w:val="es-MX" w:eastAsia="es-CO"/>
        </w:rPr>
        <w:t xml:space="preserve"> </w:t>
      </w:r>
      <w:r w:rsidRPr="00580918">
        <w:rPr>
          <w:lang w:val="es-MX" w:eastAsia="es-CO"/>
        </w:rPr>
        <w:t xml:space="preserve">señala </w:t>
      </w:r>
      <w:r w:rsidR="00517DD8">
        <w:rPr>
          <w:lang w:val="es-MX" w:eastAsia="es-CO"/>
        </w:rPr>
        <w:t>lo siguiente</w:t>
      </w:r>
      <w:r w:rsidRPr="00580918">
        <w:rPr>
          <w:lang w:val="es-MX" w:eastAsia="es-CO"/>
        </w:rPr>
        <w:t xml:space="preserve">: “Pienso que los </w:t>
      </w:r>
      <w:proofErr w:type="spellStart"/>
      <w:r w:rsidRPr="00580918">
        <w:rPr>
          <w:i/>
          <w:lang w:val="es-MX" w:eastAsia="es-CO"/>
        </w:rPr>
        <w:t>clusters</w:t>
      </w:r>
      <w:proofErr w:type="spellEnd"/>
      <w:r w:rsidRPr="00580918">
        <w:rPr>
          <w:lang w:val="es-MX" w:eastAsia="es-CO"/>
        </w:rPr>
        <w:t xml:space="preserve"> son interesantes. Promover iniciativas privadas. Israel y otros son modelo</w:t>
      </w:r>
      <w:r w:rsidR="00517DD8">
        <w:rPr>
          <w:lang w:val="es-MX" w:eastAsia="es-CO"/>
        </w:rPr>
        <w:t>s</w:t>
      </w:r>
      <w:r w:rsidRPr="00580918">
        <w:rPr>
          <w:lang w:val="es-MX" w:eastAsia="es-CO"/>
        </w:rPr>
        <w:t xml:space="preserve"> de creación de </w:t>
      </w:r>
      <w:proofErr w:type="spellStart"/>
      <w:r w:rsidRPr="00580918">
        <w:rPr>
          <w:i/>
          <w:lang w:val="es-MX" w:eastAsia="es-CO"/>
        </w:rPr>
        <w:t>clusters</w:t>
      </w:r>
      <w:proofErr w:type="spellEnd"/>
      <w:r w:rsidRPr="00580918">
        <w:rPr>
          <w:lang w:val="es-MX" w:eastAsia="es-CO"/>
        </w:rPr>
        <w:t xml:space="preserve">.”. En cuanto a subsidio a terminales, </w:t>
      </w:r>
      <w:r w:rsidR="00517DD8">
        <w:rPr>
          <w:lang w:val="es-MX" w:eastAsia="es-CO"/>
        </w:rPr>
        <w:t>uno de los asistentes al taller</w:t>
      </w:r>
      <w:r w:rsidR="00517DD8" w:rsidRPr="00580918">
        <w:rPr>
          <w:lang w:val="es-MX" w:eastAsia="es-CO"/>
        </w:rPr>
        <w:t xml:space="preserve"> </w:t>
      </w:r>
      <w:r w:rsidRPr="00580918">
        <w:rPr>
          <w:lang w:val="es-MX" w:eastAsia="es-CO"/>
        </w:rPr>
        <w:t>indica que: “En cuanto a televisión y nuevas tecnologías, sigue estando la gran cuestión de los terminales. El acceso universal solo se logra solucionando el tema de terminales.”</w:t>
      </w:r>
    </w:p>
    <w:p w:rsidR="00580918" w:rsidRPr="00580918" w:rsidRDefault="00580918" w:rsidP="00580918">
      <w:pPr>
        <w:spacing w:before="0" w:after="200"/>
        <w:rPr>
          <w:lang w:val="es-MX" w:eastAsia="es-CO"/>
        </w:rPr>
      </w:pPr>
    </w:p>
    <w:p w:rsidR="00580918" w:rsidRPr="00580918" w:rsidRDefault="00580918" w:rsidP="00580918">
      <w:pPr>
        <w:spacing w:before="0" w:after="200"/>
        <w:jc w:val="left"/>
        <w:rPr>
          <w:lang w:val="es-MX" w:eastAsia="es-CO"/>
        </w:rPr>
      </w:pPr>
      <w:r w:rsidRPr="00580918">
        <w:rPr>
          <w:lang w:val="es-MX" w:eastAsia="es-CO"/>
        </w:rPr>
        <w:br w:type="page"/>
      </w:r>
    </w:p>
    <w:p w:rsidR="00E206EE" w:rsidRDefault="00E206EE" w:rsidP="00E206EE">
      <w:pPr>
        <w:pStyle w:val="Titulocaptulo-Econometra"/>
        <w:rPr>
          <w:rFonts w:eastAsia="Times New Roman"/>
          <w:lang w:val="es-CO" w:eastAsia="es-ES"/>
        </w:rPr>
      </w:pPr>
    </w:p>
    <w:p w:rsidR="00544B68" w:rsidRDefault="00544B68" w:rsidP="00544B68">
      <w:pPr>
        <w:pStyle w:val="Titulocaptulo-Econometra"/>
        <w:contextualSpacing w:val="0"/>
      </w:pPr>
      <w:bookmarkStart w:id="187" w:name="_Toc405992332"/>
      <w:r>
        <w:t>Anexo A4</w:t>
      </w:r>
      <w:bookmarkEnd w:id="187"/>
    </w:p>
    <w:p w:rsidR="00544B68" w:rsidRPr="00EB4D09" w:rsidRDefault="00C9178B" w:rsidP="00544B68">
      <w:pPr>
        <w:pStyle w:val="Titulocaptulo-Econometra"/>
        <w:contextualSpacing w:val="0"/>
      </w:pPr>
      <w:bookmarkStart w:id="188" w:name="_Toc405992333"/>
      <w:r>
        <w:t>Evaluación</w:t>
      </w:r>
      <w:r w:rsidR="00517FC5">
        <w:t xml:space="preserve"> de la estrategia de comunicación desde el nivel nacional</w:t>
      </w:r>
      <w:bookmarkEnd w:id="188"/>
    </w:p>
    <w:p w:rsidR="00520D5A" w:rsidRPr="007F424B" w:rsidRDefault="00405740" w:rsidP="00520D5A">
      <w:pPr>
        <w:keepNext/>
        <w:keepLines/>
        <w:outlineLvl w:val="0"/>
        <w:rPr>
          <w:rFonts w:eastAsia="Calibri" w:cs="Times New Roman"/>
        </w:rPr>
      </w:pPr>
      <w:r>
        <w:rPr>
          <w:rFonts w:eastAsia="Calibri" w:cs="Times New Roman"/>
        </w:rPr>
        <w:t>En este capítulo se</w:t>
      </w:r>
      <w:r w:rsidR="00520D5A" w:rsidRPr="007F424B">
        <w:rPr>
          <w:rFonts w:eastAsia="Calibri" w:cs="Times New Roman"/>
        </w:rPr>
        <w:t xml:space="preserve"> pretende evaluar el resultado de la es</w:t>
      </w:r>
      <w:r>
        <w:rPr>
          <w:rFonts w:eastAsia="Calibri" w:cs="Times New Roman"/>
        </w:rPr>
        <w:t>trategia de comunicaciones del P</w:t>
      </w:r>
      <w:r w:rsidR="00520D5A" w:rsidRPr="007F424B">
        <w:rPr>
          <w:rFonts w:eastAsia="Calibri" w:cs="Times New Roman"/>
        </w:rPr>
        <w:t xml:space="preserve">lan Vive Digital generado por el </w:t>
      </w:r>
      <w:r>
        <w:rPr>
          <w:rFonts w:eastAsia="Calibri" w:cs="Times New Roman"/>
        </w:rPr>
        <w:t>MINTIC, desde la visión nacional</w:t>
      </w:r>
      <w:r w:rsidR="00520D5A" w:rsidRPr="007F424B">
        <w:rPr>
          <w:rFonts w:eastAsia="Calibri" w:cs="Times New Roman"/>
        </w:rPr>
        <w:t xml:space="preserve"> durante el 2013.</w:t>
      </w:r>
    </w:p>
    <w:p w:rsidR="00520D5A" w:rsidRDefault="00520D5A" w:rsidP="00520D5A">
      <w:pPr>
        <w:keepNext/>
        <w:keepLines/>
        <w:outlineLvl w:val="0"/>
        <w:rPr>
          <w:rFonts w:eastAsia="Calibri" w:cs="Times New Roman"/>
        </w:rPr>
      </w:pPr>
      <w:r w:rsidRPr="007F424B">
        <w:rPr>
          <w:rFonts w:eastAsia="Calibri" w:cs="Times New Roman"/>
        </w:rPr>
        <w:t xml:space="preserve">Para ello </w:t>
      </w:r>
      <w:r w:rsidR="00732D79">
        <w:rPr>
          <w:rFonts w:eastAsia="Calibri" w:cs="Times New Roman"/>
        </w:rPr>
        <w:t>se tomará como eje</w:t>
      </w:r>
      <w:r w:rsidRPr="007F424B">
        <w:rPr>
          <w:rFonts w:eastAsia="Calibri" w:cs="Times New Roman"/>
        </w:rPr>
        <w:t xml:space="preserve"> la estructura de objetivos que plantea el documento de estrategia de comunicaciones</w:t>
      </w:r>
      <w:r w:rsidR="00732D79">
        <w:rPr>
          <w:rFonts w:eastAsia="Calibri" w:cs="Times New Roman"/>
        </w:rPr>
        <w:t xml:space="preserve"> del Ministerio</w:t>
      </w:r>
      <w:r w:rsidRPr="007F424B">
        <w:rPr>
          <w:rFonts w:eastAsia="Calibri" w:cs="Times New Roman"/>
        </w:rPr>
        <w:t xml:space="preserve"> y</w:t>
      </w:r>
      <w:r w:rsidR="00732D79">
        <w:rPr>
          <w:rFonts w:eastAsia="Calibri" w:cs="Times New Roman"/>
        </w:rPr>
        <w:t>,</w:t>
      </w:r>
      <w:r w:rsidRPr="007F424B">
        <w:rPr>
          <w:rFonts w:eastAsia="Calibri" w:cs="Times New Roman"/>
        </w:rPr>
        <w:t xml:space="preserve"> a su vez</w:t>
      </w:r>
      <w:r w:rsidR="00732D79">
        <w:rPr>
          <w:rFonts w:eastAsia="Calibri" w:cs="Times New Roman"/>
        </w:rPr>
        <w:t>,</w:t>
      </w:r>
      <w:r w:rsidRPr="007F424B">
        <w:rPr>
          <w:rFonts w:eastAsia="Calibri" w:cs="Times New Roman"/>
        </w:rPr>
        <w:t xml:space="preserve"> </w:t>
      </w:r>
      <w:r w:rsidR="00732D79">
        <w:rPr>
          <w:rFonts w:eastAsia="Calibri" w:cs="Times New Roman"/>
        </w:rPr>
        <w:t>se jerarquizarán</w:t>
      </w:r>
      <w:r w:rsidRPr="007F424B">
        <w:rPr>
          <w:rFonts w:eastAsia="Calibri" w:cs="Times New Roman"/>
        </w:rPr>
        <w:t xml:space="preserve"> dichos objetivos en sus efectos operacionales, tácticos y estratégicos.</w:t>
      </w:r>
    </w:p>
    <w:p w:rsidR="00520D5A" w:rsidRPr="008523DB" w:rsidRDefault="00520D5A" w:rsidP="00520D5A">
      <w:pPr>
        <w:pStyle w:val="Prrafodelista"/>
        <w:keepNext/>
        <w:keepLines/>
        <w:numPr>
          <w:ilvl w:val="0"/>
          <w:numId w:val="2"/>
        </w:numPr>
        <w:tabs>
          <w:tab w:val="left" w:pos="0"/>
        </w:tabs>
        <w:spacing w:before="200" w:after="200"/>
        <w:contextualSpacing w:val="0"/>
        <w:jc w:val="left"/>
        <w:outlineLvl w:val="1"/>
        <w:rPr>
          <w:rFonts w:ascii="Century Gothic" w:hAnsi="Century Gothic"/>
          <w:bCs/>
          <w:smallCaps/>
          <w:vanish/>
          <w:color w:val="C00000"/>
          <w:sz w:val="30"/>
          <w:szCs w:val="30"/>
          <w:lang w:val="es-CO" w:eastAsia="es-ES"/>
        </w:rPr>
      </w:pPr>
      <w:bookmarkStart w:id="189" w:name="_Toc374973551"/>
      <w:bookmarkEnd w:id="189"/>
    </w:p>
    <w:p w:rsidR="00520D5A" w:rsidRPr="008523DB" w:rsidRDefault="00520D5A" w:rsidP="00520D5A">
      <w:pPr>
        <w:pStyle w:val="Prrafodelista"/>
        <w:keepNext/>
        <w:keepLines/>
        <w:numPr>
          <w:ilvl w:val="0"/>
          <w:numId w:val="2"/>
        </w:numPr>
        <w:tabs>
          <w:tab w:val="left" w:pos="0"/>
        </w:tabs>
        <w:spacing w:before="200" w:after="200"/>
        <w:contextualSpacing w:val="0"/>
        <w:jc w:val="left"/>
        <w:outlineLvl w:val="1"/>
        <w:rPr>
          <w:rFonts w:ascii="Century Gothic" w:hAnsi="Century Gothic"/>
          <w:bCs/>
          <w:smallCaps/>
          <w:vanish/>
          <w:color w:val="C00000"/>
          <w:sz w:val="30"/>
          <w:szCs w:val="30"/>
          <w:lang w:val="es-CO" w:eastAsia="es-ES"/>
        </w:rPr>
      </w:pPr>
      <w:bookmarkStart w:id="190" w:name="_Toc374973552"/>
      <w:bookmarkEnd w:id="190"/>
    </w:p>
    <w:p w:rsidR="00520D5A" w:rsidRPr="00CD4DFE" w:rsidRDefault="00520D5A" w:rsidP="00520D5A">
      <w:pPr>
        <w:pStyle w:val="Prrafodelista"/>
        <w:keepNext/>
        <w:keepLines/>
        <w:numPr>
          <w:ilvl w:val="0"/>
          <w:numId w:val="1"/>
        </w:numPr>
        <w:tabs>
          <w:tab w:val="left" w:pos="0"/>
        </w:tabs>
        <w:spacing w:before="200"/>
        <w:contextualSpacing w:val="0"/>
        <w:outlineLvl w:val="1"/>
        <w:rPr>
          <w:rFonts w:ascii="Century Gothic" w:eastAsia="Times New Roman" w:hAnsi="Century Gothic" w:cs="Times New Roman"/>
          <w:bCs/>
          <w:smallCaps/>
          <w:vanish/>
          <w:color w:val="C00000"/>
          <w:sz w:val="30"/>
          <w:szCs w:val="30"/>
          <w:lang w:eastAsia="es-ES"/>
        </w:rPr>
      </w:pPr>
      <w:bookmarkStart w:id="191" w:name="_Toc374973553"/>
      <w:bookmarkEnd w:id="191"/>
    </w:p>
    <w:p w:rsidR="00520D5A" w:rsidRDefault="006D3520" w:rsidP="006D3520">
      <w:pPr>
        <w:pStyle w:val="Ttulo2"/>
        <w:numPr>
          <w:ilvl w:val="0"/>
          <w:numId w:val="0"/>
        </w:numPr>
        <w:spacing w:before="200" w:after="0"/>
      </w:pPr>
      <w:bookmarkStart w:id="192" w:name="_Toc374973710"/>
      <w:bookmarkStart w:id="193" w:name="_Toc399926703"/>
      <w:bookmarkStart w:id="194" w:name="_Toc405992334"/>
      <w:r>
        <w:t xml:space="preserve">A4.1 </w:t>
      </w:r>
      <w:r w:rsidR="00520D5A">
        <w:t>Metodología</w:t>
      </w:r>
      <w:bookmarkEnd w:id="192"/>
      <w:bookmarkEnd w:id="193"/>
      <w:bookmarkEnd w:id="194"/>
    </w:p>
    <w:p w:rsidR="00520D5A" w:rsidRPr="008523DB" w:rsidRDefault="00497BE2" w:rsidP="00520D5A">
      <w:pPr>
        <w:rPr>
          <w:rFonts w:eastAsia="Calibri" w:cs="Times New Roman"/>
        </w:rPr>
      </w:pPr>
      <w:r>
        <w:rPr>
          <w:rFonts w:eastAsia="Calibri" w:cs="Times New Roman"/>
        </w:rPr>
        <w:t xml:space="preserve">La recolección de información se llevó a cabo entre </w:t>
      </w:r>
      <w:r w:rsidR="00520D5A" w:rsidRPr="008523DB">
        <w:rPr>
          <w:rFonts w:eastAsia="Calibri" w:cs="Times New Roman"/>
        </w:rPr>
        <w:t>el 5 y</w:t>
      </w:r>
      <w:r w:rsidR="00520D5A">
        <w:rPr>
          <w:rFonts w:eastAsia="Calibri" w:cs="Times New Roman"/>
        </w:rPr>
        <w:t xml:space="preserve"> el 13 de diciembre </w:t>
      </w:r>
      <w:r>
        <w:rPr>
          <w:rFonts w:eastAsia="Calibri" w:cs="Times New Roman"/>
        </w:rPr>
        <w:t xml:space="preserve">y </w:t>
      </w:r>
      <w:r w:rsidR="00520D5A">
        <w:rPr>
          <w:rFonts w:eastAsia="Calibri" w:cs="Times New Roman"/>
        </w:rPr>
        <w:t>contempló</w:t>
      </w:r>
      <w:r w:rsidR="00520D5A" w:rsidRPr="008523DB">
        <w:rPr>
          <w:rFonts w:eastAsia="Calibri" w:cs="Times New Roman"/>
        </w:rPr>
        <w:t xml:space="preserve"> </w:t>
      </w:r>
      <w:r w:rsidR="00520D5A">
        <w:rPr>
          <w:rFonts w:eastAsia="Calibri" w:cs="Times New Roman"/>
        </w:rPr>
        <w:t>tres (</w:t>
      </w:r>
      <w:r w:rsidR="00520D5A" w:rsidRPr="008523DB">
        <w:rPr>
          <w:rFonts w:eastAsia="Calibri" w:cs="Times New Roman"/>
        </w:rPr>
        <w:t>3</w:t>
      </w:r>
      <w:r w:rsidR="00520D5A">
        <w:rPr>
          <w:rFonts w:eastAsia="Calibri" w:cs="Times New Roman"/>
        </w:rPr>
        <w:t>)</w:t>
      </w:r>
      <w:r w:rsidR="00520D5A" w:rsidRPr="008523DB">
        <w:rPr>
          <w:rFonts w:eastAsia="Calibri" w:cs="Times New Roman"/>
        </w:rPr>
        <w:t xml:space="preserve"> fuentes básicas de información:</w:t>
      </w:r>
    </w:p>
    <w:p w:rsidR="00520D5A" w:rsidRPr="008523DB" w:rsidRDefault="00ED46D3" w:rsidP="00613C5C">
      <w:pPr>
        <w:pStyle w:val="Prrafodelista"/>
        <w:numPr>
          <w:ilvl w:val="0"/>
          <w:numId w:val="47"/>
        </w:numPr>
        <w:spacing w:after="200"/>
        <w:contextualSpacing w:val="0"/>
        <w:rPr>
          <w:rFonts w:eastAsia="Calibri"/>
          <w:lang w:val="es-CO"/>
        </w:rPr>
      </w:pPr>
      <w:r>
        <w:rPr>
          <w:rFonts w:eastAsia="Calibri"/>
          <w:lang w:val="es-CO"/>
        </w:rPr>
        <w:t xml:space="preserve">Entrevistas a </w:t>
      </w:r>
      <w:r w:rsidR="00520D5A" w:rsidRPr="008523DB">
        <w:rPr>
          <w:rFonts w:eastAsia="Calibri"/>
          <w:lang w:val="es-CO"/>
        </w:rPr>
        <w:t>líderes de opinión del sector.</w:t>
      </w:r>
    </w:p>
    <w:p w:rsidR="00520D5A" w:rsidRPr="008523DB" w:rsidRDefault="00ED46D3" w:rsidP="00613C5C">
      <w:pPr>
        <w:pStyle w:val="Prrafodelista"/>
        <w:numPr>
          <w:ilvl w:val="0"/>
          <w:numId w:val="47"/>
        </w:numPr>
        <w:spacing w:before="0" w:after="200"/>
        <w:contextualSpacing w:val="0"/>
        <w:rPr>
          <w:rFonts w:eastAsia="Calibri"/>
          <w:lang w:val="es-CO"/>
        </w:rPr>
      </w:pPr>
      <w:r>
        <w:rPr>
          <w:rFonts w:eastAsia="Calibri"/>
          <w:lang w:val="es-CO"/>
        </w:rPr>
        <w:t>I</w:t>
      </w:r>
      <w:r w:rsidR="00520D5A" w:rsidRPr="008523DB">
        <w:rPr>
          <w:rFonts w:eastAsia="Calibri"/>
          <w:lang w:val="es-CO"/>
        </w:rPr>
        <w:t>nformación consolidada de comportamiento y consumo.</w:t>
      </w:r>
    </w:p>
    <w:p w:rsidR="00520D5A" w:rsidRPr="008523DB" w:rsidRDefault="00ED46D3" w:rsidP="00613C5C">
      <w:pPr>
        <w:pStyle w:val="Prrafodelista"/>
        <w:numPr>
          <w:ilvl w:val="0"/>
          <w:numId w:val="47"/>
        </w:numPr>
        <w:spacing w:before="0" w:after="200"/>
        <w:contextualSpacing w:val="0"/>
        <w:rPr>
          <w:rFonts w:eastAsia="Calibri"/>
          <w:lang w:val="es-CO"/>
        </w:rPr>
      </w:pPr>
      <w:r>
        <w:rPr>
          <w:rFonts w:eastAsia="Calibri"/>
          <w:lang w:val="es-CO"/>
        </w:rPr>
        <w:t>P</w:t>
      </w:r>
      <w:r w:rsidR="00520D5A" w:rsidRPr="008523DB">
        <w:rPr>
          <w:rFonts w:eastAsia="Calibri"/>
          <w:lang w:val="es-CO"/>
        </w:rPr>
        <w:t>ublicaciones y ejercicio mediático de la oficina de comunicaciones desde la perspectiva de los objetivos del documento.</w:t>
      </w:r>
    </w:p>
    <w:p w:rsidR="00520D5A" w:rsidRPr="008523DB" w:rsidRDefault="00520D5A" w:rsidP="00520D5A">
      <w:pPr>
        <w:rPr>
          <w:rFonts w:eastAsia="Calibri" w:cs="Times New Roman"/>
        </w:rPr>
      </w:pPr>
      <w:r w:rsidRPr="008523DB">
        <w:rPr>
          <w:rFonts w:eastAsia="Calibri" w:cs="Times New Roman"/>
        </w:rPr>
        <w:t xml:space="preserve">El estudio tuvo un </w:t>
      </w:r>
      <w:r w:rsidR="00ED46D3">
        <w:rPr>
          <w:rFonts w:eastAsia="Calibri" w:cs="Times New Roman"/>
        </w:rPr>
        <w:t>enfoque cualitativo y se centró,</w:t>
      </w:r>
      <w:r w:rsidRPr="008523DB">
        <w:rPr>
          <w:rFonts w:eastAsia="Calibri" w:cs="Times New Roman"/>
        </w:rPr>
        <w:t xml:space="preserve"> tanto en los datos de acceso como en las percepciones de quienes desempeñan labores profesionales en el sector </w:t>
      </w:r>
      <w:r w:rsidR="00AC102F">
        <w:rPr>
          <w:rFonts w:eastAsia="Calibri" w:cs="Times New Roman"/>
        </w:rPr>
        <w:t>TIC</w:t>
      </w:r>
      <w:r w:rsidRPr="008523DB">
        <w:rPr>
          <w:rFonts w:eastAsia="Calibri" w:cs="Times New Roman"/>
        </w:rPr>
        <w:t>.</w:t>
      </w:r>
    </w:p>
    <w:p w:rsidR="00520D5A" w:rsidRDefault="00DD1816" w:rsidP="00520D5A">
      <w:pPr>
        <w:rPr>
          <w:rFonts w:eastAsia="Calibri" w:cs="Times New Roman"/>
        </w:rPr>
      </w:pPr>
      <w:r>
        <w:rPr>
          <w:rFonts w:eastAsia="Calibri" w:cs="Times New Roman"/>
        </w:rPr>
        <w:t xml:space="preserve">El siguiente cuadro muestra los </w:t>
      </w:r>
      <w:r w:rsidR="00FE2F26">
        <w:rPr>
          <w:rFonts w:eastAsia="Calibri" w:cs="Times New Roman"/>
        </w:rPr>
        <w:t xml:space="preserve">datos de los 11 </w:t>
      </w:r>
      <w:r>
        <w:rPr>
          <w:rFonts w:eastAsia="Calibri" w:cs="Times New Roman"/>
        </w:rPr>
        <w:t>participantes</w:t>
      </w:r>
      <w:r w:rsidR="008522ED">
        <w:rPr>
          <w:rFonts w:eastAsia="Calibri" w:cs="Times New Roman"/>
        </w:rPr>
        <w:t xml:space="preserve"> de las entrevistas realizadas:</w:t>
      </w:r>
    </w:p>
    <w:p w:rsidR="008522ED" w:rsidRPr="00F63BCD" w:rsidRDefault="00FF7E81" w:rsidP="008522ED">
      <w:pPr>
        <w:pStyle w:val="T-Figura"/>
      </w:pPr>
      <w:r>
        <w:t>Cuadro A4</w:t>
      </w:r>
      <w:r w:rsidR="008522ED" w:rsidRPr="00F63BCD">
        <w:t>.1 – Entrevistas realizadas</w:t>
      </w:r>
    </w:p>
    <w:tbl>
      <w:tblPr>
        <w:tblStyle w:val="Tablaconcuadrcula"/>
        <w:tblW w:w="0" w:type="auto"/>
        <w:tblBorders>
          <w:top w:val="none" w:sz="0" w:space="0" w:color="auto"/>
          <w:bottom w:val="single" w:sz="6" w:space="0" w:color="BFBFBF" w:themeColor="background1" w:themeShade="BF"/>
          <w:insideH w:val="single" w:sz="6" w:space="0" w:color="BFBFBF" w:themeColor="background1" w:themeShade="BF"/>
        </w:tblBorders>
        <w:tblLook w:val="04A0"/>
      </w:tblPr>
      <w:tblGrid>
        <w:gridCol w:w="675"/>
        <w:gridCol w:w="1843"/>
        <w:gridCol w:w="3846"/>
        <w:gridCol w:w="2690"/>
      </w:tblGrid>
      <w:tr w:rsidR="00C42CAA" w:rsidRPr="008523DB" w:rsidTr="00F5535E">
        <w:trPr>
          <w:cnfStyle w:val="100000000000"/>
          <w:trHeight w:val="340"/>
          <w:tblHeader/>
        </w:trPr>
        <w:tc>
          <w:tcPr>
            <w:tcW w:w="675" w:type="dxa"/>
            <w:shd w:val="clear" w:color="auto" w:fill="A6A6A6" w:themeFill="background1" w:themeFillShade="A6"/>
            <w:vAlign w:val="center"/>
          </w:tcPr>
          <w:p w:rsidR="00C42CAA" w:rsidRDefault="00C42CAA" w:rsidP="00C42CAA">
            <w:pPr>
              <w:pStyle w:val="TextCuadro"/>
            </w:pPr>
            <w:r>
              <w:t>No.</w:t>
            </w:r>
          </w:p>
        </w:tc>
        <w:tc>
          <w:tcPr>
            <w:tcW w:w="1843" w:type="dxa"/>
            <w:shd w:val="clear" w:color="auto" w:fill="A6A6A6" w:themeFill="background1" w:themeFillShade="A6"/>
            <w:vAlign w:val="center"/>
          </w:tcPr>
          <w:p w:rsidR="00C42CAA" w:rsidRPr="008523DB" w:rsidRDefault="00C42CAA" w:rsidP="00434320">
            <w:pPr>
              <w:pStyle w:val="TextCuadro"/>
              <w:rPr>
                <w:b w:val="0"/>
              </w:rPr>
            </w:pPr>
            <w:r>
              <w:t>Entrevistado</w:t>
            </w:r>
          </w:p>
        </w:tc>
        <w:tc>
          <w:tcPr>
            <w:tcW w:w="3846" w:type="dxa"/>
            <w:shd w:val="clear" w:color="auto" w:fill="A6A6A6" w:themeFill="background1" w:themeFillShade="A6"/>
            <w:vAlign w:val="center"/>
          </w:tcPr>
          <w:p w:rsidR="00C42CAA" w:rsidRPr="008523DB" w:rsidRDefault="00C42CAA" w:rsidP="00C9178B">
            <w:pPr>
              <w:pStyle w:val="TextCuadro"/>
              <w:rPr>
                <w:b w:val="0"/>
              </w:rPr>
            </w:pPr>
            <w:r>
              <w:t>Entidad</w:t>
            </w:r>
          </w:p>
        </w:tc>
        <w:tc>
          <w:tcPr>
            <w:tcW w:w="2690" w:type="dxa"/>
            <w:shd w:val="clear" w:color="auto" w:fill="A6A6A6" w:themeFill="background1" w:themeFillShade="A6"/>
            <w:vAlign w:val="center"/>
          </w:tcPr>
          <w:p w:rsidR="00C42CAA" w:rsidRPr="008523DB" w:rsidRDefault="00C42CAA" w:rsidP="00C9178B">
            <w:pPr>
              <w:pStyle w:val="TextCuadro"/>
              <w:rPr>
                <w:b w:val="0"/>
              </w:rPr>
            </w:pPr>
            <w:r>
              <w:t>Temática</w:t>
            </w:r>
          </w:p>
        </w:tc>
      </w:tr>
      <w:tr w:rsidR="00C42CAA" w:rsidRPr="008523DB" w:rsidTr="00F5535E">
        <w:trPr>
          <w:cnfStyle w:val="000000100000"/>
          <w:trHeight w:val="510"/>
        </w:trPr>
        <w:tc>
          <w:tcPr>
            <w:tcW w:w="675" w:type="dxa"/>
            <w:vAlign w:val="center"/>
          </w:tcPr>
          <w:p w:rsidR="00C42CAA" w:rsidRPr="008523DB" w:rsidRDefault="00C42CAA" w:rsidP="00C42CAA">
            <w:pPr>
              <w:pStyle w:val="TextCuadro"/>
            </w:pPr>
            <w:r>
              <w:t>1</w:t>
            </w:r>
          </w:p>
        </w:tc>
        <w:tc>
          <w:tcPr>
            <w:tcW w:w="1843" w:type="dxa"/>
            <w:vAlign w:val="center"/>
          </w:tcPr>
          <w:p w:rsidR="00C42CAA" w:rsidRPr="008523DB" w:rsidRDefault="00C42CAA" w:rsidP="00434320">
            <w:pPr>
              <w:pStyle w:val="TextCuadro"/>
              <w:jc w:val="left"/>
            </w:pPr>
            <w:r w:rsidRPr="008523DB">
              <w:t>Rafael España</w:t>
            </w:r>
          </w:p>
        </w:tc>
        <w:tc>
          <w:tcPr>
            <w:tcW w:w="3846" w:type="dxa"/>
            <w:vAlign w:val="center"/>
          </w:tcPr>
          <w:p w:rsidR="00C42CAA" w:rsidRPr="008523DB" w:rsidRDefault="00C42CAA" w:rsidP="00C9178B">
            <w:pPr>
              <w:pStyle w:val="TextCuadro"/>
            </w:pPr>
            <w:r w:rsidRPr="008523DB">
              <w:t>Dirección de Asuntos Económicos Presidencia Nacional de FENALCO</w:t>
            </w:r>
          </w:p>
        </w:tc>
        <w:tc>
          <w:tcPr>
            <w:tcW w:w="2690" w:type="dxa"/>
            <w:vAlign w:val="center"/>
          </w:tcPr>
          <w:p w:rsidR="00C42CAA" w:rsidRPr="008523DB" w:rsidRDefault="00C42CAA" w:rsidP="00C9178B">
            <w:pPr>
              <w:pStyle w:val="TextCuadro"/>
            </w:pPr>
            <w:r w:rsidRPr="008523DB">
              <w:t>Consumo y cultura tecnológica</w:t>
            </w:r>
          </w:p>
        </w:tc>
      </w:tr>
      <w:tr w:rsidR="00C42CAA" w:rsidRPr="008523DB" w:rsidTr="00F5535E">
        <w:trPr>
          <w:trHeight w:val="510"/>
        </w:trPr>
        <w:tc>
          <w:tcPr>
            <w:tcW w:w="675" w:type="dxa"/>
            <w:vAlign w:val="center"/>
          </w:tcPr>
          <w:p w:rsidR="00C42CAA" w:rsidRPr="008523DB" w:rsidRDefault="00C42CAA" w:rsidP="00C42CAA">
            <w:pPr>
              <w:pStyle w:val="TextCuadro"/>
            </w:pPr>
            <w:r>
              <w:t>2</w:t>
            </w:r>
          </w:p>
        </w:tc>
        <w:tc>
          <w:tcPr>
            <w:tcW w:w="1843" w:type="dxa"/>
            <w:vAlign w:val="center"/>
          </w:tcPr>
          <w:p w:rsidR="00C42CAA" w:rsidRPr="008523DB" w:rsidRDefault="00C42CAA" w:rsidP="00434320">
            <w:pPr>
              <w:pStyle w:val="TextCuadro"/>
              <w:jc w:val="left"/>
            </w:pPr>
            <w:r w:rsidRPr="008523DB">
              <w:t>Eliana Castellanos</w:t>
            </w:r>
          </w:p>
        </w:tc>
        <w:tc>
          <w:tcPr>
            <w:tcW w:w="3846" w:type="dxa"/>
            <w:vAlign w:val="center"/>
          </w:tcPr>
          <w:p w:rsidR="00C42CAA" w:rsidRPr="008523DB" w:rsidRDefault="00C42CAA" w:rsidP="00C9178B">
            <w:pPr>
              <w:pStyle w:val="TextCuadro"/>
            </w:pPr>
            <w:r w:rsidRPr="008523DB">
              <w:t>Dirección de Comunicaciones DIAN</w:t>
            </w:r>
          </w:p>
        </w:tc>
        <w:tc>
          <w:tcPr>
            <w:tcW w:w="2690" w:type="dxa"/>
            <w:vAlign w:val="center"/>
          </w:tcPr>
          <w:p w:rsidR="00C42CAA" w:rsidRPr="008523DB" w:rsidRDefault="00C42CAA" w:rsidP="00D91FE4">
            <w:pPr>
              <w:pStyle w:val="TextCuadro"/>
            </w:pPr>
            <w:r w:rsidRPr="008523DB">
              <w:t xml:space="preserve">Consumo y prosperidad. Gobierno y </w:t>
            </w:r>
            <w:r>
              <w:t>t</w:t>
            </w:r>
            <w:r w:rsidRPr="008523DB">
              <w:t>ecnología.</w:t>
            </w:r>
          </w:p>
        </w:tc>
      </w:tr>
      <w:tr w:rsidR="00C42CAA" w:rsidRPr="008523DB" w:rsidTr="00F5535E">
        <w:trPr>
          <w:cnfStyle w:val="000000100000"/>
          <w:trHeight w:val="510"/>
        </w:trPr>
        <w:tc>
          <w:tcPr>
            <w:tcW w:w="675" w:type="dxa"/>
            <w:vAlign w:val="center"/>
          </w:tcPr>
          <w:p w:rsidR="00C42CAA" w:rsidRPr="008523DB" w:rsidRDefault="00C42CAA" w:rsidP="00C42CAA">
            <w:pPr>
              <w:pStyle w:val="TextCuadro"/>
            </w:pPr>
            <w:r>
              <w:t>3</w:t>
            </w:r>
          </w:p>
        </w:tc>
        <w:tc>
          <w:tcPr>
            <w:tcW w:w="1843" w:type="dxa"/>
            <w:vAlign w:val="center"/>
          </w:tcPr>
          <w:p w:rsidR="00C42CAA" w:rsidRPr="008523DB" w:rsidRDefault="00C42CAA" w:rsidP="00434320">
            <w:pPr>
              <w:pStyle w:val="TextCuadro"/>
              <w:jc w:val="left"/>
            </w:pPr>
            <w:r w:rsidRPr="008523DB">
              <w:t>Germán Centeno</w:t>
            </w:r>
          </w:p>
        </w:tc>
        <w:tc>
          <w:tcPr>
            <w:tcW w:w="3846" w:type="dxa"/>
            <w:vAlign w:val="center"/>
          </w:tcPr>
          <w:p w:rsidR="00C42CAA" w:rsidRPr="008523DB" w:rsidRDefault="00C42CAA" w:rsidP="00C9178B">
            <w:pPr>
              <w:pStyle w:val="TextCuadro"/>
            </w:pPr>
            <w:r w:rsidRPr="008523DB">
              <w:t>Dirección de Comunicaciones Telefónica - MOVISTAR</w:t>
            </w:r>
          </w:p>
        </w:tc>
        <w:tc>
          <w:tcPr>
            <w:tcW w:w="2690" w:type="dxa"/>
            <w:vAlign w:val="center"/>
          </w:tcPr>
          <w:p w:rsidR="00C42CAA" w:rsidRPr="008523DB" w:rsidRDefault="00C42CAA" w:rsidP="00C9178B">
            <w:pPr>
              <w:pStyle w:val="TextCuadro"/>
            </w:pPr>
            <w:r w:rsidRPr="008523DB">
              <w:t>Consumo y cultura tecnológica</w:t>
            </w:r>
          </w:p>
        </w:tc>
      </w:tr>
      <w:tr w:rsidR="00C42CAA" w:rsidRPr="008523DB" w:rsidTr="00F5535E">
        <w:trPr>
          <w:trHeight w:val="510"/>
        </w:trPr>
        <w:tc>
          <w:tcPr>
            <w:tcW w:w="675" w:type="dxa"/>
            <w:vAlign w:val="center"/>
          </w:tcPr>
          <w:p w:rsidR="00C42CAA" w:rsidRPr="008523DB" w:rsidRDefault="00C42CAA" w:rsidP="00C42CAA">
            <w:pPr>
              <w:pStyle w:val="TextCuadro"/>
            </w:pPr>
            <w:r>
              <w:t>4</w:t>
            </w:r>
          </w:p>
        </w:tc>
        <w:tc>
          <w:tcPr>
            <w:tcW w:w="1843" w:type="dxa"/>
            <w:vAlign w:val="center"/>
          </w:tcPr>
          <w:p w:rsidR="00C42CAA" w:rsidRPr="008523DB" w:rsidRDefault="00C42CAA" w:rsidP="00434320">
            <w:pPr>
              <w:pStyle w:val="TextCuadro"/>
              <w:jc w:val="left"/>
            </w:pPr>
            <w:proofErr w:type="spellStart"/>
            <w:r w:rsidRPr="008523DB">
              <w:t>Neiro</w:t>
            </w:r>
            <w:proofErr w:type="spellEnd"/>
            <w:r w:rsidRPr="008523DB">
              <w:t xml:space="preserve"> </w:t>
            </w:r>
            <w:proofErr w:type="spellStart"/>
            <w:r w:rsidRPr="008523DB">
              <w:t>Jaimes</w:t>
            </w:r>
            <w:proofErr w:type="spellEnd"/>
          </w:p>
        </w:tc>
        <w:tc>
          <w:tcPr>
            <w:tcW w:w="3846" w:type="dxa"/>
            <w:vAlign w:val="center"/>
          </w:tcPr>
          <w:p w:rsidR="00C42CAA" w:rsidRPr="008523DB" w:rsidRDefault="00C42CAA" w:rsidP="00C9178B">
            <w:pPr>
              <w:pStyle w:val="TextCuadro"/>
            </w:pPr>
            <w:r w:rsidRPr="008523DB">
              <w:t>Dirección de Comunicaciones UNE</w:t>
            </w:r>
          </w:p>
        </w:tc>
        <w:tc>
          <w:tcPr>
            <w:tcW w:w="2690" w:type="dxa"/>
            <w:vAlign w:val="center"/>
          </w:tcPr>
          <w:p w:rsidR="00C42CAA" w:rsidRPr="008523DB" w:rsidRDefault="00C42CAA" w:rsidP="00C9178B">
            <w:pPr>
              <w:pStyle w:val="TextCuadro"/>
            </w:pPr>
            <w:r w:rsidRPr="008523DB">
              <w:t>Consumo y cultura tecnológica</w:t>
            </w:r>
          </w:p>
        </w:tc>
      </w:tr>
      <w:tr w:rsidR="00C42CAA" w:rsidRPr="008523DB" w:rsidTr="00F5535E">
        <w:trPr>
          <w:cnfStyle w:val="000000100000"/>
          <w:trHeight w:val="510"/>
        </w:trPr>
        <w:tc>
          <w:tcPr>
            <w:tcW w:w="675" w:type="dxa"/>
            <w:vAlign w:val="center"/>
          </w:tcPr>
          <w:p w:rsidR="00C42CAA" w:rsidRPr="008523DB" w:rsidRDefault="00C42CAA" w:rsidP="00C42CAA">
            <w:pPr>
              <w:pStyle w:val="TextCuadro"/>
            </w:pPr>
            <w:r>
              <w:lastRenderedPageBreak/>
              <w:t>5</w:t>
            </w:r>
          </w:p>
        </w:tc>
        <w:tc>
          <w:tcPr>
            <w:tcW w:w="1843" w:type="dxa"/>
            <w:vAlign w:val="center"/>
          </w:tcPr>
          <w:p w:rsidR="00C42CAA" w:rsidRPr="008523DB" w:rsidRDefault="00C42CAA" w:rsidP="00434320">
            <w:pPr>
              <w:pStyle w:val="TextCuadro"/>
              <w:jc w:val="left"/>
            </w:pPr>
            <w:r w:rsidRPr="008523DB">
              <w:t>Eduardo Gómez</w:t>
            </w:r>
          </w:p>
        </w:tc>
        <w:tc>
          <w:tcPr>
            <w:tcW w:w="3846" w:type="dxa"/>
            <w:vAlign w:val="center"/>
          </w:tcPr>
          <w:p w:rsidR="00C42CAA" w:rsidRPr="008523DB" w:rsidRDefault="00C42CAA" w:rsidP="00C9178B">
            <w:pPr>
              <w:pStyle w:val="TextCuadro"/>
            </w:pPr>
            <w:r w:rsidRPr="008523DB">
              <w:t>Ex gerente de estrategias en medios móviles NOKIA</w:t>
            </w:r>
          </w:p>
        </w:tc>
        <w:tc>
          <w:tcPr>
            <w:tcW w:w="2690" w:type="dxa"/>
            <w:vAlign w:val="center"/>
          </w:tcPr>
          <w:p w:rsidR="00C42CAA" w:rsidRPr="008523DB" w:rsidRDefault="00C42CAA" w:rsidP="00D91FE4">
            <w:pPr>
              <w:pStyle w:val="TextCuadro"/>
            </w:pPr>
            <w:r w:rsidRPr="008523DB">
              <w:t xml:space="preserve">Consumo y cultura </w:t>
            </w:r>
            <w:r>
              <w:t>t</w:t>
            </w:r>
            <w:r w:rsidRPr="008523DB">
              <w:t>ecnológica</w:t>
            </w:r>
          </w:p>
        </w:tc>
      </w:tr>
      <w:tr w:rsidR="00C42CAA" w:rsidRPr="008523DB" w:rsidTr="00F5535E">
        <w:trPr>
          <w:trHeight w:val="510"/>
        </w:trPr>
        <w:tc>
          <w:tcPr>
            <w:tcW w:w="675" w:type="dxa"/>
            <w:vAlign w:val="center"/>
          </w:tcPr>
          <w:p w:rsidR="00C42CAA" w:rsidRPr="008523DB" w:rsidRDefault="00C42CAA" w:rsidP="00C42CAA">
            <w:pPr>
              <w:pStyle w:val="TextCuadro"/>
            </w:pPr>
            <w:r>
              <w:t>6</w:t>
            </w:r>
          </w:p>
        </w:tc>
        <w:tc>
          <w:tcPr>
            <w:tcW w:w="1843" w:type="dxa"/>
            <w:vAlign w:val="center"/>
          </w:tcPr>
          <w:p w:rsidR="00C42CAA" w:rsidRPr="008523DB" w:rsidRDefault="00C42CAA" w:rsidP="00434320">
            <w:pPr>
              <w:pStyle w:val="TextCuadro"/>
              <w:jc w:val="left"/>
            </w:pPr>
            <w:r w:rsidRPr="008523DB">
              <w:t>José Carlos García</w:t>
            </w:r>
          </w:p>
        </w:tc>
        <w:tc>
          <w:tcPr>
            <w:tcW w:w="3846" w:type="dxa"/>
            <w:vAlign w:val="center"/>
          </w:tcPr>
          <w:p w:rsidR="00C42CAA" w:rsidRPr="008523DB" w:rsidRDefault="00C42CAA" w:rsidP="00C9178B">
            <w:pPr>
              <w:pStyle w:val="TextCuadro"/>
            </w:pPr>
            <w:r>
              <w:t xml:space="preserve">Editor tecnología, </w:t>
            </w:r>
            <w:r w:rsidRPr="008523DB">
              <w:t>Editor Portal</w:t>
            </w:r>
            <w:r>
              <w:t>,</w:t>
            </w:r>
            <w:r w:rsidRPr="008523DB">
              <w:t xml:space="preserve"> EL TIEMPO</w:t>
            </w:r>
          </w:p>
        </w:tc>
        <w:tc>
          <w:tcPr>
            <w:tcW w:w="2690" w:type="dxa"/>
            <w:vAlign w:val="center"/>
          </w:tcPr>
          <w:p w:rsidR="00C42CAA" w:rsidRPr="008523DB" w:rsidRDefault="00C42CAA" w:rsidP="00C9178B">
            <w:pPr>
              <w:pStyle w:val="TextCuadro"/>
            </w:pPr>
            <w:r w:rsidRPr="008523DB">
              <w:t>Consumo, prosperidad y Calidad de vida.</w:t>
            </w:r>
          </w:p>
        </w:tc>
      </w:tr>
      <w:tr w:rsidR="00C42CAA" w:rsidRPr="008523DB" w:rsidTr="00F5535E">
        <w:trPr>
          <w:cnfStyle w:val="000000100000"/>
          <w:trHeight w:val="510"/>
        </w:trPr>
        <w:tc>
          <w:tcPr>
            <w:tcW w:w="675" w:type="dxa"/>
            <w:vAlign w:val="center"/>
          </w:tcPr>
          <w:p w:rsidR="00C42CAA" w:rsidRPr="008523DB" w:rsidRDefault="00C42CAA" w:rsidP="00C42CAA">
            <w:pPr>
              <w:pStyle w:val="TextCuadro"/>
            </w:pPr>
            <w:r>
              <w:t>7</w:t>
            </w:r>
          </w:p>
        </w:tc>
        <w:tc>
          <w:tcPr>
            <w:tcW w:w="1843" w:type="dxa"/>
          </w:tcPr>
          <w:p w:rsidR="00C42CAA" w:rsidRDefault="00C42CAA" w:rsidP="007F419B">
            <w:pPr>
              <w:pStyle w:val="TextCuadro"/>
              <w:jc w:val="left"/>
            </w:pPr>
            <w:r w:rsidRPr="008523DB">
              <w:t>Lina María Cardona</w:t>
            </w:r>
          </w:p>
          <w:p w:rsidR="00C42CAA" w:rsidRDefault="00C42CAA" w:rsidP="007F419B">
            <w:pPr>
              <w:pStyle w:val="TextCuadro"/>
              <w:jc w:val="left"/>
            </w:pPr>
          </w:p>
          <w:p w:rsidR="00C42CAA" w:rsidRPr="00F5535E" w:rsidRDefault="00C42CAA" w:rsidP="007F419B">
            <w:pPr>
              <w:pStyle w:val="TextCuadro"/>
              <w:jc w:val="left"/>
              <w:rPr>
                <w:sz w:val="12"/>
              </w:rPr>
            </w:pPr>
          </w:p>
          <w:p w:rsidR="00C42CAA" w:rsidRPr="008523DB" w:rsidRDefault="00C42CAA" w:rsidP="007F419B">
            <w:pPr>
              <w:pStyle w:val="TextCuadro"/>
              <w:jc w:val="left"/>
            </w:pPr>
            <w:r>
              <w:t>Johana García</w:t>
            </w:r>
          </w:p>
        </w:tc>
        <w:tc>
          <w:tcPr>
            <w:tcW w:w="3846" w:type="dxa"/>
            <w:vAlign w:val="center"/>
          </w:tcPr>
          <w:p w:rsidR="00C42CAA" w:rsidRDefault="00C42CAA" w:rsidP="00C9178B">
            <w:pPr>
              <w:pStyle w:val="TextCuadro"/>
            </w:pPr>
            <w:r w:rsidRPr="008523DB">
              <w:t>Innovación y tecnología en el aula. MINISTERIO DE EDUCACIÓN</w:t>
            </w:r>
          </w:p>
          <w:p w:rsidR="00C42CAA" w:rsidRPr="00F5535E" w:rsidRDefault="00C42CAA" w:rsidP="007F419B">
            <w:pPr>
              <w:pStyle w:val="TextCuadro"/>
              <w:rPr>
                <w:sz w:val="14"/>
              </w:rPr>
            </w:pPr>
          </w:p>
          <w:p w:rsidR="00C42CAA" w:rsidRDefault="00C42CAA" w:rsidP="007F419B">
            <w:pPr>
              <w:pStyle w:val="TextCuadro"/>
            </w:pPr>
            <w:r w:rsidRPr="008523DB">
              <w:t xml:space="preserve">Gobierno en Línea. </w:t>
            </w:r>
          </w:p>
          <w:p w:rsidR="00C42CAA" w:rsidRPr="008523DB" w:rsidRDefault="00C42CAA" w:rsidP="007F419B">
            <w:pPr>
              <w:pStyle w:val="TextCuadro"/>
            </w:pPr>
            <w:r w:rsidRPr="008523DB">
              <w:t>MINISTERIO DE EDUCACIÓN</w:t>
            </w:r>
          </w:p>
        </w:tc>
        <w:tc>
          <w:tcPr>
            <w:tcW w:w="2690" w:type="dxa"/>
            <w:vAlign w:val="center"/>
          </w:tcPr>
          <w:p w:rsidR="00C42CAA" w:rsidRPr="008523DB" w:rsidRDefault="00C42CAA" w:rsidP="00D91FE4">
            <w:pPr>
              <w:pStyle w:val="TextCuadro"/>
            </w:pPr>
            <w:r w:rsidRPr="008523DB">
              <w:t xml:space="preserve">Cultura </w:t>
            </w:r>
            <w:r>
              <w:t>t</w:t>
            </w:r>
            <w:r w:rsidRPr="008523DB">
              <w:t>ecnológica</w:t>
            </w:r>
          </w:p>
        </w:tc>
      </w:tr>
      <w:tr w:rsidR="00C42CAA" w:rsidRPr="008523DB" w:rsidTr="00F5535E">
        <w:trPr>
          <w:trHeight w:val="510"/>
        </w:trPr>
        <w:tc>
          <w:tcPr>
            <w:tcW w:w="675" w:type="dxa"/>
            <w:vAlign w:val="center"/>
          </w:tcPr>
          <w:p w:rsidR="00C42CAA" w:rsidRPr="008523DB" w:rsidRDefault="00C42CAA" w:rsidP="00C42CAA">
            <w:pPr>
              <w:pStyle w:val="TextCuadro"/>
            </w:pPr>
            <w:r>
              <w:t>8</w:t>
            </w:r>
          </w:p>
        </w:tc>
        <w:tc>
          <w:tcPr>
            <w:tcW w:w="1843" w:type="dxa"/>
            <w:vAlign w:val="center"/>
          </w:tcPr>
          <w:p w:rsidR="00C42CAA" w:rsidRPr="008523DB" w:rsidRDefault="00C42CAA" w:rsidP="00434320">
            <w:pPr>
              <w:pStyle w:val="TextCuadro"/>
              <w:jc w:val="left"/>
            </w:pPr>
            <w:r w:rsidRPr="008523DB">
              <w:t xml:space="preserve">Juan </w:t>
            </w:r>
            <w:r>
              <w:t xml:space="preserve">Carlos </w:t>
            </w:r>
            <w:proofErr w:type="spellStart"/>
            <w:r>
              <w:t>Bernate</w:t>
            </w:r>
            <w:proofErr w:type="spellEnd"/>
            <w:r w:rsidRPr="008523DB">
              <w:t xml:space="preserve"> </w:t>
            </w:r>
          </w:p>
        </w:tc>
        <w:tc>
          <w:tcPr>
            <w:tcW w:w="3846" w:type="dxa"/>
            <w:vAlign w:val="center"/>
          </w:tcPr>
          <w:p w:rsidR="00C42CAA" w:rsidRPr="008523DB" w:rsidRDefault="00C42CAA" w:rsidP="00C9178B">
            <w:pPr>
              <w:pStyle w:val="TextCuadro"/>
            </w:pPr>
            <w:r w:rsidRPr="008523DB">
              <w:t>Redactor de la revista IT MANAGER y editor de Canal Informático</w:t>
            </w:r>
          </w:p>
        </w:tc>
        <w:tc>
          <w:tcPr>
            <w:tcW w:w="2690" w:type="dxa"/>
            <w:vAlign w:val="center"/>
          </w:tcPr>
          <w:p w:rsidR="00C42CAA" w:rsidRPr="008523DB" w:rsidRDefault="00C42CAA" w:rsidP="00C9178B">
            <w:pPr>
              <w:pStyle w:val="TextCuadro"/>
            </w:pPr>
            <w:r w:rsidRPr="008523DB">
              <w:t>Cultura y consumo</w:t>
            </w:r>
          </w:p>
        </w:tc>
      </w:tr>
      <w:tr w:rsidR="00C42CAA" w:rsidRPr="008523DB" w:rsidTr="00F5535E">
        <w:trPr>
          <w:cnfStyle w:val="000000100000"/>
          <w:trHeight w:val="510"/>
        </w:trPr>
        <w:tc>
          <w:tcPr>
            <w:tcW w:w="675" w:type="dxa"/>
            <w:vAlign w:val="center"/>
          </w:tcPr>
          <w:p w:rsidR="00C42CAA" w:rsidRPr="008523DB" w:rsidRDefault="00C42CAA" w:rsidP="00C42CAA">
            <w:pPr>
              <w:pStyle w:val="TextCuadro"/>
            </w:pPr>
            <w:r>
              <w:t>9</w:t>
            </w:r>
          </w:p>
        </w:tc>
        <w:tc>
          <w:tcPr>
            <w:tcW w:w="1843" w:type="dxa"/>
            <w:vAlign w:val="center"/>
          </w:tcPr>
          <w:p w:rsidR="00C42CAA" w:rsidRPr="008523DB" w:rsidRDefault="00C42CAA" w:rsidP="00434320">
            <w:pPr>
              <w:pStyle w:val="TextCuadro"/>
              <w:jc w:val="left"/>
            </w:pPr>
            <w:r w:rsidRPr="008523DB">
              <w:br w:type="page"/>
              <w:t xml:space="preserve">José </w:t>
            </w:r>
            <w:r>
              <w:t>Alejandro González</w:t>
            </w:r>
          </w:p>
        </w:tc>
        <w:tc>
          <w:tcPr>
            <w:tcW w:w="3846" w:type="dxa"/>
            <w:vAlign w:val="center"/>
          </w:tcPr>
          <w:p w:rsidR="00C42CAA" w:rsidRPr="008523DB" w:rsidRDefault="00C42CAA" w:rsidP="00C9178B">
            <w:pPr>
              <w:pStyle w:val="TextCuadro"/>
            </w:pPr>
            <w:r w:rsidRPr="008523DB">
              <w:t>Creador y editor de EMPRESAS.IT, sitio dedicado a tecnología empresarial y de MOVILEGO.com, sitio dedicado a productos móviles.</w:t>
            </w:r>
          </w:p>
        </w:tc>
        <w:tc>
          <w:tcPr>
            <w:tcW w:w="2690" w:type="dxa"/>
            <w:vAlign w:val="center"/>
          </w:tcPr>
          <w:p w:rsidR="00C42CAA" w:rsidRPr="008523DB" w:rsidRDefault="00C42CAA" w:rsidP="00C9178B">
            <w:pPr>
              <w:pStyle w:val="TextCuadro"/>
            </w:pPr>
            <w:r w:rsidRPr="008523DB">
              <w:t>Cultura y Consumo</w:t>
            </w:r>
          </w:p>
        </w:tc>
      </w:tr>
      <w:tr w:rsidR="00C42CAA" w:rsidRPr="008523DB" w:rsidTr="00F5535E">
        <w:tc>
          <w:tcPr>
            <w:tcW w:w="675" w:type="dxa"/>
            <w:vAlign w:val="center"/>
          </w:tcPr>
          <w:p w:rsidR="00C42CAA" w:rsidRPr="008523DB" w:rsidRDefault="00C42CAA" w:rsidP="00C42CAA">
            <w:pPr>
              <w:pStyle w:val="TextCuadro"/>
            </w:pPr>
            <w:r>
              <w:t>10</w:t>
            </w:r>
          </w:p>
        </w:tc>
        <w:tc>
          <w:tcPr>
            <w:tcW w:w="1843" w:type="dxa"/>
            <w:vAlign w:val="center"/>
          </w:tcPr>
          <w:p w:rsidR="00C42CAA" w:rsidRPr="008523DB" w:rsidRDefault="00C42CAA" w:rsidP="00434320">
            <w:pPr>
              <w:pStyle w:val="TextCuadro"/>
              <w:jc w:val="left"/>
            </w:pPr>
            <w:r w:rsidRPr="008523DB">
              <w:t xml:space="preserve">Andrés </w:t>
            </w:r>
            <w:r>
              <w:t>López</w:t>
            </w:r>
          </w:p>
        </w:tc>
        <w:tc>
          <w:tcPr>
            <w:tcW w:w="3846" w:type="dxa"/>
            <w:vAlign w:val="center"/>
          </w:tcPr>
          <w:p w:rsidR="00C42CAA" w:rsidRPr="008523DB" w:rsidRDefault="00C42CAA" w:rsidP="00C9178B">
            <w:pPr>
              <w:pStyle w:val="TextCuadro"/>
            </w:pPr>
            <w:r w:rsidRPr="008523DB">
              <w:t>Redactor especial de tecnología de EL TIEMPO y creador y editor de la página www.9012radio.co., especializada en tecnología.</w:t>
            </w:r>
          </w:p>
        </w:tc>
        <w:tc>
          <w:tcPr>
            <w:tcW w:w="2690" w:type="dxa"/>
            <w:vAlign w:val="center"/>
          </w:tcPr>
          <w:p w:rsidR="00C42CAA" w:rsidRPr="008523DB" w:rsidRDefault="00C42CAA" w:rsidP="00C9178B">
            <w:pPr>
              <w:pStyle w:val="TextCuadro"/>
            </w:pPr>
            <w:r w:rsidRPr="008523DB">
              <w:t>Cultura y Consumo</w:t>
            </w:r>
          </w:p>
        </w:tc>
      </w:tr>
    </w:tbl>
    <w:p w:rsidR="008522ED" w:rsidRPr="008523DB" w:rsidRDefault="008522ED" w:rsidP="008522ED">
      <w:pPr>
        <w:jc w:val="center"/>
        <w:rPr>
          <w:rFonts w:ascii="Century Gothic" w:eastAsia="Calibri" w:hAnsi="Century Gothic" w:cs="Arial"/>
          <w:color w:val="404040" w:themeColor="text1" w:themeTint="BF"/>
          <w:sz w:val="18"/>
          <w:szCs w:val="18"/>
        </w:rPr>
      </w:pPr>
      <w:r w:rsidRPr="008523DB">
        <w:rPr>
          <w:rFonts w:ascii="Century Gothic" w:eastAsia="Calibri" w:hAnsi="Century Gothic" w:cs="Arial"/>
          <w:color w:val="404040" w:themeColor="text1" w:themeTint="BF"/>
          <w:sz w:val="18"/>
          <w:szCs w:val="18"/>
        </w:rPr>
        <w:t>Fuente: Elaboración propia</w:t>
      </w:r>
    </w:p>
    <w:p w:rsidR="00CA63D3" w:rsidRDefault="00FF7E81" w:rsidP="00CA63D3">
      <w:pPr>
        <w:rPr>
          <w:rFonts w:eastAsia="Calibri" w:cs="Times New Roman"/>
        </w:rPr>
      </w:pPr>
      <w:r>
        <w:rPr>
          <w:rFonts w:eastAsia="Calibri" w:cs="Times New Roman"/>
        </w:rPr>
        <w:t>La estructura del instrumento de recolección se dividió en dos partes: la primera indagó por la identificación de marca y la segunda por elementos estratégicos; la siguiente figura muestra lo anterior:</w:t>
      </w:r>
    </w:p>
    <w:p w:rsidR="00FF7E81" w:rsidRDefault="00FF7E81" w:rsidP="00FF7E81">
      <w:pPr>
        <w:pStyle w:val="T-Figura"/>
      </w:pPr>
      <w:r>
        <w:t>Figura A4</w:t>
      </w:r>
      <w:r w:rsidRPr="00F63BCD">
        <w:t xml:space="preserve">.1 – </w:t>
      </w:r>
      <w:r>
        <w:t>Estructura del instrumento</w:t>
      </w:r>
    </w:p>
    <w:p w:rsidR="00FF7E81" w:rsidRDefault="00C94AA3" w:rsidP="00F96A98">
      <w:pPr>
        <w:pStyle w:val="T-Figura"/>
        <w:ind w:left="0"/>
      </w:pPr>
      <w:r>
        <w:rPr>
          <w:noProof/>
          <w:lang w:eastAsia="es-CO"/>
        </w:rPr>
        <w:pict>
          <v:group id="_x0000_s1035" style="position:absolute;left:0;text-align:left;margin-left:-13.9pt;margin-top:64.55pt;width:453.1pt;height:51.85pt;z-index:251666432" coordorigin="1423,9414" coordsize="9062,1037">
            <v:roundrect id="_x0000_s1033" style="position:absolute;left:1423;top:9431;width:3048;height:1020;mso-position-vertical:top;mso-position-vertical-relative:margin" arcsize="10923f" fillcolor="#4bacc6 [3208]" stroked="f">
              <v:textbox style="mso-next-textbox:#_x0000_s1033">
                <w:txbxContent>
                  <w:p w:rsidR="00845F87" w:rsidRPr="00491593" w:rsidRDefault="00845F87" w:rsidP="000F6326">
                    <w:pPr>
                      <w:spacing w:before="0" w:line="240" w:lineRule="auto"/>
                      <w:rPr>
                        <w:rFonts w:ascii="Century Gothic" w:hAnsi="Century Gothic"/>
                        <w:b/>
                        <w:color w:val="FFFFFF" w:themeColor="background1"/>
                        <w:sz w:val="22"/>
                        <w:lang w:val="es-CO"/>
                      </w:rPr>
                    </w:pPr>
                    <w:r>
                      <w:rPr>
                        <w:rFonts w:ascii="Century Gothic" w:hAnsi="Century Gothic"/>
                        <w:b/>
                        <w:color w:val="FFFFFF" w:themeColor="background1"/>
                        <w:sz w:val="22"/>
                        <w:lang w:val="es-CO"/>
                      </w:rPr>
                      <w:t xml:space="preserve">- </w:t>
                    </w:r>
                    <w:r w:rsidRPr="00491593">
                      <w:rPr>
                        <w:rFonts w:ascii="Century Gothic" w:hAnsi="Century Gothic"/>
                        <w:b/>
                        <w:color w:val="FFFFFF" w:themeColor="background1"/>
                        <w:sz w:val="22"/>
                        <w:lang w:val="es-CO"/>
                      </w:rPr>
                      <w:t>Plan Vive Digital</w:t>
                    </w:r>
                  </w:p>
                  <w:p w:rsidR="00845F87" w:rsidRPr="00491593" w:rsidRDefault="00845F87" w:rsidP="000F6326">
                    <w:pPr>
                      <w:spacing w:before="0" w:line="240" w:lineRule="auto"/>
                      <w:rPr>
                        <w:rFonts w:ascii="Century Gothic" w:hAnsi="Century Gothic"/>
                        <w:b/>
                        <w:color w:val="FFFFFF" w:themeColor="background1"/>
                        <w:sz w:val="22"/>
                        <w:lang w:val="es-CO"/>
                      </w:rPr>
                    </w:pPr>
                    <w:r>
                      <w:rPr>
                        <w:rFonts w:ascii="Century Gothic" w:hAnsi="Century Gothic"/>
                        <w:b/>
                        <w:color w:val="FFFFFF" w:themeColor="background1"/>
                        <w:sz w:val="22"/>
                        <w:lang w:val="es-CO"/>
                      </w:rPr>
                      <w:t xml:space="preserve">- </w:t>
                    </w:r>
                    <w:r w:rsidRPr="00491593">
                      <w:rPr>
                        <w:rFonts w:ascii="Century Gothic" w:hAnsi="Century Gothic"/>
                        <w:b/>
                        <w:color w:val="FFFFFF" w:themeColor="background1"/>
                        <w:sz w:val="22"/>
                        <w:lang w:val="es-CO"/>
                      </w:rPr>
                      <w:t>MINTIC</w:t>
                    </w:r>
                  </w:p>
                  <w:p w:rsidR="00845F87" w:rsidRPr="00491593" w:rsidRDefault="00845F87" w:rsidP="000F6326">
                    <w:pPr>
                      <w:spacing w:before="0" w:line="240" w:lineRule="auto"/>
                      <w:rPr>
                        <w:rFonts w:ascii="Century Gothic" w:hAnsi="Century Gothic"/>
                        <w:b/>
                        <w:color w:val="FFFFFF" w:themeColor="background1"/>
                        <w:sz w:val="22"/>
                        <w:lang w:val="es-CO"/>
                      </w:rPr>
                    </w:pPr>
                    <w:r>
                      <w:rPr>
                        <w:rFonts w:ascii="Century Gothic" w:hAnsi="Century Gothic"/>
                        <w:b/>
                        <w:color w:val="FFFFFF" w:themeColor="background1"/>
                        <w:sz w:val="22"/>
                        <w:lang w:val="es-CO"/>
                      </w:rPr>
                      <w:t xml:space="preserve">- </w:t>
                    </w:r>
                    <w:r w:rsidRPr="00491593">
                      <w:rPr>
                        <w:rFonts w:ascii="Century Gothic" w:hAnsi="Century Gothic"/>
                        <w:b/>
                        <w:color w:val="FFFFFF" w:themeColor="background1"/>
                        <w:sz w:val="22"/>
                        <w:lang w:val="es-CO"/>
                      </w:rPr>
                      <w:t>Ministro</w:t>
                    </w:r>
                  </w:p>
                </w:txbxContent>
              </v:textbox>
            </v:roundrect>
            <v:roundrect id="_x0000_s1034" style="position:absolute;left:7551;top:9414;width:2934;height:1020;mso-position-vertical:top;mso-position-vertical-relative:margin" arcsize="10923f" fillcolor="#4bacc6 [3208]" stroked="f">
              <v:textbox style="mso-next-textbox:#_x0000_s1034">
                <w:txbxContent>
                  <w:p w:rsidR="00845F87" w:rsidRPr="00491593" w:rsidRDefault="00845F87" w:rsidP="000F6326">
                    <w:pPr>
                      <w:spacing w:before="0" w:line="240" w:lineRule="auto"/>
                      <w:rPr>
                        <w:rFonts w:ascii="Century Gothic" w:hAnsi="Century Gothic"/>
                        <w:b/>
                        <w:color w:val="FFFFFF" w:themeColor="background1"/>
                        <w:sz w:val="22"/>
                        <w:lang w:val="es-CO"/>
                      </w:rPr>
                    </w:pPr>
                    <w:r>
                      <w:rPr>
                        <w:rFonts w:ascii="Century Gothic" w:hAnsi="Century Gothic"/>
                        <w:b/>
                        <w:color w:val="FFFFFF" w:themeColor="background1"/>
                        <w:sz w:val="22"/>
                        <w:lang w:val="es-CO"/>
                      </w:rPr>
                      <w:t xml:space="preserve">- </w:t>
                    </w:r>
                    <w:r w:rsidRPr="00491593">
                      <w:rPr>
                        <w:rFonts w:ascii="Century Gothic" w:hAnsi="Century Gothic"/>
                        <w:b/>
                        <w:color w:val="FFFFFF" w:themeColor="background1"/>
                        <w:sz w:val="22"/>
                        <w:lang w:val="es-CO"/>
                      </w:rPr>
                      <w:t>Apropiación</w:t>
                    </w:r>
                  </w:p>
                  <w:p w:rsidR="00845F87" w:rsidRPr="00491593" w:rsidRDefault="00845F87" w:rsidP="000F6326">
                    <w:pPr>
                      <w:spacing w:before="0" w:line="240" w:lineRule="auto"/>
                      <w:rPr>
                        <w:rFonts w:ascii="Century Gothic" w:hAnsi="Century Gothic"/>
                        <w:b/>
                        <w:color w:val="FFFFFF" w:themeColor="background1"/>
                        <w:sz w:val="22"/>
                        <w:lang w:val="es-CO"/>
                      </w:rPr>
                    </w:pPr>
                    <w:r>
                      <w:rPr>
                        <w:rFonts w:ascii="Century Gothic" w:hAnsi="Century Gothic"/>
                        <w:b/>
                        <w:color w:val="FFFFFF" w:themeColor="background1"/>
                        <w:sz w:val="22"/>
                        <w:lang w:val="es-CO"/>
                      </w:rPr>
                      <w:t xml:space="preserve">- </w:t>
                    </w:r>
                    <w:r w:rsidRPr="00491593">
                      <w:rPr>
                        <w:rFonts w:ascii="Century Gothic" w:hAnsi="Century Gothic"/>
                        <w:b/>
                        <w:color w:val="FFFFFF" w:themeColor="background1"/>
                        <w:sz w:val="22"/>
                        <w:lang w:val="es-CO"/>
                      </w:rPr>
                      <w:t>Calidad de vida</w:t>
                    </w:r>
                  </w:p>
                  <w:p w:rsidR="00845F87" w:rsidRPr="00491593" w:rsidRDefault="00845F87" w:rsidP="000F6326">
                    <w:pPr>
                      <w:spacing w:before="0" w:line="240" w:lineRule="auto"/>
                      <w:rPr>
                        <w:rFonts w:ascii="Century Gothic" w:hAnsi="Century Gothic"/>
                        <w:b/>
                        <w:color w:val="FFFFFF" w:themeColor="background1"/>
                        <w:sz w:val="22"/>
                        <w:lang w:val="es-CO"/>
                      </w:rPr>
                    </w:pPr>
                    <w:r>
                      <w:rPr>
                        <w:rFonts w:ascii="Century Gothic" w:hAnsi="Century Gothic"/>
                        <w:b/>
                        <w:color w:val="FFFFFF" w:themeColor="background1"/>
                        <w:sz w:val="22"/>
                        <w:lang w:val="es-CO"/>
                      </w:rPr>
                      <w:t xml:space="preserve">- </w:t>
                    </w:r>
                    <w:r w:rsidRPr="00491593">
                      <w:rPr>
                        <w:rFonts w:ascii="Century Gothic" w:hAnsi="Century Gothic"/>
                        <w:b/>
                        <w:color w:val="FFFFFF" w:themeColor="background1"/>
                        <w:sz w:val="22"/>
                        <w:lang w:val="es-CO"/>
                      </w:rPr>
                      <w:t>Prosperidad</w:t>
                    </w:r>
                  </w:p>
                </w:txbxContent>
              </v:textbox>
            </v:roundrect>
            <w10:wrap anchory="margin"/>
          </v:group>
        </w:pict>
      </w:r>
      <w:r w:rsidR="00F0188F">
        <w:rPr>
          <w:noProof/>
          <w:lang w:eastAsia="es-CO"/>
        </w:rPr>
        <w:drawing>
          <wp:inline distT="0" distB="0" distL="0" distR="0">
            <wp:extent cx="5486400" cy="2647507"/>
            <wp:effectExtent l="0" t="0" r="0" b="0"/>
            <wp:docPr id="56" name="Diagrama 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8" r:lo="rId99" r:qs="rId100" r:cs="rId101"/>
              </a:graphicData>
            </a:graphic>
          </wp:inline>
        </w:drawing>
      </w:r>
    </w:p>
    <w:p w:rsidR="00ED10CA" w:rsidRPr="008523DB" w:rsidRDefault="00ED10CA" w:rsidP="00ED10CA">
      <w:pPr>
        <w:jc w:val="center"/>
        <w:rPr>
          <w:rFonts w:ascii="Century Gothic" w:eastAsia="Calibri" w:hAnsi="Century Gothic" w:cs="Arial"/>
          <w:color w:val="404040" w:themeColor="text1" w:themeTint="BF"/>
          <w:sz w:val="18"/>
          <w:szCs w:val="18"/>
        </w:rPr>
      </w:pPr>
      <w:r w:rsidRPr="008523DB">
        <w:rPr>
          <w:rFonts w:ascii="Century Gothic" w:eastAsia="Calibri" w:hAnsi="Century Gothic" w:cs="Arial"/>
          <w:color w:val="404040" w:themeColor="text1" w:themeTint="BF"/>
          <w:sz w:val="18"/>
          <w:szCs w:val="18"/>
        </w:rPr>
        <w:t>Fuente: Elaboración propia</w:t>
      </w:r>
    </w:p>
    <w:p w:rsidR="00FF7E81" w:rsidRDefault="007E0D5E" w:rsidP="00CA63D3">
      <w:pPr>
        <w:rPr>
          <w:rFonts w:eastAsia="Calibri" w:cs="Times New Roman"/>
        </w:rPr>
      </w:pPr>
      <w:r>
        <w:rPr>
          <w:rFonts w:eastAsia="Calibri" w:cs="Times New Roman"/>
        </w:rPr>
        <w:t xml:space="preserve">La siguiente sección presenta </w:t>
      </w:r>
      <w:r w:rsidR="00F7452F">
        <w:rPr>
          <w:rFonts w:eastAsia="Calibri" w:cs="Times New Roman"/>
        </w:rPr>
        <w:t>los resultados de las entrevistas r</w:t>
      </w:r>
      <w:r>
        <w:rPr>
          <w:rFonts w:eastAsia="Calibri" w:cs="Times New Roman"/>
        </w:rPr>
        <w:t>ealizadas.</w:t>
      </w:r>
    </w:p>
    <w:p w:rsidR="00CA63D3" w:rsidRPr="00F7452F" w:rsidRDefault="006D3520" w:rsidP="006D3520">
      <w:pPr>
        <w:pStyle w:val="Ttulo2"/>
        <w:numPr>
          <w:ilvl w:val="0"/>
          <w:numId w:val="0"/>
        </w:numPr>
        <w:spacing w:before="200" w:after="0"/>
        <w:ind w:left="578" w:hanging="578"/>
        <w:rPr>
          <w:rFonts w:eastAsia="Calibri"/>
        </w:rPr>
      </w:pPr>
      <w:bookmarkStart w:id="195" w:name="_Toc399926704"/>
      <w:bookmarkStart w:id="196" w:name="_Toc405992335"/>
      <w:r>
        <w:lastRenderedPageBreak/>
        <w:t xml:space="preserve">A4.2 </w:t>
      </w:r>
      <w:r w:rsidR="00F7452F">
        <w:t>Resultados</w:t>
      </w:r>
      <w:bookmarkEnd w:id="195"/>
      <w:bookmarkEnd w:id="196"/>
    </w:p>
    <w:p w:rsidR="00594E09" w:rsidRPr="00594E09" w:rsidRDefault="00594E09" w:rsidP="003F0B14">
      <w:pPr>
        <w:pStyle w:val="Prrafodelista"/>
        <w:spacing w:after="240"/>
        <w:ind w:left="426" w:hanging="426"/>
        <w:rPr>
          <w:rFonts w:ascii="Century Gothic" w:hAnsi="Century Gothic" w:cs="Arial"/>
          <w:color w:val="404040" w:themeColor="text1" w:themeTint="BF"/>
        </w:rPr>
      </w:pPr>
      <w:r w:rsidRPr="002D2D0E">
        <w:rPr>
          <w:rFonts w:ascii="Century Gothic" w:hAnsi="Century Gothic" w:cs="Arial"/>
          <w:color w:val="404040" w:themeColor="text1" w:themeTint="BF"/>
        </w:rPr>
        <w:t xml:space="preserve">a. </w:t>
      </w:r>
      <w:r w:rsidR="006015D0">
        <w:rPr>
          <w:rFonts w:ascii="Century Gothic" w:hAnsi="Century Gothic" w:cs="Arial"/>
          <w:color w:val="404040" w:themeColor="text1" w:themeTint="BF"/>
        </w:rPr>
        <w:t xml:space="preserve">Marca </w:t>
      </w:r>
    </w:p>
    <w:p w:rsidR="00CA63D3" w:rsidRPr="00CA63D3" w:rsidRDefault="00CA63D3" w:rsidP="001007D3">
      <w:pPr>
        <w:spacing w:after="240"/>
        <w:rPr>
          <w:rFonts w:eastAsia="Calibri" w:cs="Times New Roman"/>
        </w:rPr>
      </w:pPr>
      <w:r w:rsidRPr="00CA63D3">
        <w:rPr>
          <w:rFonts w:eastAsia="Calibri" w:cs="Times New Roman"/>
        </w:rPr>
        <w:t xml:space="preserve">Todos los entrevistados identificaron la marca </w:t>
      </w:r>
      <w:r w:rsidR="007E0D5E">
        <w:rPr>
          <w:rFonts w:eastAsia="Calibri" w:cs="Times New Roman"/>
        </w:rPr>
        <w:t xml:space="preserve">Plan </w:t>
      </w:r>
      <w:r w:rsidRPr="00CA63D3">
        <w:rPr>
          <w:rFonts w:eastAsia="Calibri" w:cs="Times New Roman"/>
        </w:rPr>
        <w:t xml:space="preserve">Vive Digital, su </w:t>
      </w:r>
      <w:r w:rsidR="007E0D5E">
        <w:rPr>
          <w:rFonts w:eastAsia="Calibri" w:cs="Times New Roman"/>
        </w:rPr>
        <w:t>r</w:t>
      </w:r>
      <w:r w:rsidRPr="00CA63D3">
        <w:rPr>
          <w:rFonts w:eastAsia="Calibri" w:cs="Times New Roman"/>
        </w:rPr>
        <w:t xml:space="preserve">elación con el </w:t>
      </w:r>
      <w:r w:rsidR="007E0D5E">
        <w:rPr>
          <w:rFonts w:eastAsia="Calibri" w:cs="Times New Roman"/>
        </w:rPr>
        <w:t>MINTIC</w:t>
      </w:r>
      <w:r w:rsidRPr="00CA63D3">
        <w:rPr>
          <w:rFonts w:eastAsia="Calibri" w:cs="Times New Roman"/>
        </w:rPr>
        <w:t xml:space="preserve"> y el </w:t>
      </w:r>
      <w:r w:rsidR="007E0D5E" w:rsidRPr="00CA63D3">
        <w:rPr>
          <w:rFonts w:eastAsia="Calibri" w:cs="Times New Roman"/>
        </w:rPr>
        <w:t xml:space="preserve">liderazgo del </w:t>
      </w:r>
      <w:r w:rsidR="007E0D5E">
        <w:rPr>
          <w:rFonts w:eastAsia="Calibri" w:cs="Times New Roman"/>
        </w:rPr>
        <w:t>M</w:t>
      </w:r>
      <w:r w:rsidR="007E0D5E" w:rsidRPr="00CA63D3">
        <w:rPr>
          <w:rFonts w:eastAsia="Calibri" w:cs="Times New Roman"/>
        </w:rPr>
        <w:t>inistro</w:t>
      </w:r>
      <w:r w:rsidR="00405360">
        <w:rPr>
          <w:rFonts w:eastAsia="Calibri" w:cs="Times New Roman"/>
        </w:rPr>
        <w:t xml:space="preserve">. </w:t>
      </w:r>
      <w:r w:rsidRPr="00CA63D3">
        <w:rPr>
          <w:rFonts w:eastAsia="Calibri" w:cs="Times New Roman"/>
        </w:rPr>
        <w:t>Sin embargo</w:t>
      </w:r>
      <w:r w:rsidR="00405360">
        <w:rPr>
          <w:rFonts w:eastAsia="Calibri" w:cs="Times New Roman"/>
        </w:rPr>
        <w:t>,</w:t>
      </w:r>
      <w:r w:rsidRPr="00CA63D3">
        <w:rPr>
          <w:rFonts w:eastAsia="Calibri" w:cs="Times New Roman"/>
        </w:rPr>
        <w:t xml:space="preserve"> en la tipología de las respuestas aclararon que </w:t>
      </w:r>
      <w:r w:rsidR="00405360">
        <w:rPr>
          <w:rFonts w:eastAsia="Calibri" w:cs="Times New Roman"/>
        </w:rPr>
        <w:t>a</w:t>
      </w:r>
      <w:r w:rsidRPr="00CA63D3">
        <w:rPr>
          <w:rFonts w:eastAsia="Calibri" w:cs="Times New Roman"/>
        </w:rPr>
        <w:t>socian la marc</w:t>
      </w:r>
      <w:r w:rsidR="00405360">
        <w:rPr>
          <w:rFonts w:eastAsia="Calibri" w:cs="Times New Roman"/>
        </w:rPr>
        <w:t>a del Ministro con “efectividad,</w:t>
      </w:r>
      <w:r w:rsidRPr="00CA63D3">
        <w:rPr>
          <w:rFonts w:eastAsia="Calibri" w:cs="Times New Roman"/>
        </w:rPr>
        <w:t xml:space="preserve"> </w:t>
      </w:r>
      <w:r w:rsidR="00405360" w:rsidRPr="00CA63D3">
        <w:rPr>
          <w:rFonts w:eastAsia="Calibri" w:cs="Times New Roman"/>
        </w:rPr>
        <w:t>liderazgo y éxito</w:t>
      </w:r>
      <w:r w:rsidR="00405360">
        <w:rPr>
          <w:rFonts w:eastAsia="Calibri" w:cs="Times New Roman"/>
        </w:rPr>
        <w:t>”</w:t>
      </w:r>
      <w:r w:rsidRPr="00CA63D3">
        <w:rPr>
          <w:rFonts w:eastAsia="Calibri" w:cs="Times New Roman"/>
        </w:rPr>
        <w:t xml:space="preserve">, </w:t>
      </w:r>
      <w:r w:rsidR="00405360">
        <w:rPr>
          <w:rFonts w:eastAsia="Calibri" w:cs="Times New Roman"/>
        </w:rPr>
        <w:t>mientras que frente al Plan</w:t>
      </w:r>
      <w:r w:rsidRPr="00CA63D3">
        <w:rPr>
          <w:rFonts w:eastAsia="Calibri" w:cs="Times New Roman"/>
        </w:rPr>
        <w:t xml:space="preserve"> Vive Digital señalaron un concepto </w:t>
      </w:r>
      <w:r w:rsidR="006E2303">
        <w:rPr>
          <w:rFonts w:eastAsia="Calibri" w:cs="Times New Roman"/>
        </w:rPr>
        <w:t>instrumental como “tabletas”. S</w:t>
      </w:r>
      <w:r w:rsidRPr="00CA63D3">
        <w:rPr>
          <w:rFonts w:eastAsia="Calibri" w:cs="Times New Roman"/>
        </w:rPr>
        <w:t xml:space="preserve">obre la marca del </w:t>
      </w:r>
      <w:r w:rsidR="006E2303">
        <w:rPr>
          <w:rFonts w:eastAsia="Calibri" w:cs="Times New Roman"/>
        </w:rPr>
        <w:t>MINTIC, éste se asocia con</w:t>
      </w:r>
      <w:r w:rsidRPr="00CA63D3">
        <w:rPr>
          <w:rFonts w:eastAsia="Calibri" w:cs="Times New Roman"/>
        </w:rPr>
        <w:t xml:space="preserve"> “</w:t>
      </w:r>
      <w:r w:rsidR="006E2303">
        <w:rPr>
          <w:rFonts w:eastAsia="Calibri" w:cs="Times New Roman"/>
        </w:rPr>
        <w:t>t</w:t>
      </w:r>
      <w:r w:rsidRPr="00CA63D3">
        <w:rPr>
          <w:rFonts w:eastAsia="Calibri" w:cs="Times New Roman"/>
        </w:rPr>
        <w:t>ecnología”</w:t>
      </w:r>
      <w:r w:rsidR="006E2303">
        <w:rPr>
          <w:rFonts w:eastAsia="Calibri" w:cs="Times New Roman"/>
        </w:rPr>
        <w:t xml:space="preserve">. </w:t>
      </w:r>
    </w:p>
    <w:p w:rsidR="00CA63D3" w:rsidRPr="002A44EB" w:rsidRDefault="00CA63D3" w:rsidP="001007D3">
      <w:pPr>
        <w:spacing w:after="240"/>
        <w:rPr>
          <w:rFonts w:eastAsia="Calibri" w:cs="Times New Roman"/>
        </w:rPr>
      </w:pPr>
      <w:r w:rsidRPr="00CA63D3">
        <w:rPr>
          <w:rFonts w:eastAsia="Calibri" w:cs="Times New Roman"/>
        </w:rPr>
        <w:t xml:space="preserve">Esto indica un </w:t>
      </w:r>
      <w:r w:rsidR="00543A06" w:rsidRPr="00CA63D3">
        <w:rPr>
          <w:rFonts w:eastAsia="Calibri" w:cs="Times New Roman"/>
        </w:rPr>
        <w:t xml:space="preserve">reconocimiento </w:t>
      </w:r>
      <w:r w:rsidRPr="00CA63D3">
        <w:rPr>
          <w:rFonts w:eastAsia="Calibri" w:cs="Times New Roman"/>
        </w:rPr>
        <w:t xml:space="preserve">en los líderes del sector pero </w:t>
      </w:r>
      <w:r w:rsidR="00543A06">
        <w:rPr>
          <w:rFonts w:eastAsia="Calibri" w:cs="Times New Roman"/>
        </w:rPr>
        <w:t>un posicionamiento que podría ser</w:t>
      </w:r>
      <w:r w:rsidRPr="00CA63D3">
        <w:rPr>
          <w:rFonts w:eastAsia="Calibri" w:cs="Times New Roman"/>
        </w:rPr>
        <w:t xml:space="preserve"> fortalecido con conceptos más inspiradores y menos instrumentales. Si sumado a ello se tiene en cuenta e</w:t>
      </w:r>
      <w:r w:rsidR="00D616DA">
        <w:rPr>
          <w:rFonts w:eastAsia="Calibri" w:cs="Times New Roman"/>
        </w:rPr>
        <w:t>l registro de impacto en medios, e</w:t>
      </w:r>
      <w:r w:rsidRPr="00CA63D3">
        <w:rPr>
          <w:rFonts w:eastAsia="Calibri" w:cs="Times New Roman"/>
        </w:rPr>
        <w:t xml:space="preserve">l reconocimiento de las marcas es </w:t>
      </w:r>
      <w:r w:rsidR="007C6ACE">
        <w:rPr>
          <w:rFonts w:eastAsia="Calibri" w:cs="Times New Roman"/>
        </w:rPr>
        <w:t>alto</w:t>
      </w:r>
      <w:r w:rsidRPr="00CA63D3">
        <w:rPr>
          <w:rFonts w:eastAsia="Calibri" w:cs="Times New Roman"/>
        </w:rPr>
        <w:t xml:space="preserve"> pero </w:t>
      </w:r>
      <w:r w:rsidR="007C6ACE">
        <w:rPr>
          <w:rFonts w:eastAsia="Calibri" w:cs="Times New Roman"/>
        </w:rPr>
        <w:t>con un posicionamiento difuso (l</w:t>
      </w:r>
      <w:r w:rsidRPr="00CA63D3">
        <w:rPr>
          <w:rFonts w:eastAsia="Calibri" w:cs="Times New Roman"/>
        </w:rPr>
        <w:t xml:space="preserve">os calificativos asociados a </w:t>
      </w:r>
      <w:r w:rsidR="007C6ACE">
        <w:rPr>
          <w:rFonts w:eastAsia="Calibri" w:cs="Times New Roman"/>
        </w:rPr>
        <w:t>éstas</w:t>
      </w:r>
      <w:r w:rsidRPr="00CA63D3">
        <w:rPr>
          <w:rFonts w:eastAsia="Calibri" w:cs="Times New Roman"/>
        </w:rPr>
        <w:t xml:space="preserve"> fueron muy amplios, entendiendo por amplios, numerosos)</w:t>
      </w:r>
      <w:r w:rsidR="004653D7">
        <w:rPr>
          <w:rFonts w:eastAsia="Calibri" w:cs="Times New Roman"/>
        </w:rPr>
        <w:t>.</w:t>
      </w:r>
      <w:r w:rsidR="004653D7" w:rsidRPr="004653D7">
        <w:rPr>
          <w:rFonts w:eastAsia="Calibri" w:cs="Times New Roman"/>
        </w:rPr>
        <w:t xml:space="preserve"> </w:t>
      </w:r>
      <w:r w:rsidR="0000701E">
        <w:rPr>
          <w:rFonts w:eastAsia="Calibri" w:cs="Times New Roman"/>
        </w:rPr>
        <w:t>Cruzando</w:t>
      </w:r>
      <w:r w:rsidR="004653D7" w:rsidRPr="00CA63D3">
        <w:rPr>
          <w:rFonts w:eastAsia="Calibri" w:cs="Times New Roman"/>
        </w:rPr>
        <w:t xml:space="preserve"> los impactos en medios</w:t>
      </w:r>
      <w:r w:rsidR="004653D7">
        <w:rPr>
          <w:rStyle w:val="Refdenotaalpie"/>
          <w:rFonts w:eastAsia="Calibri" w:cs="Times New Roman"/>
        </w:rPr>
        <w:footnoteReference w:id="52"/>
      </w:r>
      <w:r w:rsidR="0000701E">
        <w:rPr>
          <w:rFonts w:eastAsia="Calibri" w:cs="Times New Roman"/>
        </w:rPr>
        <w:t>,</w:t>
      </w:r>
      <w:r w:rsidR="004653D7" w:rsidRPr="00CA63D3">
        <w:rPr>
          <w:rFonts w:eastAsia="Calibri" w:cs="Times New Roman"/>
        </w:rPr>
        <w:t xml:space="preserve"> los conceptos de </w:t>
      </w:r>
      <w:r w:rsidR="004653D7" w:rsidRPr="002A44EB">
        <w:rPr>
          <w:rFonts w:eastAsia="Calibri" w:cs="Times New Roman"/>
        </w:rPr>
        <w:t>marca y las percepciones de los entrevistados, se puede decir que la marca del ministro es más fue</w:t>
      </w:r>
      <w:r w:rsidR="00C0224D" w:rsidRPr="002A44EB">
        <w:rPr>
          <w:rFonts w:eastAsia="Calibri" w:cs="Times New Roman"/>
        </w:rPr>
        <w:t xml:space="preserve">rte, </w:t>
      </w:r>
      <w:r w:rsidR="004653D7" w:rsidRPr="002A44EB">
        <w:rPr>
          <w:rFonts w:eastAsia="Calibri" w:cs="Times New Roman"/>
        </w:rPr>
        <w:t xml:space="preserve">no por reconocimiento sino porque los conceptos asociados son más positivos, en segundo lugar estaría la marca </w:t>
      </w:r>
      <w:r w:rsidR="00C0224D" w:rsidRPr="002A44EB">
        <w:rPr>
          <w:rFonts w:eastAsia="Calibri" w:cs="Times New Roman"/>
        </w:rPr>
        <w:t>Plan Vive Digital y en tercero</w:t>
      </w:r>
      <w:r w:rsidR="004653D7" w:rsidRPr="002A44EB">
        <w:rPr>
          <w:rFonts w:eastAsia="Calibri" w:cs="Times New Roman"/>
        </w:rPr>
        <w:t xml:space="preserve"> la marca </w:t>
      </w:r>
      <w:r w:rsidR="00C0224D" w:rsidRPr="002A44EB">
        <w:rPr>
          <w:rFonts w:eastAsia="Calibri" w:cs="Times New Roman"/>
        </w:rPr>
        <w:t>MINTIC</w:t>
      </w:r>
      <w:r w:rsidR="004653D7" w:rsidRPr="002A44EB">
        <w:rPr>
          <w:rFonts w:eastAsia="Calibri" w:cs="Times New Roman"/>
        </w:rPr>
        <w:t xml:space="preserve">. Si se quisiera cambiar este orden bastaría con fortalecer los conceptos de marca asociados al </w:t>
      </w:r>
      <w:r w:rsidR="00C0224D" w:rsidRPr="002A44EB">
        <w:rPr>
          <w:rFonts w:eastAsia="Calibri" w:cs="Times New Roman"/>
        </w:rPr>
        <w:t>MINTIC e</w:t>
      </w:r>
      <w:r w:rsidR="004653D7" w:rsidRPr="002A44EB">
        <w:rPr>
          <w:rFonts w:eastAsia="Calibri" w:cs="Times New Roman"/>
        </w:rPr>
        <w:t xml:space="preserve"> identificar unos más concretos para evitar la dispersión del co</w:t>
      </w:r>
      <w:r w:rsidR="002D2D0E" w:rsidRPr="002A44EB">
        <w:rPr>
          <w:rFonts w:eastAsia="Calibri" w:cs="Times New Roman"/>
        </w:rPr>
        <w:t>ncepto que se asocia al nombre.</w:t>
      </w:r>
      <w:r w:rsidR="00543A06" w:rsidRPr="002A44EB">
        <w:rPr>
          <w:rFonts w:eastAsia="Calibri" w:cs="Times New Roman"/>
        </w:rPr>
        <w:t xml:space="preserve"> </w:t>
      </w:r>
    </w:p>
    <w:p w:rsidR="00CA63D3" w:rsidRDefault="00504B92" w:rsidP="001007D3">
      <w:pPr>
        <w:spacing w:after="240"/>
        <w:rPr>
          <w:rFonts w:eastAsia="Calibri" w:cs="Times New Roman"/>
        </w:rPr>
      </w:pPr>
      <w:r>
        <w:rPr>
          <w:rFonts w:eastAsia="Calibri" w:cs="Times New Roman"/>
        </w:rPr>
        <w:t>Lo anterior es coherente</w:t>
      </w:r>
      <w:r w:rsidR="00CA63D3" w:rsidRPr="00CA63D3">
        <w:rPr>
          <w:rFonts w:eastAsia="Calibri" w:cs="Times New Roman"/>
        </w:rPr>
        <w:t xml:space="preserve"> </w:t>
      </w:r>
      <w:r>
        <w:rPr>
          <w:rFonts w:eastAsia="Calibri" w:cs="Times New Roman"/>
        </w:rPr>
        <w:t>con</w:t>
      </w:r>
      <w:r w:rsidR="00CA63D3" w:rsidRPr="00CA63D3">
        <w:rPr>
          <w:rFonts w:eastAsia="Calibri" w:cs="Times New Roman"/>
        </w:rPr>
        <w:t xml:space="preserve"> la percepción de las marcas mencionadas en las regiones. Sin embargo</w:t>
      </w:r>
      <w:r w:rsidR="003D09B9">
        <w:rPr>
          <w:rFonts w:eastAsia="Calibri" w:cs="Times New Roman"/>
        </w:rPr>
        <w:t>, hay que tener en cuenta que esa es</w:t>
      </w:r>
      <w:r w:rsidR="00CA63D3" w:rsidRPr="00CA63D3">
        <w:rPr>
          <w:rFonts w:eastAsia="Calibri" w:cs="Times New Roman"/>
        </w:rPr>
        <w:t xml:space="preserve"> una percepción </w:t>
      </w:r>
      <w:r w:rsidR="00B56317">
        <w:rPr>
          <w:rFonts w:eastAsia="Calibri" w:cs="Times New Roman"/>
        </w:rPr>
        <w:t>de</w:t>
      </w:r>
      <w:r w:rsidR="00CA63D3" w:rsidRPr="00CA63D3">
        <w:rPr>
          <w:rFonts w:eastAsia="Calibri" w:cs="Times New Roman"/>
        </w:rPr>
        <w:t xml:space="preserve"> personas que</w:t>
      </w:r>
      <w:r w:rsidR="003D09B9">
        <w:rPr>
          <w:rFonts w:eastAsia="Calibri" w:cs="Times New Roman"/>
        </w:rPr>
        <w:t xml:space="preserve"> aunque</w:t>
      </w:r>
      <w:r w:rsidR="00CA63D3" w:rsidRPr="00CA63D3">
        <w:rPr>
          <w:rFonts w:eastAsia="Calibri" w:cs="Times New Roman"/>
        </w:rPr>
        <w:t xml:space="preserve"> se desenvuelven en organizaciones con incidencia regional</w:t>
      </w:r>
      <w:r w:rsidR="003D09B9">
        <w:rPr>
          <w:rFonts w:eastAsia="Calibri" w:cs="Times New Roman"/>
        </w:rPr>
        <w:t>,</w:t>
      </w:r>
      <w:r w:rsidR="00CA63D3" w:rsidRPr="00CA63D3">
        <w:rPr>
          <w:rFonts w:eastAsia="Calibri" w:cs="Times New Roman"/>
        </w:rPr>
        <w:t xml:space="preserve"> </w:t>
      </w:r>
      <w:r w:rsidR="00B56317">
        <w:rPr>
          <w:rFonts w:eastAsia="Calibri" w:cs="Times New Roman"/>
        </w:rPr>
        <w:t xml:space="preserve">tiene una visión nacional; </w:t>
      </w:r>
      <w:r w:rsidR="00CA63D3" w:rsidRPr="00CA63D3">
        <w:rPr>
          <w:rFonts w:eastAsia="Calibri" w:cs="Times New Roman"/>
        </w:rPr>
        <w:t>para datos más precisos se requiere un estudio regional a profundidad</w:t>
      </w:r>
      <w:r w:rsidR="00867FC3">
        <w:rPr>
          <w:rStyle w:val="Refdenotaalpie"/>
          <w:rFonts w:eastAsia="Calibri" w:cs="Times New Roman"/>
        </w:rPr>
        <w:footnoteReference w:id="53"/>
      </w:r>
      <w:r w:rsidR="00CA63D3" w:rsidRPr="00CA63D3">
        <w:rPr>
          <w:rFonts w:eastAsia="Calibri" w:cs="Times New Roman"/>
        </w:rPr>
        <w:t>.</w:t>
      </w:r>
    </w:p>
    <w:p w:rsidR="00B56317" w:rsidRPr="00B56317" w:rsidRDefault="00B56317" w:rsidP="001007D3">
      <w:pPr>
        <w:spacing w:after="240"/>
        <w:rPr>
          <w:rFonts w:eastAsia="Calibri" w:cs="Times New Roman"/>
          <w:lang w:val="es-CO"/>
        </w:rPr>
      </w:pPr>
      <w:r w:rsidRPr="00B56317">
        <w:rPr>
          <w:rFonts w:eastAsia="Calibri" w:cs="Times New Roman"/>
          <w:lang w:val="es-CO"/>
        </w:rPr>
        <w:t>Cuando se preguntó si se cree que los ciudadanos conocen el Plan Vive Digital, la opinión generalizada de los cinco entrevistados que respondieron esta pregunta es que hace falta divulgación, sobre todo en las ciudades.</w:t>
      </w:r>
    </w:p>
    <w:p w:rsidR="006015D0" w:rsidRPr="006015D0" w:rsidRDefault="006015D0" w:rsidP="00613C5C">
      <w:pPr>
        <w:pStyle w:val="Prrafodelista"/>
        <w:numPr>
          <w:ilvl w:val="0"/>
          <w:numId w:val="48"/>
        </w:numPr>
        <w:rPr>
          <w:rFonts w:eastAsia="Calibri" w:cs="Times New Roman"/>
        </w:rPr>
      </w:pPr>
      <w:r>
        <w:rPr>
          <w:rFonts w:eastAsia="Calibri" w:cs="Times New Roman"/>
        </w:rPr>
        <w:t>Riesgo</w:t>
      </w:r>
    </w:p>
    <w:p w:rsidR="00CA63D3" w:rsidRPr="00CA63D3" w:rsidRDefault="00CA63D3" w:rsidP="00CA63D3">
      <w:pPr>
        <w:rPr>
          <w:rFonts w:eastAsia="Calibri" w:cs="Times New Roman"/>
        </w:rPr>
      </w:pPr>
      <w:r w:rsidRPr="00CA63D3">
        <w:rPr>
          <w:rFonts w:eastAsia="Calibri" w:cs="Times New Roman"/>
        </w:rPr>
        <w:t xml:space="preserve">Muchos de los impactos de prensa se refieren a cubrimiento informativo de actividades del </w:t>
      </w:r>
      <w:r w:rsidR="00281943">
        <w:rPr>
          <w:rFonts w:eastAsia="Calibri" w:cs="Times New Roman"/>
        </w:rPr>
        <w:t>MINTIC (p</w:t>
      </w:r>
      <w:r w:rsidRPr="00CA63D3">
        <w:rPr>
          <w:rFonts w:eastAsia="Calibri" w:cs="Times New Roman"/>
        </w:rPr>
        <w:t xml:space="preserve">remiaciones, reconocimientos, etc.) pero no se hace evidente el concepto de marca que los acompaña, ello puede ser el origen del enfoque instrumental de la marca </w:t>
      </w:r>
      <w:r w:rsidR="00281943">
        <w:rPr>
          <w:rFonts w:eastAsia="Calibri" w:cs="Times New Roman"/>
        </w:rPr>
        <w:t xml:space="preserve">Plan </w:t>
      </w:r>
      <w:r w:rsidRPr="00CA63D3">
        <w:rPr>
          <w:rFonts w:eastAsia="Calibri" w:cs="Times New Roman"/>
        </w:rPr>
        <w:t>Vive Digital. Hay que mostrar más el fondo</w:t>
      </w:r>
      <w:r w:rsidR="00281943">
        <w:rPr>
          <w:rFonts w:eastAsia="Calibri" w:cs="Times New Roman"/>
        </w:rPr>
        <w:t>,</w:t>
      </w:r>
      <w:r w:rsidRPr="00CA63D3">
        <w:rPr>
          <w:rFonts w:eastAsia="Calibri" w:cs="Times New Roman"/>
        </w:rPr>
        <w:t xml:space="preserve"> el para qué </w:t>
      </w:r>
      <w:r w:rsidR="00281943">
        <w:rPr>
          <w:rFonts w:eastAsia="Calibri" w:cs="Times New Roman"/>
        </w:rPr>
        <w:t xml:space="preserve">a manera de </w:t>
      </w:r>
      <w:r w:rsidR="00281943">
        <w:rPr>
          <w:rFonts w:eastAsia="Calibri" w:cs="Times New Roman"/>
        </w:rPr>
        <w:lastRenderedPageBreak/>
        <w:t>concepto inspirador;</w:t>
      </w:r>
      <w:r w:rsidRPr="00CA63D3">
        <w:rPr>
          <w:rFonts w:eastAsia="Calibri" w:cs="Times New Roman"/>
        </w:rPr>
        <w:t xml:space="preserve"> </w:t>
      </w:r>
      <w:r w:rsidR="00281943">
        <w:rPr>
          <w:rFonts w:eastAsia="Calibri" w:cs="Times New Roman"/>
        </w:rPr>
        <w:t>u</w:t>
      </w:r>
      <w:r w:rsidRPr="00CA63D3">
        <w:rPr>
          <w:rFonts w:eastAsia="Calibri" w:cs="Times New Roman"/>
        </w:rPr>
        <w:t>n concepto de país por ejemplo. En este punto se observa que aún las personas no asocian la marca “</w:t>
      </w:r>
      <w:r w:rsidR="00FE5E95">
        <w:rPr>
          <w:rFonts w:eastAsia="Calibri" w:cs="Times New Roman"/>
        </w:rPr>
        <w:t xml:space="preserve">Plan </w:t>
      </w:r>
      <w:r w:rsidRPr="00CA63D3">
        <w:rPr>
          <w:rFonts w:eastAsia="Calibri" w:cs="Times New Roman"/>
        </w:rPr>
        <w:t>Vive Digital” con el concepto “Prosperidad”.</w:t>
      </w:r>
      <w:r w:rsidR="00D00706">
        <w:rPr>
          <w:rFonts w:eastAsia="Calibri" w:cs="Times New Roman"/>
        </w:rPr>
        <w:t xml:space="preserve"> Efectiva </w:t>
      </w:r>
    </w:p>
    <w:p w:rsidR="008522ED" w:rsidRDefault="00FE5E95" w:rsidP="00CA63D3">
      <w:pPr>
        <w:rPr>
          <w:rFonts w:eastAsia="Calibri" w:cs="Times New Roman"/>
        </w:rPr>
      </w:pPr>
      <w:r w:rsidRPr="00CA63D3">
        <w:rPr>
          <w:rFonts w:eastAsia="Calibri" w:cs="Times New Roman"/>
        </w:rPr>
        <w:t>En resumen</w:t>
      </w:r>
      <w:r>
        <w:rPr>
          <w:rFonts w:eastAsia="Calibri" w:cs="Times New Roman"/>
        </w:rPr>
        <w:t>, l</w:t>
      </w:r>
      <w:r w:rsidR="00CA63D3" w:rsidRPr="00CA63D3">
        <w:rPr>
          <w:rFonts w:eastAsia="Calibri" w:cs="Times New Roman"/>
        </w:rPr>
        <w:t>a estrategia de comunicaciones de</w:t>
      </w:r>
      <w:r>
        <w:rPr>
          <w:rFonts w:eastAsia="Calibri" w:cs="Times New Roman"/>
        </w:rPr>
        <w:t>l MINTIC en cuanto a m</w:t>
      </w:r>
      <w:r w:rsidR="00CA63D3" w:rsidRPr="00CA63D3">
        <w:rPr>
          <w:rFonts w:eastAsia="Calibri" w:cs="Times New Roman"/>
        </w:rPr>
        <w:t>arcas ha sido altamente efectiva en el reconocimiento de las mismas en su propio sector, sus result</w:t>
      </w:r>
      <w:r>
        <w:rPr>
          <w:rFonts w:eastAsia="Calibri" w:cs="Times New Roman"/>
        </w:rPr>
        <w:t>ados operacionales y tácticos (i</w:t>
      </w:r>
      <w:r w:rsidR="00CA63D3" w:rsidRPr="00CA63D3">
        <w:rPr>
          <w:rFonts w:eastAsia="Calibri" w:cs="Times New Roman"/>
        </w:rPr>
        <w:t>mpactos en medios) son sobresalientes. Se sugiere consolidar y direccionar los conceptos de marca de “</w:t>
      </w:r>
      <w:r w:rsidR="00F57904">
        <w:rPr>
          <w:rFonts w:eastAsia="Calibri" w:cs="Times New Roman"/>
        </w:rPr>
        <w:t xml:space="preserve">Plan </w:t>
      </w:r>
      <w:r w:rsidR="00CA63D3" w:rsidRPr="00CA63D3">
        <w:rPr>
          <w:rFonts w:eastAsia="Calibri" w:cs="Times New Roman"/>
        </w:rPr>
        <w:t>Vive digital” y de “Ministerio Tics” para darle un “</w:t>
      </w:r>
      <w:r w:rsidR="00512E83">
        <w:rPr>
          <w:rFonts w:eastAsia="Calibri" w:cs="Times New Roman"/>
        </w:rPr>
        <w:t>para qué” más sólido a la</w:t>
      </w:r>
      <w:r w:rsidR="009C2B40">
        <w:rPr>
          <w:rFonts w:eastAsia="Calibri" w:cs="Times New Roman"/>
        </w:rPr>
        <w:t>s</w:t>
      </w:r>
      <w:r w:rsidR="00512E83">
        <w:rPr>
          <w:rFonts w:eastAsia="Calibri" w:cs="Times New Roman"/>
        </w:rPr>
        <w:t xml:space="preserve"> marca</w:t>
      </w:r>
      <w:r w:rsidR="009C2B40">
        <w:rPr>
          <w:rFonts w:eastAsia="Calibri" w:cs="Times New Roman"/>
        </w:rPr>
        <w:t>s.</w:t>
      </w:r>
    </w:p>
    <w:p w:rsidR="009C2B40" w:rsidRDefault="00BF6104" w:rsidP="009C2B40">
      <w:pPr>
        <w:pStyle w:val="T-Figura"/>
      </w:pPr>
      <w:r>
        <w:t>Cuadro</w:t>
      </w:r>
      <w:r w:rsidR="009C2B40">
        <w:t xml:space="preserve"> A4</w:t>
      </w:r>
      <w:r w:rsidR="009C2B40" w:rsidRPr="00F63BCD">
        <w:t>.</w:t>
      </w:r>
      <w:r w:rsidR="009C2B40">
        <w:t>2</w:t>
      </w:r>
      <w:r w:rsidR="009C2B40" w:rsidRPr="00F63BCD">
        <w:t xml:space="preserve"> – </w:t>
      </w:r>
      <w:r w:rsidR="00B74981">
        <w:t>Resultados de marca</w:t>
      </w:r>
    </w:p>
    <w:p w:rsidR="00FF2A2D" w:rsidRDefault="00FF2A2D" w:rsidP="009C2B40">
      <w:pPr>
        <w:pStyle w:val="T-Figura"/>
      </w:pPr>
      <w:r>
        <w:t>a. Plan Vive Digital</w:t>
      </w:r>
    </w:p>
    <w:tbl>
      <w:tblPr>
        <w:tblW w:w="5000" w:type="pct"/>
        <w:tblBorders>
          <w:top w:val="single" w:sz="4" w:space="0" w:color="BFBFBF" w:themeColor="background1" w:themeShade="BF"/>
          <w:bottom w:val="single" w:sz="4" w:space="0" w:color="BFBFBF" w:themeColor="background1" w:themeShade="BF"/>
          <w:insideH w:val="single" w:sz="4" w:space="0" w:color="BFBFBF" w:themeColor="background1" w:themeShade="BF"/>
        </w:tblBorders>
        <w:tblCellMar>
          <w:left w:w="70" w:type="dxa"/>
          <w:right w:w="70" w:type="dxa"/>
        </w:tblCellMar>
        <w:tblLook w:val="04A0"/>
      </w:tblPr>
      <w:tblGrid>
        <w:gridCol w:w="5173"/>
        <w:gridCol w:w="1830"/>
        <w:gridCol w:w="1975"/>
      </w:tblGrid>
      <w:tr w:rsidR="00185C9E" w:rsidRPr="00F57904" w:rsidTr="00DA2406">
        <w:trPr>
          <w:trHeight w:val="255"/>
        </w:trPr>
        <w:tc>
          <w:tcPr>
            <w:tcW w:w="2881" w:type="pct"/>
            <w:vMerge w:val="restart"/>
            <w:shd w:val="clear" w:color="auto" w:fill="BFBFBF" w:themeFill="background1" w:themeFillShade="BF"/>
            <w:vAlign w:val="center"/>
          </w:tcPr>
          <w:p w:rsidR="00185C9E" w:rsidRPr="00F57904" w:rsidRDefault="00185C9E" w:rsidP="00185C9E">
            <w:pPr>
              <w:spacing w:before="0" w:line="240" w:lineRule="auto"/>
              <w:jc w:val="center"/>
              <w:rPr>
                <w:rFonts w:ascii="Arial Narrow" w:eastAsia="Times New Roman" w:hAnsi="Arial Narrow" w:cs="Times New Roman"/>
                <w:b/>
                <w:bCs/>
                <w:color w:val="000000"/>
                <w:sz w:val="20"/>
                <w:szCs w:val="20"/>
                <w:lang w:val="es-CO" w:eastAsia="es-CO"/>
              </w:rPr>
            </w:pPr>
            <w:r w:rsidRPr="00F57904">
              <w:rPr>
                <w:rFonts w:ascii="Arial Narrow" w:eastAsia="Times New Roman" w:hAnsi="Arial Narrow" w:cs="Times New Roman"/>
                <w:b/>
                <w:color w:val="000000"/>
                <w:sz w:val="20"/>
                <w:szCs w:val="20"/>
                <w:lang w:val="es-CO" w:eastAsia="es-CO"/>
              </w:rPr>
              <w:t xml:space="preserve">¿Ha </w:t>
            </w:r>
            <w:r w:rsidRPr="00185C9E">
              <w:rPr>
                <w:rFonts w:ascii="Arial Narrow" w:eastAsia="Times New Roman" w:hAnsi="Arial Narrow" w:cs="Times New Roman"/>
                <w:b/>
                <w:color w:val="000000"/>
                <w:sz w:val="20"/>
                <w:szCs w:val="20"/>
                <w:lang w:val="es-CO" w:eastAsia="es-CO"/>
              </w:rPr>
              <w:t>oído</w:t>
            </w:r>
            <w:r w:rsidRPr="00F57904">
              <w:rPr>
                <w:rFonts w:ascii="Arial Narrow" w:eastAsia="Times New Roman" w:hAnsi="Arial Narrow" w:cs="Times New Roman"/>
                <w:b/>
                <w:color w:val="000000"/>
                <w:sz w:val="20"/>
                <w:szCs w:val="20"/>
                <w:lang w:val="es-CO" w:eastAsia="es-CO"/>
              </w:rPr>
              <w:t xml:space="preserve"> hablar del Plan Vive Digital?</w:t>
            </w:r>
          </w:p>
        </w:tc>
        <w:tc>
          <w:tcPr>
            <w:tcW w:w="1019" w:type="pct"/>
            <w:shd w:val="clear" w:color="auto" w:fill="BFBFBF" w:themeFill="background1" w:themeFillShade="BF"/>
            <w:noWrap/>
            <w:vAlign w:val="center"/>
            <w:hideMark/>
          </w:tcPr>
          <w:p w:rsidR="00185C9E" w:rsidRPr="00F57904" w:rsidRDefault="00185C9E" w:rsidP="00F57904">
            <w:pPr>
              <w:spacing w:before="0" w:line="240" w:lineRule="auto"/>
              <w:jc w:val="center"/>
              <w:rPr>
                <w:rFonts w:ascii="Arial Narrow" w:eastAsia="Times New Roman" w:hAnsi="Arial Narrow" w:cs="Times New Roman"/>
                <w:b/>
                <w:bCs/>
                <w:color w:val="000000"/>
                <w:sz w:val="20"/>
                <w:szCs w:val="20"/>
                <w:lang w:val="es-CO" w:eastAsia="es-CO"/>
              </w:rPr>
            </w:pPr>
            <w:r w:rsidRPr="00F57904">
              <w:rPr>
                <w:rFonts w:ascii="Arial Narrow" w:eastAsia="Times New Roman" w:hAnsi="Arial Narrow" w:cs="Times New Roman"/>
                <w:b/>
                <w:bCs/>
                <w:color w:val="000000"/>
                <w:sz w:val="20"/>
                <w:szCs w:val="20"/>
                <w:lang w:val="es-CO" w:eastAsia="es-CO"/>
              </w:rPr>
              <w:t>Si</w:t>
            </w:r>
          </w:p>
        </w:tc>
        <w:tc>
          <w:tcPr>
            <w:tcW w:w="1100" w:type="pct"/>
            <w:shd w:val="clear" w:color="auto" w:fill="BFBFBF" w:themeFill="background1" w:themeFillShade="BF"/>
            <w:noWrap/>
            <w:vAlign w:val="center"/>
            <w:hideMark/>
          </w:tcPr>
          <w:p w:rsidR="00185C9E" w:rsidRPr="00F57904" w:rsidRDefault="00185C9E" w:rsidP="00F57904">
            <w:pPr>
              <w:spacing w:before="0" w:line="240" w:lineRule="auto"/>
              <w:jc w:val="center"/>
              <w:rPr>
                <w:rFonts w:ascii="Arial Narrow" w:eastAsia="Times New Roman" w:hAnsi="Arial Narrow" w:cs="Times New Roman"/>
                <w:b/>
                <w:bCs/>
                <w:color w:val="000000"/>
                <w:sz w:val="20"/>
                <w:szCs w:val="20"/>
                <w:lang w:val="es-CO" w:eastAsia="es-CO"/>
              </w:rPr>
            </w:pPr>
            <w:r w:rsidRPr="00F57904">
              <w:rPr>
                <w:rFonts w:ascii="Arial Narrow" w:eastAsia="Times New Roman" w:hAnsi="Arial Narrow" w:cs="Times New Roman"/>
                <w:b/>
                <w:bCs/>
                <w:color w:val="000000"/>
                <w:sz w:val="20"/>
                <w:szCs w:val="20"/>
                <w:lang w:val="es-CO" w:eastAsia="es-CO"/>
              </w:rPr>
              <w:t>Número de respuestas</w:t>
            </w:r>
          </w:p>
        </w:tc>
      </w:tr>
      <w:tr w:rsidR="00185C9E" w:rsidRPr="00F57904" w:rsidTr="00DA2406">
        <w:trPr>
          <w:trHeight w:val="255"/>
        </w:trPr>
        <w:tc>
          <w:tcPr>
            <w:tcW w:w="2881" w:type="pct"/>
            <w:vMerge/>
            <w:shd w:val="clear" w:color="auto" w:fill="BFBFBF" w:themeFill="background1" w:themeFillShade="BF"/>
            <w:vAlign w:val="center"/>
            <w:hideMark/>
          </w:tcPr>
          <w:p w:rsidR="00185C9E" w:rsidRPr="00F57904" w:rsidRDefault="00185C9E" w:rsidP="00F57904">
            <w:pPr>
              <w:spacing w:before="0" w:line="240" w:lineRule="auto"/>
              <w:jc w:val="left"/>
              <w:rPr>
                <w:rFonts w:ascii="Arial Narrow" w:eastAsia="Times New Roman" w:hAnsi="Arial Narrow" w:cs="Times New Roman"/>
                <w:color w:val="000000"/>
                <w:sz w:val="20"/>
                <w:szCs w:val="20"/>
                <w:lang w:val="es-CO" w:eastAsia="es-CO"/>
              </w:rPr>
            </w:pPr>
          </w:p>
        </w:tc>
        <w:tc>
          <w:tcPr>
            <w:tcW w:w="1019" w:type="pct"/>
            <w:shd w:val="clear" w:color="auto" w:fill="auto"/>
            <w:noWrap/>
            <w:vAlign w:val="center"/>
            <w:hideMark/>
          </w:tcPr>
          <w:p w:rsidR="00185C9E" w:rsidRPr="00F57904" w:rsidRDefault="00185C9E" w:rsidP="00F57904">
            <w:pPr>
              <w:spacing w:before="0" w:line="240" w:lineRule="auto"/>
              <w:jc w:val="center"/>
              <w:rPr>
                <w:rFonts w:ascii="Arial Narrow" w:eastAsia="Times New Roman" w:hAnsi="Arial Narrow" w:cs="Times New Roman"/>
                <w:color w:val="000000"/>
                <w:sz w:val="20"/>
                <w:szCs w:val="20"/>
                <w:lang w:val="es-CO" w:eastAsia="es-CO"/>
              </w:rPr>
            </w:pPr>
            <w:r w:rsidRPr="00F57904">
              <w:rPr>
                <w:rFonts w:ascii="Arial Narrow" w:eastAsia="Times New Roman" w:hAnsi="Arial Narrow" w:cs="Times New Roman"/>
                <w:color w:val="000000"/>
                <w:sz w:val="20"/>
                <w:szCs w:val="20"/>
                <w:lang w:val="es-CO" w:eastAsia="es-CO"/>
              </w:rPr>
              <w:t>100%</w:t>
            </w:r>
          </w:p>
        </w:tc>
        <w:tc>
          <w:tcPr>
            <w:tcW w:w="1100" w:type="pct"/>
            <w:shd w:val="clear" w:color="auto" w:fill="auto"/>
            <w:noWrap/>
            <w:vAlign w:val="center"/>
            <w:hideMark/>
          </w:tcPr>
          <w:p w:rsidR="00185C9E" w:rsidRPr="00F57904" w:rsidRDefault="00185C9E" w:rsidP="00F57904">
            <w:pPr>
              <w:spacing w:before="0" w:line="240" w:lineRule="auto"/>
              <w:jc w:val="center"/>
              <w:rPr>
                <w:rFonts w:ascii="Arial Narrow" w:eastAsia="Times New Roman" w:hAnsi="Arial Narrow" w:cs="Times New Roman"/>
                <w:color w:val="000000"/>
                <w:sz w:val="20"/>
                <w:szCs w:val="20"/>
                <w:lang w:val="es-CO" w:eastAsia="es-CO"/>
              </w:rPr>
            </w:pPr>
            <w:r w:rsidRPr="00F57904">
              <w:rPr>
                <w:rFonts w:ascii="Arial Narrow" w:eastAsia="Times New Roman" w:hAnsi="Arial Narrow" w:cs="Times New Roman"/>
                <w:color w:val="000000"/>
                <w:sz w:val="20"/>
                <w:szCs w:val="20"/>
                <w:lang w:val="es-CO" w:eastAsia="es-CO"/>
              </w:rPr>
              <w:t>10</w:t>
            </w:r>
          </w:p>
        </w:tc>
      </w:tr>
    </w:tbl>
    <w:p w:rsidR="00FF2A2D" w:rsidRPr="00FF2A2D" w:rsidRDefault="00FF2A2D" w:rsidP="00FF2A2D">
      <w:pPr>
        <w:pStyle w:val="T-Figura"/>
      </w:pPr>
      <w:r>
        <w:t xml:space="preserve">b. </w:t>
      </w:r>
      <w:r w:rsidRPr="00FF2A2D">
        <w:t>MINTIC</w:t>
      </w:r>
    </w:p>
    <w:tbl>
      <w:tblPr>
        <w:tblW w:w="5000" w:type="pct"/>
        <w:tblBorders>
          <w:top w:val="single" w:sz="4" w:space="0" w:color="BFBFBF" w:themeColor="background1" w:themeShade="BF"/>
          <w:bottom w:val="single" w:sz="4" w:space="0" w:color="BFBFBF" w:themeColor="background1" w:themeShade="BF"/>
          <w:insideH w:val="single" w:sz="4" w:space="0" w:color="BFBFBF" w:themeColor="background1" w:themeShade="BF"/>
        </w:tblBorders>
        <w:tblCellMar>
          <w:left w:w="70" w:type="dxa"/>
          <w:right w:w="70" w:type="dxa"/>
        </w:tblCellMar>
        <w:tblLook w:val="04A0"/>
      </w:tblPr>
      <w:tblGrid>
        <w:gridCol w:w="5172"/>
        <w:gridCol w:w="1268"/>
        <w:gridCol w:w="1269"/>
        <w:gridCol w:w="1269"/>
      </w:tblGrid>
      <w:tr w:rsidR="00FF2A2D" w:rsidRPr="00F57904" w:rsidTr="00DA2406">
        <w:trPr>
          <w:trHeight w:val="255"/>
        </w:trPr>
        <w:tc>
          <w:tcPr>
            <w:tcW w:w="2880" w:type="pct"/>
            <w:vMerge w:val="restart"/>
            <w:shd w:val="clear" w:color="auto" w:fill="BFBFBF" w:themeFill="background1" w:themeFillShade="BF"/>
            <w:vAlign w:val="center"/>
            <w:hideMark/>
          </w:tcPr>
          <w:p w:rsidR="00FF2A2D" w:rsidRPr="00F57904" w:rsidRDefault="00FF2A2D" w:rsidP="00FF2A2D">
            <w:pPr>
              <w:spacing w:before="0" w:line="240" w:lineRule="auto"/>
              <w:jc w:val="center"/>
              <w:rPr>
                <w:rFonts w:ascii="Arial Narrow" w:eastAsia="Times New Roman" w:hAnsi="Arial Narrow" w:cs="Times New Roman"/>
                <w:b/>
                <w:bCs/>
                <w:color w:val="000000"/>
                <w:sz w:val="20"/>
                <w:szCs w:val="20"/>
                <w:lang w:val="es-CO" w:eastAsia="es-CO"/>
              </w:rPr>
            </w:pPr>
            <w:r w:rsidRPr="00F57904">
              <w:rPr>
                <w:rFonts w:ascii="Arial Narrow" w:eastAsia="Times New Roman" w:hAnsi="Arial Narrow" w:cs="Times New Roman"/>
                <w:b/>
                <w:color w:val="000000"/>
                <w:sz w:val="20"/>
                <w:szCs w:val="20"/>
                <w:lang w:eastAsia="es-CO"/>
              </w:rPr>
              <w:t>¿Cómo calificaría usted al MINTIC y sus labores en cuanto al desarrollo de una cultura tecnológica en el país?</w:t>
            </w:r>
          </w:p>
        </w:tc>
        <w:tc>
          <w:tcPr>
            <w:tcW w:w="706" w:type="pct"/>
            <w:shd w:val="clear" w:color="auto" w:fill="BFBFBF" w:themeFill="background1" w:themeFillShade="BF"/>
            <w:noWrap/>
            <w:vAlign w:val="center"/>
            <w:hideMark/>
          </w:tcPr>
          <w:p w:rsidR="00FF2A2D" w:rsidRPr="00F57904" w:rsidRDefault="00FF2A2D" w:rsidP="00F57904">
            <w:pPr>
              <w:spacing w:before="0" w:line="240" w:lineRule="auto"/>
              <w:jc w:val="center"/>
              <w:rPr>
                <w:rFonts w:ascii="Arial Narrow" w:eastAsia="Times New Roman" w:hAnsi="Arial Narrow" w:cs="Times New Roman"/>
                <w:b/>
                <w:bCs/>
                <w:color w:val="000000"/>
                <w:sz w:val="20"/>
                <w:szCs w:val="20"/>
                <w:lang w:val="es-CO" w:eastAsia="es-CO"/>
              </w:rPr>
            </w:pPr>
            <w:r w:rsidRPr="00F57904">
              <w:rPr>
                <w:rFonts w:ascii="Arial Narrow" w:eastAsia="Times New Roman" w:hAnsi="Arial Narrow" w:cs="Times New Roman"/>
                <w:b/>
                <w:bCs/>
                <w:color w:val="000000"/>
                <w:sz w:val="20"/>
                <w:szCs w:val="20"/>
                <w:lang w:val="es-CO" w:eastAsia="es-CO"/>
              </w:rPr>
              <w:t>Efectiva</w:t>
            </w:r>
          </w:p>
        </w:tc>
        <w:tc>
          <w:tcPr>
            <w:tcW w:w="707" w:type="pct"/>
            <w:shd w:val="clear" w:color="auto" w:fill="BFBFBF" w:themeFill="background1" w:themeFillShade="BF"/>
            <w:noWrap/>
            <w:vAlign w:val="center"/>
            <w:hideMark/>
          </w:tcPr>
          <w:p w:rsidR="00FF2A2D" w:rsidRPr="00F57904" w:rsidRDefault="00FF2A2D" w:rsidP="00F57904">
            <w:pPr>
              <w:spacing w:before="0" w:line="240" w:lineRule="auto"/>
              <w:jc w:val="center"/>
              <w:rPr>
                <w:rFonts w:ascii="Arial Narrow" w:eastAsia="Times New Roman" w:hAnsi="Arial Narrow" w:cs="Times New Roman"/>
                <w:b/>
                <w:bCs/>
                <w:color w:val="000000"/>
                <w:sz w:val="20"/>
                <w:szCs w:val="20"/>
                <w:lang w:val="es-CO" w:eastAsia="es-CO"/>
              </w:rPr>
            </w:pPr>
            <w:r w:rsidRPr="00F57904">
              <w:rPr>
                <w:rFonts w:ascii="Arial Narrow" w:eastAsia="Times New Roman" w:hAnsi="Arial Narrow" w:cs="Times New Roman"/>
                <w:b/>
                <w:bCs/>
                <w:color w:val="000000"/>
                <w:sz w:val="20"/>
                <w:szCs w:val="20"/>
                <w:lang w:val="es-CO" w:eastAsia="es-CO"/>
              </w:rPr>
              <w:t>No efectiva</w:t>
            </w:r>
          </w:p>
        </w:tc>
        <w:tc>
          <w:tcPr>
            <w:tcW w:w="707" w:type="pct"/>
            <w:shd w:val="clear" w:color="auto" w:fill="BFBFBF" w:themeFill="background1" w:themeFillShade="BF"/>
            <w:noWrap/>
            <w:vAlign w:val="center"/>
            <w:hideMark/>
          </w:tcPr>
          <w:p w:rsidR="00FF2A2D" w:rsidRPr="00F57904" w:rsidRDefault="00FF2A2D" w:rsidP="00F57904">
            <w:pPr>
              <w:spacing w:before="0" w:line="240" w:lineRule="auto"/>
              <w:jc w:val="center"/>
              <w:rPr>
                <w:rFonts w:ascii="Arial Narrow" w:eastAsia="Times New Roman" w:hAnsi="Arial Narrow" w:cs="Times New Roman"/>
                <w:b/>
                <w:bCs/>
                <w:color w:val="000000"/>
                <w:sz w:val="20"/>
                <w:szCs w:val="20"/>
                <w:lang w:val="es-CO" w:eastAsia="es-CO"/>
              </w:rPr>
            </w:pPr>
            <w:r w:rsidRPr="00F57904">
              <w:rPr>
                <w:rFonts w:ascii="Arial Narrow" w:eastAsia="Times New Roman" w:hAnsi="Arial Narrow" w:cs="Times New Roman"/>
                <w:b/>
                <w:bCs/>
                <w:color w:val="000000"/>
                <w:sz w:val="20"/>
                <w:szCs w:val="20"/>
                <w:lang w:val="es-CO" w:eastAsia="es-CO"/>
              </w:rPr>
              <w:t>Total</w:t>
            </w:r>
          </w:p>
        </w:tc>
      </w:tr>
      <w:tr w:rsidR="00FF2A2D" w:rsidRPr="00F57904" w:rsidTr="00DA2406">
        <w:trPr>
          <w:trHeight w:val="386"/>
        </w:trPr>
        <w:tc>
          <w:tcPr>
            <w:tcW w:w="2880" w:type="pct"/>
            <w:vMerge/>
            <w:shd w:val="clear" w:color="auto" w:fill="auto"/>
            <w:vAlign w:val="center"/>
            <w:hideMark/>
          </w:tcPr>
          <w:p w:rsidR="00FF2A2D" w:rsidRPr="00F57904" w:rsidRDefault="00FF2A2D" w:rsidP="00F57904">
            <w:pPr>
              <w:spacing w:before="0" w:line="240" w:lineRule="auto"/>
              <w:jc w:val="left"/>
              <w:rPr>
                <w:rFonts w:ascii="Arial Narrow" w:eastAsia="Times New Roman" w:hAnsi="Arial Narrow" w:cs="Times New Roman"/>
                <w:color w:val="000000"/>
                <w:sz w:val="20"/>
                <w:szCs w:val="20"/>
                <w:lang w:val="es-CO" w:eastAsia="es-CO"/>
              </w:rPr>
            </w:pPr>
          </w:p>
        </w:tc>
        <w:tc>
          <w:tcPr>
            <w:tcW w:w="706" w:type="pct"/>
            <w:shd w:val="clear" w:color="auto" w:fill="auto"/>
            <w:noWrap/>
            <w:vAlign w:val="center"/>
            <w:hideMark/>
          </w:tcPr>
          <w:p w:rsidR="00FF2A2D" w:rsidRPr="00F57904" w:rsidRDefault="00FF2A2D" w:rsidP="00F57904">
            <w:pPr>
              <w:spacing w:before="0" w:line="240" w:lineRule="auto"/>
              <w:jc w:val="center"/>
              <w:rPr>
                <w:rFonts w:ascii="Arial Narrow" w:eastAsia="Times New Roman" w:hAnsi="Arial Narrow" w:cs="Times New Roman"/>
                <w:color w:val="000000"/>
                <w:sz w:val="20"/>
                <w:szCs w:val="20"/>
                <w:lang w:val="es-CO" w:eastAsia="es-CO"/>
              </w:rPr>
            </w:pPr>
            <w:r w:rsidRPr="00F57904">
              <w:rPr>
                <w:rFonts w:ascii="Arial Narrow" w:eastAsia="Times New Roman" w:hAnsi="Arial Narrow" w:cs="Times New Roman"/>
                <w:color w:val="000000"/>
                <w:sz w:val="20"/>
                <w:szCs w:val="20"/>
                <w:lang w:val="es-CO" w:eastAsia="es-CO"/>
              </w:rPr>
              <w:t>8</w:t>
            </w:r>
          </w:p>
        </w:tc>
        <w:tc>
          <w:tcPr>
            <w:tcW w:w="707" w:type="pct"/>
            <w:shd w:val="clear" w:color="auto" w:fill="auto"/>
            <w:noWrap/>
            <w:vAlign w:val="center"/>
            <w:hideMark/>
          </w:tcPr>
          <w:p w:rsidR="00FF2A2D" w:rsidRPr="00F57904" w:rsidRDefault="00FF2A2D" w:rsidP="00F57904">
            <w:pPr>
              <w:spacing w:before="0" w:line="240" w:lineRule="auto"/>
              <w:jc w:val="center"/>
              <w:rPr>
                <w:rFonts w:ascii="Arial Narrow" w:eastAsia="Times New Roman" w:hAnsi="Arial Narrow" w:cs="Times New Roman"/>
                <w:color w:val="000000"/>
                <w:sz w:val="20"/>
                <w:szCs w:val="20"/>
                <w:lang w:val="es-CO" w:eastAsia="es-CO"/>
              </w:rPr>
            </w:pPr>
            <w:r w:rsidRPr="00F57904">
              <w:rPr>
                <w:rFonts w:ascii="Arial Narrow" w:eastAsia="Times New Roman" w:hAnsi="Arial Narrow" w:cs="Times New Roman"/>
                <w:color w:val="000000"/>
                <w:sz w:val="20"/>
                <w:szCs w:val="20"/>
                <w:lang w:val="es-CO" w:eastAsia="es-CO"/>
              </w:rPr>
              <w:t>1</w:t>
            </w:r>
          </w:p>
        </w:tc>
        <w:tc>
          <w:tcPr>
            <w:tcW w:w="707" w:type="pct"/>
            <w:shd w:val="clear" w:color="auto" w:fill="auto"/>
            <w:noWrap/>
            <w:vAlign w:val="center"/>
            <w:hideMark/>
          </w:tcPr>
          <w:p w:rsidR="00FF2A2D" w:rsidRPr="00F57904" w:rsidRDefault="00FF2A2D" w:rsidP="00F57904">
            <w:pPr>
              <w:spacing w:before="0" w:line="240" w:lineRule="auto"/>
              <w:jc w:val="center"/>
              <w:rPr>
                <w:rFonts w:ascii="Arial Narrow" w:eastAsia="Times New Roman" w:hAnsi="Arial Narrow" w:cs="Times New Roman"/>
                <w:color w:val="000000"/>
                <w:sz w:val="20"/>
                <w:szCs w:val="20"/>
                <w:lang w:val="es-CO" w:eastAsia="es-CO"/>
              </w:rPr>
            </w:pPr>
            <w:r w:rsidRPr="00F57904">
              <w:rPr>
                <w:rFonts w:ascii="Arial Narrow" w:eastAsia="Times New Roman" w:hAnsi="Arial Narrow" w:cs="Times New Roman"/>
                <w:color w:val="000000"/>
                <w:sz w:val="20"/>
                <w:szCs w:val="20"/>
                <w:lang w:val="es-CO" w:eastAsia="es-CO"/>
              </w:rPr>
              <w:t>9</w:t>
            </w:r>
          </w:p>
        </w:tc>
      </w:tr>
    </w:tbl>
    <w:p w:rsidR="00BA6691" w:rsidRDefault="00BA6691" w:rsidP="007169BF">
      <w:pPr>
        <w:pStyle w:val="T-Figura"/>
        <w:spacing w:before="0" w:after="0"/>
      </w:pPr>
    </w:p>
    <w:tbl>
      <w:tblPr>
        <w:tblW w:w="5000" w:type="pct"/>
        <w:tblBorders>
          <w:top w:val="single" w:sz="4" w:space="0" w:color="BFBFBF" w:themeColor="background1" w:themeShade="BF"/>
          <w:bottom w:val="single" w:sz="4" w:space="0" w:color="BFBFBF" w:themeColor="background1" w:themeShade="BF"/>
          <w:insideH w:val="single" w:sz="4" w:space="0" w:color="BFBFBF" w:themeColor="background1" w:themeShade="BF"/>
        </w:tblBorders>
        <w:tblCellMar>
          <w:left w:w="70" w:type="dxa"/>
          <w:right w:w="70" w:type="dxa"/>
        </w:tblCellMar>
        <w:tblLook w:val="04A0"/>
      </w:tblPr>
      <w:tblGrid>
        <w:gridCol w:w="5174"/>
        <w:gridCol w:w="1268"/>
        <w:gridCol w:w="1268"/>
        <w:gridCol w:w="1268"/>
      </w:tblGrid>
      <w:tr w:rsidR="007169BF" w:rsidRPr="00BA6691" w:rsidTr="00DA2406">
        <w:trPr>
          <w:trHeight w:val="255"/>
        </w:trPr>
        <w:tc>
          <w:tcPr>
            <w:tcW w:w="2881" w:type="pct"/>
            <w:vMerge w:val="restart"/>
            <w:shd w:val="clear" w:color="auto" w:fill="BFBFBF" w:themeFill="background1" w:themeFillShade="BF"/>
            <w:vAlign w:val="center"/>
            <w:hideMark/>
          </w:tcPr>
          <w:p w:rsidR="007169BF" w:rsidRPr="00BA6691" w:rsidRDefault="007169BF" w:rsidP="007169BF">
            <w:pPr>
              <w:spacing w:before="0" w:line="240" w:lineRule="auto"/>
              <w:jc w:val="left"/>
              <w:rPr>
                <w:rFonts w:ascii="Arial Narrow" w:eastAsia="Times New Roman" w:hAnsi="Arial Narrow" w:cs="Times New Roman"/>
                <w:b/>
                <w:bCs/>
                <w:color w:val="000000"/>
                <w:sz w:val="20"/>
                <w:szCs w:val="20"/>
                <w:lang w:val="es-CO" w:eastAsia="es-CO"/>
              </w:rPr>
            </w:pPr>
            <w:r w:rsidRPr="00BA6691">
              <w:rPr>
                <w:rFonts w:ascii="Arial Narrow" w:eastAsia="Times New Roman" w:hAnsi="Arial Narrow" w:cs="Times New Roman"/>
                <w:b/>
                <w:color w:val="000000"/>
                <w:sz w:val="20"/>
                <w:szCs w:val="20"/>
                <w:lang w:val="es-CO" w:eastAsia="es-CO"/>
              </w:rPr>
              <w:t>¿Cree usted que los ciudadanos</w:t>
            </w:r>
            <w:r>
              <w:rPr>
                <w:rFonts w:ascii="Arial Narrow" w:eastAsia="Times New Roman" w:hAnsi="Arial Narrow" w:cs="Times New Roman"/>
                <w:b/>
                <w:color w:val="000000"/>
                <w:sz w:val="20"/>
                <w:szCs w:val="20"/>
                <w:lang w:val="es-CO" w:eastAsia="es-CO"/>
              </w:rPr>
              <w:t xml:space="preserve"> colombianos identifican al MINTIC </w:t>
            </w:r>
            <w:r w:rsidRPr="00BA6691">
              <w:rPr>
                <w:rFonts w:ascii="Arial Narrow" w:eastAsia="Times New Roman" w:hAnsi="Arial Narrow" w:cs="Times New Roman"/>
                <w:b/>
                <w:color w:val="000000"/>
                <w:sz w:val="20"/>
                <w:szCs w:val="20"/>
                <w:lang w:val="es-CO" w:eastAsia="es-CO"/>
              </w:rPr>
              <w:t>como el origen del cambio tecnológico en el país?</w:t>
            </w:r>
          </w:p>
        </w:tc>
        <w:tc>
          <w:tcPr>
            <w:tcW w:w="706" w:type="pct"/>
            <w:shd w:val="clear" w:color="auto" w:fill="BFBFBF" w:themeFill="background1" w:themeFillShade="BF"/>
            <w:noWrap/>
            <w:vAlign w:val="center"/>
            <w:hideMark/>
          </w:tcPr>
          <w:p w:rsidR="007169BF" w:rsidRPr="00BA6691" w:rsidRDefault="007169BF" w:rsidP="00BA6691">
            <w:pPr>
              <w:spacing w:before="0" w:line="240" w:lineRule="auto"/>
              <w:jc w:val="center"/>
              <w:rPr>
                <w:rFonts w:ascii="Arial Narrow" w:eastAsia="Times New Roman" w:hAnsi="Arial Narrow" w:cs="Times New Roman"/>
                <w:b/>
                <w:bCs/>
                <w:color w:val="000000"/>
                <w:sz w:val="20"/>
                <w:szCs w:val="20"/>
                <w:lang w:val="es-CO" w:eastAsia="es-CO"/>
              </w:rPr>
            </w:pPr>
            <w:r>
              <w:rPr>
                <w:rFonts w:ascii="Arial Narrow" w:eastAsia="Times New Roman" w:hAnsi="Arial Narrow" w:cs="Times New Roman"/>
                <w:b/>
                <w:bCs/>
                <w:color w:val="000000"/>
                <w:sz w:val="20"/>
                <w:szCs w:val="20"/>
                <w:lang w:val="es-CO" w:eastAsia="es-CO"/>
              </w:rPr>
              <w:t>Si</w:t>
            </w:r>
          </w:p>
        </w:tc>
        <w:tc>
          <w:tcPr>
            <w:tcW w:w="706" w:type="pct"/>
            <w:shd w:val="clear" w:color="auto" w:fill="BFBFBF" w:themeFill="background1" w:themeFillShade="BF"/>
            <w:noWrap/>
            <w:vAlign w:val="center"/>
          </w:tcPr>
          <w:p w:rsidR="007169BF" w:rsidRPr="00BA6691" w:rsidRDefault="007169BF" w:rsidP="00BA6691">
            <w:pPr>
              <w:spacing w:before="0" w:line="240" w:lineRule="auto"/>
              <w:jc w:val="center"/>
              <w:rPr>
                <w:rFonts w:ascii="Arial Narrow" w:eastAsia="Times New Roman" w:hAnsi="Arial Narrow" w:cs="Times New Roman"/>
                <w:b/>
                <w:bCs/>
                <w:color w:val="000000"/>
                <w:sz w:val="20"/>
                <w:szCs w:val="20"/>
                <w:lang w:val="es-CO" w:eastAsia="es-CO"/>
              </w:rPr>
            </w:pPr>
            <w:r>
              <w:rPr>
                <w:rFonts w:ascii="Arial Narrow" w:eastAsia="Times New Roman" w:hAnsi="Arial Narrow" w:cs="Times New Roman"/>
                <w:b/>
                <w:bCs/>
                <w:color w:val="000000"/>
                <w:sz w:val="20"/>
                <w:szCs w:val="20"/>
                <w:lang w:val="es-CO" w:eastAsia="es-CO"/>
              </w:rPr>
              <w:t>No</w:t>
            </w:r>
          </w:p>
        </w:tc>
        <w:tc>
          <w:tcPr>
            <w:tcW w:w="706" w:type="pct"/>
            <w:shd w:val="clear" w:color="auto" w:fill="BFBFBF" w:themeFill="background1" w:themeFillShade="BF"/>
            <w:noWrap/>
            <w:vAlign w:val="center"/>
            <w:hideMark/>
          </w:tcPr>
          <w:p w:rsidR="007169BF" w:rsidRPr="00BA6691" w:rsidRDefault="007169BF" w:rsidP="00BA6691">
            <w:pPr>
              <w:spacing w:before="0" w:line="240" w:lineRule="auto"/>
              <w:jc w:val="center"/>
              <w:rPr>
                <w:rFonts w:ascii="Arial Narrow" w:eastAsia="Times New Roman" w:hAnsi="Arial Narrow" w:cs="Times New Roman"/>
                <w:b/>
                <w:bCs/>
                <w:color w:val="000000"/>
                <w:sz w:val="20"/>
                <w:szCs w:val="20"/>
                <w:lang w:val="es-CO" w:eastAsia="es-CO"/>
              </w:rPr>
            </w:pPr>
            <w:r w:rsidRPr="00BA6691">
              <w:rPr>
                <w:rFonts w:ascii="Arial Narrow" w:eastAsia="Times New Roman" w:hAnsi="Arial Narrow" w:cs="Times New Roman"/>
                <w:b/>
                <w:bCs/>
                <w:color w:val="000000"/>
                <w:sz w:val="20"/>
                <w:szCs w:val="20"/>
                <w:lang w:val="es-CO" w:eastAsia="es-CO"/>
              </w:rPr>
              <w:t>Total</w:t>
            </w:r>
          </w:p>
        </w:tc>
      </w:tr>
      <w:tr w:rsidR="007169BF" w:rsidRPr="00BA6691" w:rsidTr="00DA2406">
        <w:trPr>
          <w:trHeight w:val="510"/>
        </w:trPr>
        <w:tc>
          <w:tcPr>
            <w:tcW w:w="2881" w:type="pct"/>
            <w:vMerge/>
            <w:shd w:val="clear" w:color="auto" w:fill="BFBFBF" w:themeFill="background1" w:themeFillShade="BF"/>
            <w:vAlign w:val="center"/>
            <w:hideMark/>
          </w:tcPr>
          <w:p w:rsidR="007169BF" w:rsidRPr="00BA6691" w:rsidRDefault="007169BF" w:rsidP="00BA6691">
            <w:pPr>
              <w:spacing w:before="0" w:line="240" w:lineRule="auto"/>
              <w:jc w:val="left"/>
              <w:rPr>
                <w:rFonts w:ascii="Arial Narrow" w:eastAsia="Times New Roman" w:hAnsi="Arial Narrow" w:cs="Times New Roman"/>
                <w:color w:val="000000"/>
                <w:sz w:val="20"/>
                <w:szCs w:val="20"/>
                <w:lang w:val="es-CO" w:eastAsia="es-CO"/>
              </w:rPr>
            </w:pPr>
          </w:p>
        </w:tc>
        <w:tc>
          <w:tcPr>
            <w:tcW w:w="706" w:type="pct"/>
            <w:shd w:val="clear" w:color="auto" w:fill="auto"/>
            <w:noWrap/>
            <w:vAlign w:val="center"/>
            <w:hideMark/>
          </w:tcPr>
          <w:p w:rsidR="007169BF" w:rsidRPr="00BA6691" w:rsidRDefault="00476175" w:rsidP="00BA6691">
            <w:pPr>
              <w:spacing w:before="0" w:line="240" w:lineRule="auto"/>
              <w:jc w:val="center"/>
              <w:rPr>
                <w:rFonts w:ascii="Arial Narrow" w:eastAsia="Times New Roman" w:hAnsi="Arial Narrow" w:cs="Times New Roman"/>
                <w:color w:val="000000"/>
                <w:sz w:val="20"/>
                <w:szCs w:val="20"/>
                <w:lang w:val="es-CO" w:eastAsia="es-CO"/>
              </w:rPr>
            </w:pPr>
            <w:r>
              <w:rPr>
                <w:rFonts w:ascii="Arial Narrow" w:eastAsia="Times New Roman" w:hAnsi="Arial Narrow" w:cs="Times New Roman"/>
                <w:color w:val="000000"/>
                <w:sz w:val="20"/>
                <w:szCs w:val="20"/>
                <w:lang w:val="es-CO" w:eastAsia="es-CO"/>
              </w:rPr>
              <w:t>5</w:t>
            </w:r>
          </w:p>
        </w:tc>
        <w:tc>
          <w:tcPr>
            <w:tcW w:w="706" w:type="pct"/>
            <w:shd w:val="clear" w:color="auto" w:fill="auto"/>
            <w:noWrap/>
            <w:vAlign w:val="center"/>
          </w:tcPr>
          <w:p w:rsidR="007169BF" w:rsidRPr="00BA6691" w:rsidRDefault="00476175" w:rsidP="00BA6691">
            <w:pPr>
              <w:spacing w:before="0" w:line="240" w:lineRule="auto"/>
              <w:jc w:val="center"/>
              <w:rPr>
                <w:rFonts w:ascii="Arial Narrow" w:eastAsia="Times New Roman" w:hAnsi="Arial Narrow" w:cs="Times New Roman"/>
                <w:color w:val="000000"/>
                <w:sz w:val="20"/>
                <w:szCs w:val="20"/>
                <w:lang w:val="es-CO" w:eastAsia="es-CO"/>
              </w:rPr>
            </w:pPr>
            <w:r>
              <w:rPr>
                <w:rFonts w:ascii="Arial Narrow" w:eastAsia="Times New Roman" w:hAnsi="Arial Narrow" w:cs="Times New Roman"/>
                <w:color w:val="000000"/>
                <w:sz w:val="20"/>
                <w:szCs w:val="20"/>
                <w:lang w:val="es-CO" w:eastAsia="es-CO"/>
              </w:rPr>
              <w:t>4</w:t>
            </w:r>
          </w:p>
        </w:tc>
        <w:tc>
          <w:tcPr>
            <w:tcW w:w="706" w:type="pct"/>
            <w:shd w:val="clear" w:color="auto" w:fill="auto"/>
            <w:noWrap/>
            <w:vAlign w:val="center"/>
            <w:hideMark/>
          </w:tcPr>
          <w:p w:rsidR="007169BF" w:rsidRPr="00BA6691" w:rsidRDefault="007169BF" w:rsidP="00BA6691">
            <w:pPr>
              <w:spacing w:before="0" w:line="240" w:lineRule="auto"/>
              <w:jc w:val="center"/>
              <w:rPr>
                <w:rFonts w:ascii="Arial Narrow" w:eastAsia="Times New Roman" w:hAnsi="Arial Narrow" w:cs="Times New Roman"/>
                <w:color w:val="000000"/>
                <w:sz w:val="20"/>
                <w:szCs w:val="20"/>
                <w:lang w:val="es-CO" w:eastAsia="es-CO"/>
              </w:rPr>
            </w:pPr>
            <w:r w:rsidRPr="00BA6691">
              <w:rPr>
                <w:rFonts w:ascii="Arial Narrow" w:eastAsia="Times New Roman" w:hAnsi="Arial Narrow" w:cs="Times New Roman"/>
                <w:color w:val="000000"/>
                <w:sz w:val="20"/>
                <w:szCs w:val="20"/>
                <w:lang w:val="es-CO" w:eastAsia="es-CO"/>
              </w:rPr>
              <w:t>9</w:t>
            </w:r>
          </w:p>
        </w:tc>
      </w:tr>
    </w:tbl>
    <w:p w:rsidR="00102675" w:rsidRDefault="00102675" w:rsidP="00B90596">
      <w:pPr>
        <w:jc w:val="center"/>
        <w:rPr>
          <w:rFonts w:ascii="Century Gothic" w:eastAsia="Calibri" w:hAnsi="Century Gothic" w:cs="Arial"/>
          <w:color w:val="404040" w:themeColor="text1" w:themeTint="BF"/>
          <w:sz w:val="18"/>
          <w:szCs w:val="18"/>
        </w:rPr>
      </w:pPr>
      <w:r w:rsidRPr="008523DB">
        <w:rPr>
          <w:rFonts w:ascii="Century Gothic" w:eastAsia="Calibri" w:hAnsi="Century Gothic" w:cs="Arial"/>
          <w:color w:val="404040" w:themeColor="text1" w:themeTint="BF"/>
          <w:sz w:val="18"/>
          <w:szCs w:val="18"/>
        </w:rPr>
        <w:t>Fuente: Elaboración propia</w:t>
      </w:r>
      <w:r>
        <w:rPr>
          <w:rFonts w:ascii="Century Gothic" w:eastAsia="Calibri" w:hAnsi="Century Gothic" w:cs="Arial"/>
          <w:color w:val="404040" w:themeColor="text1" w:themeTint="BF"/>
          <w:sz w:val="18"/>
          <w:szCs w:val="18"/>
        </w:rPr>
        <w:t xml:space="preserve"> con base en entrevistas realizadas.</w:t>
      </w:r>
    </w:p>
    <w:p w:rsidR="005B386D" w:rsidRDefault="005B386D" w:rsidP="005B386D">
      <w:pPr>
        <w:spacing w:before="0"/>
        <w:jc w:val="center"/>
        <w:rPr>
          <w:rFonts w:ascii="Century Gothic" w:eastAsia="Calibri" w:hAnsi="Century Gothic" w:cs="Arial"/>
          <w:color w:val="404040" w:themeColor="text1" w:themeTint="BF"/>
          <w:sz w:val="18"/>
          <w:szCs w:val="18"/>
        </w:rPr>
      </w:pPr>
      <w:r>
        <w:rPr>
          <w:rFonts w:ascii="Century Gothic" w:eastAsia="Calibri" w:hAnsi="Century Gothic" w:cs="Arial"/>
          <w:color w:val="404040" w:themeColor="text1" w:themeTint="BF"/>
          <w:sz w:val="18"/>
          <w:szCs w:val="18"/>
        </w:rPr>
        <w:t xml:space="preserve">Nota: Como se mencionó y se observa en el cuadro A4.1, hubo un total de 10 encuestados. </w:t>
      </w:r>
      <w:r w:rsidR="008A6F35">
        <w:rPr>
          <w:rFonts w:ascii="Century Gothic" w:eastAsia="Calibri" w:hAnsi="Century Gothic" w:cs="Arial"/>
          <w:color w:val="404040" w:themeColor="text1" w:themeTint="BF"/>
          <w:sz w:val="18"/>
          <w:szCs w:val="18"/>
        </w:rPr>
        <w:t>En adelante, la</w:t>
      </w:r>
      <w:r>
        <w:rPr>
          <w:rFonts w:ascii="Century Gothic" w:eastAsia="Calibri" w:hAnsi="Century Gothic" w:cs="Arial"/>
          <w:color w:val="404040" w:themeColor="text1" w:themeTint="BF"/>
          <w:sz w:val="18"/>
          <w:szCs w:val="18"/>
        </w:rPr>
        <w:t xml:space="preserve">s preguntas para las que se presente un total menor a diez (10) </w:t>
      </w:r>
      <w:r w:rsidR="008A6F35">
        <w:rPr>
          <w:rFonts w:ascii="Century Gothic" w:eastAsia="Calibri" w:hAnsi="Century Gothic" w:cs="Arial"/>
          <w:color w:val="404040" w:themeColor="text1" w:themeTint="BF"/>
          <w:sz w:val="18"/>
          <w:szCs w:val="18"/>
        </w:rPr>
        <w:t>se explica por la falta de respuesta de alguno de los entrevistados.</w:t>
      </w:r>
    </w:p>
    <w:p w:rsidR="00E23385" w:rsidRPr="006333B3" w:rsidRDefault="006333B3" w:rsidP="006333B3">
      <w:pPr>
        <w:spacing w:after="240"/>
        <w:rPr>
          <w:rFonts w:eastAsia="Calibri" w:cs="Times New Roman"/>
        </w:rPr>
      </w:pPr>
      <w:r w:rsidRPr="006333B3">
        <w:rPr>
          <w:rFonts w:eastAsia="Calibri" w:cs="Times New Roman"/>
        </w:rPr>
        <w:t xml:space="preserve">Frente a la </w:t>
      </w:r>
      <w:r w:rsidRPr="0070457D">
        <w:rPr>
          <w:rFonts w:eastAsia="Calibri" w:cs="Times New Roman"/>
        </w:rPr>
        <w:t>pregunta</w:t>
      </w:r>
      <w:r w:rsidR="00CD0259">
        <w:rPr>
          <w:rFonts w:eastAsia="Calibri" w:cs="Times New Roman"/>
        </w:rPr>
        <w:t>:</w:t>
      </w:r>
      <w:r w:rsidRPr="0070457D">
        <w:rPr>
          <w:rFonts w:eastAsia="Calibri" w:cs="Times New Roman"/>
        </w:rPr>
        <w:t xml:space="preserve"> ¿Cómo calificaría usted al MINTIC y sus labores en cuanto al desarrollo de una cultura tecnológica en el país?</w:t>
      </w:r>
      <w:r>
        <w:rPr>
          <w:rFonts w:eastAsia="Calibri" w:cs="Times New Roman"/>
          <w:i/>
        </w:rPr>
        <w:t xml:space="preserve"> </w:t>
      </w:r>
      <w:r w:rsidR="00E23385" w:rsidRPr="006333B3">
        <w:rPr>
          <w:rFonts w:eastAsia="Calibri" w:cs="Times New Roman"/>
        </w:rPr>
        <w:t>los entrevistados</w:t>
      </w:r>
      <w:r>
        <w:rPr>
          <w:rFonts w:eastAsia="Calibri" w:cs="Times New Roman"/>
        </w:rPr>
        <w:t>, en general,</w:t>
      </w:r>
      <w:r w:rsidR="00E23385" w:rsidRPr="006333B3">
        <w:rPr>
          <w:rFonts w:eastAsia="Calibri" w:cs="Times New Roman"/>
        </w:rPr>
        <w:t xml:space="preserve"> señalaron las labores del ministerio como </w:t>
      </w:r>
      <w:r>
        <w:rPr>
          <w:rFonts w:eastAsia="Calibri" w:cs="Times New Roman"/>
        </w:rPr>
        <w:t>altamente efectivas</w:t>
      </w:r>
      <w:r w:rsidR="00E23385" w:rsidRPr="006333B3">
        <w:rPr>
          <w:rFonts w:eastAsia="Calibri" w:cs="Times New Roman"/>
        </w:rPr>
        <w:t>.</w:t>
      </w:r>
      <w:r w:rsidR="0070457D">
        <w:rPr>
          <w:rFonts w:eastAsia="Calibri" w:cs="Times New Roman"/>
        </w:rPr>
        <w:t xml:space="preserve"> Según</w:t>
      </w:r>
      <w:r w:rsidR="00FC5D7E">
        <w:rPr>
          <w:rFonts w:eastAsia="Calibri" w:cs="Times New Roman"/>
        </w:rPr>
        <w:t xml:space="preserve"> uno de los entrevistados</w:t>
      </w:r>
      <w:r w:rsidR="00E23385" w:rsidRPr="006333B3">
        <w:rPr>
          <w:rFonts w:eastAsia="Calibri" w:cs="Times New Roman"/>
        </w:rPr>
        <w:t xml:space="preserve"> las actividades del </w:t>
      </w:r>
      <w:r w:rsidR="00FC5D7E">
        <w:rPr>
          <w:rFonts w:eastAsia="Calibri" w:cs="Times New Roman"/>
        </w:rPr>
        <w:t>MINTIC</w:t>
      </w:r>
      <w:r w:rsidR="00E23385" w:rsidRPr="006333B3">
        <w:rPr>
          <w:rFonts w:eastAsia="Calibri" w:cs="Times New Roman"/>
        </w:rPr>
        <w:t xml:space="preserve"> le han permitido dar un sa</w:t>
      </w:r>
      <w:r w:rsidR="0070457D">
        <w:rPr>
          <w:rFonts w:eastAsia="Calibri" w:cs="Times New Roman"/>
        </w:rPr>
        <w:t>lto tecnológico “impresionante”</w:t>
      </w:r>
      <w:r w:rsidR="00E23385" w:rsidRPr="006333B3">
        <w:rPr>
          <w:rFonts w:eastAsia="Calibri" w:cs="Times New Roman"/>
        </w:rPr>
        <w:t xml:space="preserve"> al paí</w:t>
      </w:r>
      <w:r w:rsidR="0070457D">
        <w:rPr>
          <w:rFonts w:eastAsia="Calibri" w:cs="Times New Roman"/>
        </w:rPr>
        <w:t xml:space="preserve">s en los últimos 3 años: </w:t>
      </w:r>
      <w:r w:rsidR="0070457D" w:rsidRPr="0070457D">
        <w:rPr>
          <w:rFonts w:eastAsia="Calibri" w:cs="Times New Roman"/>
          <w:i/>
        </w:rPr>
        <w:t>“</w:t>
      </w:r>
      <w:r w:rsidR="00E23385" w:rsidRPr="0070457D">
        <w:rPr>
          <w:rFonts w:eastAsia="Calibri" w:cs="Times New Roman"/>
          <w:i/>
        </w:rPr>
        <w:t>El resultado salta a la vista basta ver el consumo de telefonía móvil y de internet en los hogares para ver que la gente ha apropiado</w:t>
      </w:r>
      <w:r w:rsidR="0070457D" w:rsidRPr="0070457D">
        <w:rPr>
          <w:rFonts w:eastAsia="Calibri" w:cs="Times New Roman"/>
          <w:i/>
        </w:rPr>
        <w:t xml:space="preserve"> el cambio”</w:t>
      </w:r>
      <w:r w:rsidR="006875C3" w:rsidRPr="00BA4631">
        <w:rPr>
          <w:rFonts w:eastAsia="Calibri" w:cs="Times New Roman"/>
        </w:rPr>
        <w:t>,</w:t>
      </w:r>
      <w:r w:rsidR="006875C3" w:rsidRPr="006875C3">
        <w:rPr>
          <w:rFonts w:eastAsia="Calibri" w:cs="Times New Roman"/>
        </w:rPr>
        <w:t xml:space="preserve"> s</w:t>
      </w:r>
      <w:r w:rsidR="00E23385" w:rsidRPr="006333B3">
        <w:rPr>
          <w:rFonts w:eastAsia="Calibri" w:cs="Times New Roman"/>
        </w:rPr>
        <w:t xml:space="preserve">in embargo señala que el cambio requiere mucho más tiempo para que </w:t>
      </w:r>
      <w:r w:rsidR="006875C3">
        <w:rPr>
          <w:rFonts w:eastAsia="Calibri" w:cs="Times New Roman"/>
        </w:rPr>
        <w:t>l</w:t>
      </w:r>
      <w:r w:rsidR="00E23385" w:rsidRPr="006333B3">
        <w:rPr>
          <w:rFonts w:eastAsia="Calibri" w:cs="Times New Roman"/>
        </w:rPr>
        <w:t xml:space="preserve">legue a toda la ciudadanía, </w:t>
      </w:r>
      <w:r w:rsidR="006875C3" w:rsidRPr="006333B3">
        <w:rPr>
          <w:rFonts w:eastAsia="Calibri" w:cs="Times New Roman"/>
        </w:rPr>
        <w:t>por el tiempo que requieren las p</w:t>
      </w:r>
      <w:r w:rsidR="006875C3">
        <w:rPr>
          <w:rFonts w:eastAsia="Calibri" w:cs="Times New Roman"/>
        </w:rPr>
        <w:t>ersonas para apropiar el cambio más que por temas de divulgación.</w:t>
      </w:r>
      <w:r w:rsidR="00BF6104">
        <w:rPr>
          <w:rFonts w:eastAsia="Calibri" w:cs="Times New Roman"/>
        </w:rPr>
        <w:t>(ver cuadro</w:t>
      </w:r>
      <w:r w:rsidR="00CD0259">
        <w:rPr>
          <w:rFonts w:eastAsia="Calibri" w:cs="Times New Roman"/>
        </w:rPr>
        <w:t xml:space="preserve"> A4.2</w:t>
      </w:r>
      <w:r w:rsidR="00BF6104">
        <w:rPr>
          <w:rFonts w:eastAsia="Calibri" w:cs="Times New Roman"/>
        </w:rPr>
        <w:t>)</w:t>
      </w:r>
    </w:p>
    <w:p w:rsidR="00E23385" w:rsidRPr="006333B3" w:rsidRDefault="00E23385" w:rsidP="006333B3">
      <w:pPr>
        <w:spacing w:after="240"/>
        <w:rPr>
          <w:rFonts w:eastAsia="Calibri" w:cs="Times New Roman"/>
        </w:rPr>
      </w:pPr>
      <w:r w:rsidRPr="006333B3">
        <w:rPr>
          <w:rFonts w:eastAsia="Calibri" w:cs="Times New Roman"/>
        </w:rPr>
        <w:t>De otro lado</w:t>
      </w:r>
      <w:r w:rsidR="00CD0259">
        <w:rPr>
          <w:rFonts w:eastAsia="Calibri" w:cs="Times New Roman"/>
        </w:rPr>
        <w:t>,</w:t>
      </w:r>
      <w:r w:rsidRPr="006333B3">
        <w:rPr>
          <w:rFonts w:eastAsia="Calibri" w:cs="Times New Roman"/>
        </w:rPr>
        <w:t xml:space="preserve"> algunos de los entrevistaros señalaron que en las regiones falta una política más clara de uso porque el enfoque ha sido </w:t>
      </w:r>
      <w:r w:rsidR="00CD0259">
        <w:rPr>
          <w:rFonts w:eastAsia="Calibri" w:cs="Times New Roman"/>
        </w:rPr>
        <w:t>más</w:t>
      </w:r>
      <w:r w:rsidRPr="006333B3">
        <w:rPr>
          <w:rFonts w:eastAsia="Calibri" w:cs="Times New Roman"/>
        </w:rPr>
        <w:t xml:space="preserve"> instrumental, “l</w:t>
      </w:r>
      <w:r w:rsidR="00CD0259">
        <w:rPr>
          <w:rFonts w:eastAsia="Calibri" w:cs="Times New Roman"/>
        </w:rPr>
        <w:t xml:space="preserve">a tecnología por la tecnología”, </w:t>
      </w:r>
      <w:r w:rsidRPr="006333B3">
        <w:rPr>
          <w:rFonts w:eastAsia="Calibri" w:cs="Times New Roman"/>
        </w:rPr>
        <w:t>sin un enfoque de uso para el país.</w:t>
      </w:r>
    </w:p>
    <w:p w:rsidR="00E23385" w:rsidRPr="006333B3" w:rsidRDefault="00CD0259" w:rsidP="006333B3">
      <w:pPr>
        <w:spacing w:after="240"/>
        <w:rPr>
          <w:rFonts w:eastAsia="Calibri" w:cs="Times New Roman"/>
        </w:rPr>
      </w:pPr>
      <w:r>
        <w:rPr>
          <w:rFonts w:eastAsia="Calibri" w:cs="Times New Roman"/>
        </w:rPr>
        <w:lastRenderedPageBreak/>
        <w:t xml:space="preserve">Ahora bien, ante la pregunta: </w:t>
      </w:r>
      <w:r w:rsidR="00E23385" w:rsidRPr="006333B3">
        <w:rPr>
          <w:rFonts w:eastAsia="Calibri" w:cs="Times New Roman"/>
        </w:rPr>
        <w:t xml:space="preserve">¿Cree usted que los ciudadanos colombianos identifican al </w:t>
      </w:r>
      <w:r>
        <w:rPr>
          <w:rFonts w:eastAsia="Calibri" w:cs="Times New Roman"/>
        </w:rPr>
        <w:t>MINTIC</w:t>
      </w:r>
      <w:r w:rsidR="00E23385" w:rsidRPr="006333B3">
        <w:rPr>
          <w:rFonts w:eastAsia="Calibri" w:cs="Times New Roman"/>
        </w:rPr>
        <w:t xml:space="preserve"> como el origen del cambio tecnológico en el país?</w:t>
      </w:r>
      <w:r>
        <w:rPr>
          <w:rFonts w:eastAsia="Calibri" w:cs="Times New Roman"/>
        </w:rPr>
        <w:t xml:space="preserve">, </w:t>
      </w:r>
      <w:r w:rsidR="009B0EA0">
        <w:rPr>
          <w:rFonts w:eastAsia="Calibri" w:cs="Times New Roman"/>
        </w:rPr>
        <w:t xml:space="preserve">varios de </w:t>
      </w:r>
      <w:r w:rsidR="00E23385" w:rsidRPr="006333B3">
        <w:rPr>
          <w:rFonts w:eastAsia="Calibri" w:cs="Times New Roman"/>
        </w:rPr>
        <w:t>los entrevistados señala</w:t>
      </w:r>
      <w:r w:rsidR="009B0EA0">
        <w:rPr>
          <w:rFonts w:eastAsia="Calibri" w:cs="Times New Roman"/>
        </w:rPr>
        <w:t>n que n</w:t>
      </w:r>
      <w:r w:rsidR="00E23385" w:rsidRPr="006333B3">
        <w:rPr>
          <w:rFonts w:eastAsia="Calibri" w:cs="Times New Roman"/>
        </w:rPr>
        <w:t>o, básicamente por las siguientes razones:</w:t>
      </w:r>
    </w:p>
    <w:p w:rsidR="00E23385" w:rsidRPr="006333B3" w:rsidRDefault="00E23385" w:rsidP="00613C5C">
      <w:pPr>
        <w:pStyle w:val="Prrafodelista"/>
        <w:numPr>
          <w:ilvl w:val="0"/>
          <w:numId w:val="49"/>
        </w:numPr>
        <w:spacing w:after="240"/>
        <w:ind w:left="714" w:hanging="357"/>
        <w:contextualSpacing w:val="0"/>
        <w:rPr>
          <w:rFonts w:eastAsia="Calibri" w:cs="Times New Roman"/>
        </w:rPr>
      </w:pPr>
      <w:r w:rsidRPr="006333B3">
        <w:rPr>
          <w:rFonts w:eastAsia="Calibri" w:cs="Times New Roman"/>
        </w:rPr>
        <w:t>En las regiones el acc</w:t>
      </w:r>
      <w:r w:rsidR="009F3CB5">
        <w:rPr>
          <w:rFonts w:eastAsia="Calibri" w:cs="Times New Roman"/>
        </w:rPr>
        <w:t>eso a internet es limitado y la entrega de dispositivos</w:t>
      </w:r>
      <w:r w:rsidRPr="006333B3">
        <w:rPr>
          <w:rFonts w:eastAsia="Calibri" w:cs="Times New Roman"/>
        </w:rPr>
        <w:t xml:space="preserve"> l</w:t>
      </w:r>
      <w:r w:rsidR="009F3CB5">
        <w:rPr>
          <w:rFonts w:eastAsia="Calibri" w:cs="Times New Roman"/>
        </w:rPr>
        <w:t>a</w:t>
      </w:r>
      <w:r w:rsidRPr="006333B3">
        <w:rPr>
          <w:rFonts w:eastAsia="Calibri" w:cs="Times New Roman"/>
        </w:rPr>
        <w:t xml:space="preserve"> asocian </w:t>
      </w:r>
      <w:r w:rsidR="009F3CB5">
        <w:rPr>
          <w:rFonts w:eastAsia="Calibri" w:cs="Times New Roman"/>
        </w:rPr>
        <w:t>con</w:t>
      </w:r>
      <w:r w:rsidRPr="006333B3">
        <w:rPr>
          <w:rFonts w:eastAsia="Calibri" w:cs="Times New Roman"/>
        </w:rPr>
        <w:t xml:space="preserve"> a una institución que regala aparatos.</w:t>
      </w:r>
    </w:p>
    <w:p w:rsidR="00E23385" w:rsidRPr="006333B3" w:rsidRDefault="00E23385" w:rsidP="00613C5C">
      <w:pPr>
        <w:pStyle w:val="Prrafodelista"/>
        <w:numPr>
          <w:ilvl w:val="0"/>
          <w:numId w:val="49"/>
        </w:numPr>
        <w:spacing w:after="240"/>
        <w:ind w:left="714" w:hanging="357"/>
        <w:contextualSpacing w:val="0"/>
        <w:rPr>
          <w:rFonts w:eastAsia="Calibri" w:cs="Times New Roman"/>
        </w:rPr>
      </w:pPr>
      <w:r w:rsidRPr="006333B3">
        <w:rPr>
          <w:rFonts w:eastAsia="Calibri" w:cs="Times New Roman"/>
        </w:rPr>
        <w:t xml:space="preserve">Falta una política clara en las regiones para entender el </w:t>
      </w:r>
      <w:r w:rsidR="00DA2406">
        <w:rPr>
          <w:rFonts w:eastAsia="Calibri" w:cs="Times New Roman"/>
        </w:rPr>
        <w:t>“</w:t>
      </w:r>
      <w:r w:rsidRPr="006333B3">
        <w:rPr>
          <w:rFonts w:eastAsia="Calibri" w:cs="Times New Roman"/>
        </w:rPr>
        <w:t>para qué</w:t>
      </w:r>
      <w:r w:rsidR="00DA2406">
        <w:rPr>
          <w:rFonts w:eastAsia="Calibri" w:cs="Times New Roman"/>
        </w:rPr>
        <w:t>”</w:t>
      </w:r>
      <w:r w:rsidRPr="006333B3">
        <w:rPr>
          <w:rFonts w:eastAsia="Calibri" w:cs="Times New Roman"/>
        </w:rPr>
        <w:t xml:space="preserve"> de la tecnología.</w:t>
      </w:r>
    </w:p>
    <w:p w:rsidR="00E23385" w:rsidRPr="006333B3" w:rsidRDefault="00E23385" w:rsidP="00613C5C">
      <w:pPr>
        <w:pStyle w:val="Prrafodelista"/>
        <w:numPr>
          <w:ilvl w:val="0"/>
          <w:numId w:val="49"/>
        </w:numPr>
        <w:spacing w:after="240"/>
        <w:ind w:left="714" w:hanging="357"/>
        <w:contextualSpacing w:val="0"/>
        <w:rPr>
          <w:rFonts w:eastAsia="Calibri" w:cs="Times New Roman"/>
        </w:rPr>
      </w:pPr>
      <w:r w:rsidRPr="006333B3">
        <w:rPr>
          <w:rFonts w:eastAsia="Calibri" w:cs="Times New Roman"/>
        </w:rPr>
        <w:t>Lo identifican más como una actividad de la presidencia de la república a lo sumo.</w:t>
      </w:r>
    </w:p>
    <w:p w:rsidR="00776FE8" w:rsidRDefault="00776FE8" w:rsidP="00776FE8">
      <w:pPr>
        <w:spacing w:after="240"/>
        <w:rPr>
          <w:rFonts w:ascii="Century Gothic" w:hAnsi="Century Gothic" w:cs="Arial"/>
          <w:color w:val="404040" w:themeColor="text1" w:themeTint="BF"/>
        </w:rPr>
      </w:pPr>
      <w:r>
        <w:rPr>
          <w:rFonts w:ascii="Century Gothic" w:hAnsi="Century Gothic" w:cs="Arial"/>
          <w:color w:val="404040" w:themeColor="text1" w:themeTint="BF"/>
        </w:rPr>
        <w:t>b</w:t>
      </w:r>
      <w:r w:rsidRPr="00776FE8">
        <w:rPr>
          <w:rFonts w:ascii="Century Gothic" w:hAnsi="Century Gothic" w:cs="Arial"/>
          <w:color w:val="404040" w:themeColor="text1" w:themeTint="BF"/>
        </w:rPr>
        <w:t xml:space="preserve">. </w:t>
      </w:r>
      <w:r>
        <w:rPr>
          <w:rFonts w:ascii="Century Gothic" w:hAnsi="Century Gothic" w:cs="Arial"/>
          <w:color w:val="404040" w:themeColor="text1" w:themeTint="BF"/>
        </w:rPr>
        <w:t>Elementos estratégicos</w:t>
      </w:r>
    </w:p>
    <w:p w:rsidR="00776FE8" w:rsidRPr="00BA4631" w:rsidRDefault="00BA4631" w:rsidP="00776FE8">
      <w:pPr>
        <w:spacing w:after="240"/>
        <w:rPr>
          <w:rFonts w:eastAsia="Calibri" w:cs="Times New Roman"/>
        </w:rPr>
      </w:pPr>
      <w:r w:rsidRPr="00BA4631">
        <w:rPr>
          <w:rFonts w:eastAsia="Calibri" w:cs="Times New Roman"/>
        </w:rPr>
        <w:t>Una de</w:t>
      </w:r>
      <w:r>
        <w:rPr>
          <w:rFonts w:eastAsia="Calibri" w:cs="Times New Roman"/>
        </w:rPr>
        <w:t xml:space="preserve"> las preguntas en este componente fue: </w:t>
      </w:r>
      <w:r w:rsidRPr="00BA4631">
        <w:rPr>
          <w:rFonts w:eastAsia="Calibri" w:cs="Times New Roman"/>
        </w:rPr>
        <w:t>¿Cree usted que en los últimos 3 años (2011 – 2013) la tecnología se ha convertido en un elemento relevante de uso y consumo para los colombianos</w:t>
      </w:r>
      <w:proofErr w:type="gramStart"/>
      <w:r w:rsidRPr="00BA4631">
        <w:rPr>
          <w:rFonts w:eastAsia="Calibri" w:cs="Times New Roman"/>
        </w:rPr>
        <w:t>?</w:t>
      </w:r>
      <w:r w:rsidR="00AA28FC">
        <w:rPr>
          <w:rFonts w:eastAsia="Calibri" w:cs="Times New Roman"/>
        </w:rPr>
        <w:t>.</w:t>
      </w:r>
      <w:proofErr w:type="gramEnd"/>
      <w:r w:rsidR="00AA28FC">
        <w:rPr>
          <w:rFonts w:eastAsia="Calibri" w:cs="Times New Roman"/>
        </w:rPr>
        <w:t xml:space="preserve"> Del univers</w:t>
      </w:r>
      <w:r w:rsidR="00B36477">
        <w:rPr>
          <w:rFonts w:eastAsia="Calibri" w:cs="Times New Roman"/>
        </w:rPr>
        <w:t xml:space="preserve">o de entrevistados respondieron a esta pregunta cinco de ellos, quienes estuvieron de acuerdo </w:t>
      </w:r>
      <w:r w:rsidR="00D52CFC">
        <w:rPr>
          <w:rFonts w:eastAsia="Calibri" w:cs="Times New Roman"/>
        </w:rPr>
        <w:t>en que, efectivamente</w:t>
      </w:r>
      <w:r w:rsidR="004C617A">
        <w:rPr>
          <w:rFonts w:eastAsia="Calibri" w:cs="Times New Roman"/>
        </w:rPr>
        <w:t>,</w:t>
      </w:r>
      <w:r w:rsidR="00D52CFC">
        <w:rPr>
          <w:rFonts w:eastAsia="Calibri" w:cs="Times New Roman"/>
        </w:rPr>
        <w:t xml:space="preserve"> la tecnología se </w:t>
      </w:r>
      <w:r w:rsidR="00D52CFC" w:rsidRPr="00BA4631">
        <w:rPr>
          <w:rFonts w:eastAsia="Calibri" w:cs="Times New Roman"/>
        </w:rPr>
        <w:t>ha convertido en un elemento relevante de uso y consumo</w:t>
      </w:r>
      <w:r w:rsidR="00624C73">
        <w:rPr>
          <w:rFonts w:eastAsia="Calibri" w:cs="Times New Roman"/>
        </w:rPr>
        <w:t xml:space="preserve"> en el país. </w:t>
      </w:r>
      <w:r w:rsidR="00677B64">
        <w:rPr>
          <w:rFonts w:eastAsia="Calibri" w:cs="Times New Roman"/>
        </w:rPr>
        <w:t>El cuadro A4.3 resume los resultados:</w:t>
      </w:r>
    </w:p>
    <w:p w:rsidR="004C617A" w:rsidRDefault="004C617A" w:rsidP="004C617A">
      <w:pPr>
        <w:pStyle w:val="T-Figura"/>
      </w:pPr>
      <w:r>
        <w:t>Cuadro A4</w:t>
      </w:r>
      <w:r w:rsidRPr="00F63BCD">
        <w:t>.</w:t>
      </w:r>
      <w:r>
        <w:t>3</w:t>
      </w:r>
      <w:r w:rsidRPr="00F63BCD">
        <w:t xml:space="preserve"> – </w:t>
      </w:r>
      <w:r>
        <w:t xml:space="preserve">Resultados de </w:t>
      </w:r>
      <w:r w:rsidR="00AB3450">
        <w:t>elementos estratégicos</w:t>
      </w:r>
    </w:p>
    <w:tbl>
      <w:tblPr>
        <w:tblW w:w="5000" w:type="pct"/>
        <w:tblBorders>
          <w:top w:val="single" w:sz="4" w:space="0" w:color="BFBFBF" w:themeColor="background1" w:themeShade="BF"/>
          <w:bottom w:val="single" w:sz="4" w:space="0" w:color="BFBFBF" w:themeColor="background1" w:themeShade="BF"/>
          <w:insideH w:val="single" w:sz="4" w:space="0" w:color="BFBFBF" w:themeColor="background1" w:themeShade="BF"/>
        </w:tblBorders>
        <w:tblCellMar>
          <w:left w:w="70" w:type="dxa"/>
          <w:right w:w="70" w:type="dxa"/>
        </w:tblCellMar>
        <w:tblLook w:val="04A0"/>
      </w:tblPr>
      <w:tblGrid>
        <w:gridCol w:w="5173"/>
        <w:gridCol w:w="1830"/>
        <w:gridCol w:w="1975"/>
      </w:tblGrid>
      <w:tr w:rsidR="004C617A" w:rsidRPr="00F57904" w:rsidTr="004C617A">
        <w:trPr>
          <w:trHeight w:val="255"/>
        </w:trPr>
        <w:tc>
          <w:tcPr>
            <w:tcW w:w="2881" w:type="pct"/>
            <w:vMerge w:val="restart"/>
            <w:shd w:val="clear" w:color="auto" w:fill="BFBFBF" w:themeFill="background1" w:themeFillShade="BF"/>
            <w:vAlign w:val="center"/>
          </w:tcPr>
          <w:p w:rsidR="004C617A" w:rsidRPr="00F57904" w:rsidRDefault="004C617A" w:rsidP="00C9178B">
            <w:pPr>
              <w:spacing w:before="0" w:line="240" w:lineRule="auto"/>
              <w:jc w:val="center"/>
              <w:rPr>
                <w:rFonts w:ascii="Arial Narrow" w:eastAsia="Times New Roman" w:hAnsi="Arial Narrow" w:cs="Times New Roman"/>
                <w:b/>
                <w:bCs/>
                <w:color w:val="000000"/>
                <w:sz w:val="20"/>
                <w:szCs w:val="20"/>
                <w:lang w:val="es-CO" w:eastAsia="es-CO"/>
              </w:rPr>
            </w:pPr>
            <w:r w:rsidRPr="00F57904">
              <w:rPr>
                <w:rFonts w:ascii="Arial Narrow" w:eastAsia="Times New Roman" w:hAnsi="Arial Narrow" w:cs="Times New Roman"/>
                <w:b/>
                <w:color w:val="000000"/>
                <w:sz w:val="20"/>
                <w:szCs w:val="20"/>
                <w:lang w:val="es-CO" w:eastAsia="es-CO"/>
              </w:rPr>
              <w:t>¿</w:t>
            </w:r>
            <w:r w:rsidRPr="004C617A">
              <w:rPr>
                <w:rFonts w:ascii="Arial Narrow" w:eastAsia="Times New Roman" w:hAnsi="Arial Narrow" w:cs="Times New Roman"/>
                <w:b/>
                <w:color w:val="000000"/>
                <w:sz w:val="20"/>
                <w:szCs w:val="20"/>
                <w:lang w:val="es-CO" w:eastAsia="es-CO"/>
              </w:rPr>
              <w:t>Cree usted que en los últimos 3 años (2011 – 2013) la tecnología se ha convertido en un elemento relevante de uso y consumo para los colombianos</w:t>
            </w:r>
            <w:r w:rsidRPr="00F57904">
              <w:rPr>
                <w:rFonts w:ascii="Arial Narrow" w:eastAsia="Times New Roman" w:hAnsi="Arial Narrow" w:cs="Times New Roman"/>
                <w:b/>
                <w:color w:val="000000"/>
                <w:sz w:val="20"/>
                <w:szCs w:val="20"/>
                <w:lang w:val="es-CO" w:eastAsia="es-CO"/>
              </w:rPr>
              <w:t>?</w:t>
            </w:r>
          </w:p>
        </w:tc>
        <w:tc>
          <w:tcPr>
            <w:tcW w:w="1019" w:type="pct"/>
            <w:shd w:val="clear" w:color="auto" w:fill="BFBFBF" w:themeFill="background1" w:themeFillShade="BF"/>
            <w:noWrap/>
            <w:vAlign w:val="center"/>
            <w:hideMark/>
          </w:tcPr>
          <w:p w:rsidR="004C617A" w:rsidRPr="00F57904" w:rsidRDefault="004C617A" w:rsidP="00C9178B">
            <w:pPr>
              <w:spacing w:before="0" w:line="240" w:lineRule="auto"/>
              <w:jc w:val="center"/>
              <w:rPr>
                <w:rFonts w:ascii="Arial Narrow" w:eastAsia="Times New Roman" w:hAnsi="Arial Narrow" w:cs="Times New Roman"/>
                <w:b/>
                <w:bCs/>
                <w:color w:val="000000"/>
                <w:sz w:val="20"/>
                <w:szCs w:val="20"/>
                <w:lang w:val="es-CO" w:eastAsia="es-CO"/>
              </w:rPr>
            </w:pPr>
            <w:r>
              <w:rPr>
                <w:rFonts w:ascii="Arial Narrow" w:eastAsia="Times New Roman" w:hAnsi="Arial Narrow" w:cs="Times New Roman"/>
                <w:b/>
                <w:bCs/>
                <w:color w:val="000000"/>
                <w:sz w:val="20"/>
                <w:szCs w:val="20"/>
                <w:lang w:val="es-CO" w:eastAsia="es-CO"/>
              </w:rPr>
              <w:t>Mucho</w:t>
            </w:r>
          </w:p>
        </w:tc>
        <w:tc>
          <w:tcPr>
            <w:tcW w:w="1100" w:type="pct"/>
            <w:shd w:val="clear" w:color="auto" w:fill="BFBFBF" w:themeFill="background1" w:themeFillShade="BF"/>
            <w:noWrap/>
            <w:vAlign w:val="center"/>
            <w:hideMark/>
          </w:tcPr>
          <w:p w:rsidR="004C617A" w:rsidRPr="00F57904" w:rsidRDefault="004C617A" w:rsidP="00C9178B">
            <w:pPr>
              <w:spacing w:before="0" w:line="240" w:lineRule="auto"/>
              <w:jc w:val="center"/>
              <w:rPr>
                <w:rFonts w:ascii="Arial Narrow" w:eastAsia="Times New Roman" w:hAnsi="Arial Narrow" w:cs="Times New Roman"/>
                <w:b/>
                <w:bCs/>
                <w:color w:val="000000"/>
                <w:sz w:val="20"/>
                <w:szCs w:val="20"/>
                <w:lang w:val="es-CO" w:eastAsia="es-CO"/>
              </w:rPr>
            </w:pPr>
            <w:r w:rsidRPr="00F57904">
              <w:rPr>
                <w:rFonts w:ascii="Arial Narrow" w:eastAsia="Times New Roman" w:hAnsi="Arial Narrow" w:cs="Times New Roman"/>
                <w:b/>
                <w:bCs/>
                <w:color w:val="000000"/>
                <w:sz w:val="20"/>
                <w:szCs w:val="20"/>
                <w:lang w:val="es-CO" w:eastAsia="es-CO"/>
              </w:rPr>
              <w:t>Número de respuestas</w:t>
            </w:r>
          </w:p>
        </w:tc>
      </w:tr>
      <w:tr w:rsidR="004C617A" w:rsidRPr="00F57904" w:rsidTr="004C617A">
        <w:trPr>
          <w:trHeight w:val="652"/>
        </w:trPr>
        <w:tc>
          <w:tcPr>
            <w:tcW w:w="2881" w:type="pct"/>
            <w:vMerge/>
            <w:shd w:val="clear" w:color="auto" w:fill="BFBFBF" w:themeFill="background1" w:themeFillShade="BF"/>
            <w:vAlign w:val="center"/>
            <w:hideMark/>
          </w:tcPr>
          <w:p w:rsidR="004C617A" w:rsidRPr="00F57904" w:rsidRDefault="004C617A" w:rsidP="00C9178B">
            <w:pPr>
              <w:spacing w:before="0" w:line="240" w:lineRule="auto"/>
              <w:jc w:val="left"/>
              <w:rPr>
                <w:rFonts w:ascii="Arial Narrow" w:eastAsia="Times New Roman" w:hAnsi="Arial Narrow" w:cs="Times New Roman"/>
                <w:color w:val="000000"/>
                <w:sz w:val="20"/>
                <w:szCs w:val="20"/>
                <w:lang w:val="es-CO" w:eastAsia="es-CO"/>
              </w:rPr>
            </w:pPr>
          </w:p>
        </w:tc>
        <w:tc>
          <w:tcPr>
            <w:tcW w:w="1019" w:type="pct"/>
            <w:shd w:val="clear" w:color="auto" w:fill="auto"/>
            <w:noWrap/>
            <w:vAlign w:val="center"/>
            <w:hideMark/>
          </w:tcPr>
          <w:p w:rsidR="004C617A" w:rsidRPr="00F57904" w:rsidRDefault="004C617A" w:rsidP="00C9178B">
            <w:pPr>
              <w:spacing w:before="0" w:line="240" w:lineRule="auto"/>
              <w:jc w:val="center"/>
              <w:rPr>
                <w:rFonts w:ascii="Arial Narrow" w:eastAsia="Times New Roman" w:hAnsi="Arial Narrow" w:cs="Times New Roman"/>
                <w:color w:val="000000"/>
                <w:sz w:val="20"/>
                <w:szCs w:val="20"/>
                <w:lang w:val="es-CO" w:eastAsia="es-CO"/>
              </w:rPr>
            </w:pPr>
            <w:r w:rsidRPr="00F57904">
              <w:rPr>
                <w:rFonts w:ascii="Arial Narrow" w:eastAsia="Times New Roman" w:hAnsi="Arial Narrow" w:cs="Times New Roman"/>
                <w:color w:val="000000"/>
                <w:sz w:val="20"/>
                <w:szCs w:val="20"/>
                <w:lang w:val="es-CO" w:eastAsia="es-CO"/>
              </w:rPr>
              <w:t>100%</w:t>
            </w:r>
          </w:p>
        </w:tc>
        <w:tc>
          <w:tcPr>
            <w:tcW w:w="1100" w:type="pct"/>
            <w:shd w:val="clear" w:color="auto" w:fill="auto"/>
            <w:noWrap/>
            <w:vAlign w:val="center"/>
            <w:hideMark/>
          </w:tcPr>
          <w:p w:rsidR="004C617A" w:rsidRPr="00F57904" w:rsidRDefault="004C617A" w:rsidP="00C9178B">
            <w:pPr>
              <w:spacing w:before="0" w:line="240" w:lineRule="auto"/>
              <w:jc w:val="center"/>
              <w:rPr>
                <w:rFonts w:ascii="Arial Narrow" w:eastAsia="Times New Roman" w:hAnsi="Arial Narrow" w:cs="Times New Roman"/>
                <w:color w:val="000000"/>
                <w:sz w:val="20"/>
                <w:szCs w:val="20"/>
                <w:lang w:val="es-CO" w:eastAsia="es-CO"/>
              </w:rPr>
            </w:pPr>
            <w:r>
              <w:rPr>
                <w:rFonts w:ascii="Arial Narrow" w:eastAsia="Times New Roman" w:hAnsi="Arial Narrow" w:cs="Times New Roman"/>
                <w:color w:val="000000"/>
                <w:sz w:val="20"/>
                <w:szCs w:val="20"/>
                <w:lang w:val="es-CO" w:eastAsia="es-CO"/>
              </w:rPr>
              <w:t>5</w:t>
            </w:r>
          </w:p>
        </w:tc>
      </w:tr>
    </w:tbl>
    <w:p w:rsidR="00677B64" w:rsidRDefault="00677B64" w:rsidP="00677B64">
      <w:pPr>
        <w:jc w:val="center"/>
        <w:rPr>
          <w:rFonts w:ascii="Century Gothic" w:eastAsia="Calibri" w:hAnsi="Century Gothic" w:cs="Arial"/>
          <w:color w:val="404040" w:themeColor="text1" w:themeTint="BF"/>
          <w:sz w:val="18"/>
          <w:szCs w:val="18"/>
        </w:rPr>
      </w:pPr>
      <w:r w:rsidRPr="008523DB">
        <w:rPr>
          <w:rFonts w:ascii="Century Gothic" w:eastAsia="Calibri" w:hAnsi="Century Gothic" w:cs="Arial"/>
          <w:color w:val="404040" w:themeColor="text1" w:themeTint="BF"/>
          <w:sz w:val="18"/>
          <w:szCs w:val="18"/>
        </w:rPr>
        <w:t>Fuente: Elaboración propia</w:t>
      </w:r>
      <w:r>
        <w:rPr>
          <w:rFonts w:ascii="Century Gothic" w:eastAsia="Calibri" w:hAnsi="Century Gothic" w:cs="Arial"/>
          <w:color w:val="404040" w:themeColor="text1" w:themeTint="BF"/>
          <w:sz w:val="18"/>
          <w:szCs w:val="18"/>
        </w:rPr>
        <w:t xml:space="preserve"> con base en entrevistas realizadas.</w:t>
      </w:r>
    </w:p>
    <w:p w:rsidR="00A34623" w:rsidRPr="001007D3" w:rsidRDefault="001007D3" w:rsidP="001007D3">
      <w:pPr>
        <w:spacing w:after="240"/>
        <w:rPr>
          <w:rFonts w:eastAsia="Times New Roman"/>
          <w:lang w:val="es-CO" w:eastAsia="es-ES"/>
        </w:rPr>
      </w:pPr>
      <w:r>
        <w:rPr>
          <w:rFonts w:eastAsia="Times New Roman"/>
          <w:lang w:val="es-CO" w:eastAsia="es-ES"/>
        </w:rPr>
        <w:t xml:space="preserve">La apropiación se evalúa desde diferentes ámbitos; para verla desde la perspectiva del Estado (entidades y funcionarios) se preguntó inicialmente: ¿Cree </w:t>
      </w:r>
      <w:r w:rsidRPr="004F026F">
        <w:rPr>
          <w:rFonts w:eastAsia="Times New Roman"/>
          <w:lang w:val="es-CO" w:eastAsia="es-ES"/>
        </w:rPr>
        <w:t xml:space="preserve">usted que en los últimos 3 años los servidores públicos han apropiado la cultura digital que promueve el </w:t>
      </w:r>
      <w:r>
        <w:rPr>
          <w:rFonts w:eastAsia="Times New Roman"/>
          <w:lang w:val="es-CO" w:eastAsia="es-ES"/>
        </w:rPr>
        <w:t>MINTIC</w:t>
      </w:r>
      <w:r w:rsidRPr="004F026F">
        <w:rPr>
          <w:rFonts w:eastAsia="Times New Roman"/>
          <w:lang w:val="es-CO" w:eastAsia="es-ES"/>
        </w:rPr>
        <w:t>?</w:t>
      </w:r>
      <w:r w:rsidR="00C92F4B">
        <w:rPr>
          <w:rFonts w:eastAsia="Calibri" w:cs="Times New Roman"/>
        </w:rPr>
        <w:t xml:space="preserve"> </w:t>
      </w:r>
    </w:p>
    <w:p w:rsidR="00677B64" w:rsidRPr="00677B64" w:rsidRDefault="0085606D" w:rsidP="001007D3">
      <w:pPr>
        <w:spacing w:after="240"/>
        <w:rPr>
          <w:rFonts w:eastAsia="Calibri" w:cs="Times New Roman"/>
        </w:rPr>
      </w:pPr>
      <w:r>
        <w:rPr>
          <w:rFonts w:eastAsia="Calibri" w:cs="Times New Roman"/>
        </w:rPr>
        <w:t>Ade</w:t>
      </w:r>
      <w:r w:rsidR="00677B64" w:rsidRPr="00677B64">
        <w:rPr>
          <w:rFonts w:eastAsia="Calibri" w:cs="Times New Roman"/>
        </w:rPr>
        <w:t>más del cambio generacional que esta apropiación requiere</w:t>
      </w:r>
      <w:r w:rsidR="00D81578">
        <w:rPr>
          <w:rFonts w:eastAsia="Calibri" w:cs="Times New Roman"/>
        </w:rPr>
        <w:t>,</w:t>
      </w:r>
      <w:r w:rsidR="00677B64" w:rsidRPr="00677B64">
        <w:rPr>
          <w:rFonts w:eastAsia="Calibri" w:cs="Times New Roman"/>
        </w:rPr>
        <w:t xml:space="preserve"> los entrevistados señalaron que hay barreras, especialmente en las oficinas jurídicas de las entidades y en las oficinas de sistemas que aún no se visualizan como actores del mejoramiento del servicio al ciudadano. </w:t>
      </w:r>
    </w:p>
    <w:p w:rsidR="00677B64" w:rsidRPr="00677B64" w:rsidRDefault="00677B64" w:rsidP="001007D3">
      <w:pPr>
        <w:spacing w:after="240"/>
        <w:rPr>
          <w:rFonts w:eastAsia="Calibri" w:cs="Times New Roman"/>
        </w:rPr>
      </w:pPr>
      <w:r w:rsidRPr="00677B64">
        <w:rPr>
          <w:rFonts w:eastAsia="Calibri" w:cs="Times New Roman"/>
        </w:rPr>
        <w:lastRenderedPageBreak/>
        <w:t>Es común incluso encontrar áreas y dependencias de sistemas que le prohíben a las oficinas de comunicación el uso de herramientas y canales tecnológicos, bloqueando el acceso a medios y a redes sociales.</w:t>
      </w:r>
    </w:p>
    <w:p w:rsidR="00677B64" w:rsidRPr="00677B64" w:rsidRDefault="00677B64" w:rsidP="001007D3">
      <w:pPr>
        <w:spacing w:after="240"/>
        <w:rPr>
          <w:rFonts w:eastAsia="Calibri" w:cs="Times New Roman"/>
        </w:rPr>
      </w:pPr>
      <w:r w:rsidRPr="00677B64">
        <w:rPr>
          <w:rFonts w:eastAsia="Calibri" w:cs="Times New Roman"/>
        </w:rPr>
        <w:t>En este sentido  es clave que la oficina de comunicaciones vea a los equipos de sistemas de los entes estatales como un actor a involucrar dentro de este nuevo concepto de la tecnología como actor del servicio al ciudadano. Allí pueden llegar a jugar conceptos tan relevantes como la misma legitimidad del estado en donde la comunicación del estado con el ciudadano estará mediada por la tecnología con un enfoque de servicio.</w:t>
      </w:r>
    </w:p>
    <w:p w:rsidR="001007D3" w:rsidRDefault="001007D3" w:rsidP="001007D3">
      <w:pPr>
        <w:spacing w:after="240"/>
        <w:rPr>
          <w:rFonts w:eastAsia="Times New Roman"/>
          <w:lang w:val="es-CO" w:eastAsia="es-ES"/>
        </w:rPr>
      </w:pPr>
      <w:r>
        <w:rPr>
          <w:rFonts w:eastAsia="Times New Roman"/>
          <w:lang w:val="es-CO" w:eastAsia="es-ES"/>
        </w:rPr>
        <w:t xml:space="preserve">Ahora bien, sobre las entidades se indagó: </w:t>
      </w:r>
      <w:r w:rsidRPr="003B008D">
        <w:rPr>
          <w:rFonts w:eastAsia="Times New Roman"/>
          <w:lang w:val="es-CO" w:eastAsia="es-ES"/>
        </w:rPr>
        <w:t>¿Considera usted que el Estado ha logrado apropiar recursos tecnológicos para ofrecer un mejor servicio al ciudadano</w:t>
      </w:r>
      <w:proofErr w:type="gramStart"/>
      <w:r w:rsidRPr="003B008D">
        <w:rPr>
          <w:rFonts w:eastAsia="Times New Roman"/>
          <w:lang w:val="es-CO" w:eastAsia="es-ES"/>
        </w:rPr>
        <w:t>?</w:t>
      </w:r>
      <w:r>
        <w:rPr>
          <w:rFonts w:eastAsia="Times New Roman"/>
          <w:lang w:val="es-CO" w:eastAsia="es-ES"/>
        </w:rPr>
        <w:t>.</w:t>
      </w:r>
      <w:proofErr w:type="gramEnd"/>
      <w:r>
        <w:rPr>
          <w:rFonts w:eastAsia="Times New Roman"/>
          <w:lang w:val="es-CO" w:eastAsia="es-ES"/>
        </w:rPr>
        <w:t xml:space="preserve"> Ante esto, cinco (5) del universo de entrevistados respondió en general</w:t>
      </w:r>
      <w:r w:rsidRPr="004F026F">
        <w:rPr>
          <w:rFonts w:eastAsia="Times New Roman"/>
          <w:lang w:val="es-CO" w:eastAsia="es-ES"/>
        </w:rPr>
        <w:t xml:space="preserve"> que el nivel central sí, con adelanto en trámites muy como los de la DIAN pero que en las regiones </w:t>
      </w:r>
      <w:r>
        <w:rPr>
          <w:rFonts w:eastAsia="Times New Roman"/>
          <w:lang w:val="es-CO" w:eastAsia="es-ES"/>
        </w:rPr>
        <w:t>se presentan obstáculos con entidades y profesionales (</w:t>
      </w:r>
      <w:r w:rsidRPr="004F026F">
        <w:rPr>
          <w:rFonts w:eastAsia="Times New Roman"/>
          <w:lang w:val="es-CO" w:eastAsia="es-ES"/>
        </w:rPr>
        <w:t>dependencias jurídicas</w:t>
      </w:r>
      <w:r>
        <w:rPr>
          <w:rFonts w:eastAsia="Times New Roman"/>
          <w:lang w:val="es-CO" w:eastAsia="es-ES"/>
        </w:rPr>
        <w:t xml:space="preserve"> o abogados)</w:t>
      </w:r>
      <w:r w:rsidRPr="004F026F">
        <w:rPr>
          <w:rFonts w:eastAsia="Times New Roman"/>
          <w:lang w:val="es-CO" w:eastAsia="es-ES"/>
        </w:rPr>
        <w:t xml:space="preserve"> que ponen trabas o no aceptan la legitimidad de</w:t>
      </w:r>
      <w:r>
        <w:rPr>
          <w:rFonts w:eastAsia="Times New Roman"/>
          <w:lang w:val="es-CO" w:eastAsia="es-ES"/>
        </w:rPr>
        <w:t xml:space="preserve"> los</w:t>
      </w:r>
      <w:r w:rsidRPr="004F026F">
        <w:rPr>
          <w:rFonts w:eastAsia="Times New Roman"/>
          <w:lang w:val="es-CO" w:eastAsia="es-ES"/>
        </w:rPr>
        <w:t xml:space="preserve"> trámite</w:t>
      </w:r>
      <w:r>
        <w:rPr>
          <w:rFonts w:eastAsia="Times New Roman"/>
          <w:lang w:val="es-CO" w:eastAsia="es-ES"/>
        </w:rPr>
        <w:t>s</w:t>
      </w:r>
      <w:r w:rsidRPr="004F026F">
        <w:rPr>
          <w:rFonts w:eastAsia="Times New Roman"/>
          <w:lang w:val="es-CO" w:eastAsia="es-ES"/>
        </w:rPr>
        <w:t xml:space="preserve"> electrónico</w:t>
      </w:r>
      <w:r>
        <w:rPr>
          <w:rFonts w:eastAsia="Times New Roman"/>
          <w:lang w:val="es-CO" w:eastAsia="es-ES"/>
        </w:rPr>
        <w:t>s</w:t>
      </w:r>
      <w:r w:rsidRPr="004F026F">
        <w:rPr>
          <w:rFonts w:eastAsia="Times New Roman"/>
          <w:lang w:val="es-CO" w:eastAsia="es-ES"/>
        </w:rPr>
        <w:t xml:space="preserve"> o</w:t>
      </w:r>
      <w:r>
        <w:rPr>
          <w:rFonts w:eastAsia="Times New Roman"/>
          <w:lang w:val="es-CO" w:eastAsia="es-ES"/>
        </w:rPr>
        <w:t>,</w:t>
      </w:r>
      <w:r w:rsidRPr="004F026F">
        <w:rPr>
          <w:rFonts w:eastAsia="Times New Roman"/>
          <w:lang w:val="es-CO" w:eastAsia="es-ES"/>
        </w:rPr>
        <w:t xml:space="preserve"> simplemente</w:t>
      </w:r>
      <w:r>
        <w:rPr>
          <w:rFonts w:eastAsia="Times New Roman"/>
          <w:lang w:val="es-CO" w:eastAsia="es-ES"/>
        </w:rPr>
        <w:t>,</w:t>
      </w:r>
      <w:r w:rsidRPr="004F026F">
        <w:rPr>
          <w:rFonts w:eastAsia="Times New Roman"/>
          <w:lang w:val="es-CO" w:eastAsia="es-ES"/>
        </w:rPr>
        <w:t xml:space="preserve"> siguen</w:t>
      </w:r>
      <w:r>
        <w:rPr>
          <w:rFonts w:eastAsia="Times New Roman"/>
          <w:lang w:val="es-CO" w:eastAsia="es-ES"/>
        </w:rPr>
        <w:t xml:space="preserve"> pidiendo el documento en papel: </w:t>
      </w:r>
      <w:r w:rsidRPr="004A1345">
        <w:rPr>
          <w:rFonts w:eastAsia="Times New Roman"/>
          <w:i/>
          <w:lang w:val="es-CO" w:eastAsia="es-ES"/>
        </w:rPr>
        <w:t>“Las personas aún no apropian esta cultura: Aún quieren ver el papel firmado y lleno de sello en cada uno de sus trámites”</w:t>
      </w:r>
      <w:r>
        <w:rPr>
          <w:rStyle w:val="Refdenotaalpie"/>
          <w:rFonts w:eastAsia="Times New Roman"/>
          <w:i/>
          <w:lang w:val="es-CO" w:eastAsia="es-ES"/>
        </w:rPr>
        <w:footnoteReference w:id="54"/>
      </w:r>
      <w:r>
        <w:rPr>
          <w:rFonts w:eastAsia="Times New Roman"/>
          <w:lang w:val="es-CO" w:eastAsia="es-ES"/>
        </w:rPr>
        <w:t>.</w:t>
      </w:r>
    </w:p>
    <w:p w:rsidR="001007D3" w:rsidRDefault="001007D3" w:rsidP="001007D3">
      <w:pPr>
        <w:spacing w:after="240"/>
        <w:rPr>
          <w:rFonts w:eastAsia="Times New Roman"/>
          <w:lang w:val="es-CO" w:eastAsia="es-ES"/>
        </w:rPr>
      </w:pPr>
      <w:r>
        <w:rPr>
          <w:rFonts w:eastAsia="Times New Roman"/>
          <w:lang w:val="es-CO" w:eastAsia="es-ES"/>
        </w:rPr>
        <w:t xml:space="preserve">La apropiación desde la perspectiva de los ciudadanos se examinó con la pregunta: </w:t>
      </w:r>
      <w:r w:rsidRPr="005968BD">
        <w:rPr>
          <w:rFonts w:eastAsia="Times New Roman"/>
          <w:lang w:val="es-CO" w:eastAsia="es-ES"/>
        </w:rPr>
        <w:t>¿Cree usted que los colombianos estén apropiando la tecnología en sus labores cotidianas</w:t>
      </w:r>
      <w:proofErr w:type="gramStart"/>
      <w:r w:rsidRPr="005968BD">
        <w:rPr>
          <w:rFonts w:eastAsia="Times New Roman"/>
          <w:lang w:val="es-CO" w:eastAsia="es-ES"/>
        </w:rPr>
        <w:t>?</w:t>
      </w:r>
      <w:r>
        <w:rPr>
          <w:rFonts w:eastAsia="Times New Roman"/>
          <w:lang w:val="es-CO" w:eastAsia="es-ES"/>
        </w:rPr>
        <w:t>.</w:t>
      </w:r>
      <w:proofErr w:type="gramEnd"/>
      <w:r>
        <w:rPr>
          <w:rFonts w:eastAsia="Times New Roman"/>
          <w:lang w:val="es-CO" w:eastAsia="es-ES"/>
        </w:rPr>
        <w:t xml:space="preserve"> Todos los entrevistados que respondieron (4/5), coindicen en que se evidencia esa apropiación en las aulas, en el transporte público y hasta </w:t>
      </w:r>
      <w:r w:rsidRPr="0029219D">
        <w:rPr>
          <w:rFonts w:eastAsia="Times New Roman"/>
          <w:i/>
          <w:lang w:val="es-CO" w:eastAsia="es-ES"/>
        </w:rPr>
        <w:t>“en la forma de pedir domicilios”</w:t>
      </w:r>
      <w:r>
        <w:rPr>
          <w:rFonts w:eastAsia="Times New Roman"/>
          <w:lang w:val="es-CO" w:eastAsia="es-ES"/>
        </w:rPr>
        <w:t xml:space="preserve">. </w:t>
      </w:r>
    </w:p>
    <w:p w:rsidR="001007D3" w:rsidRDefault="001007D3" w:rsidP="001007D3">
      <w:pPr>
        <w:spacing w:after="240"/>
        <w:rPr>
          <w:rFonts w:eastAsia="Times New Roman"/>
          <w:lang w:val="es-CO" w:eastAsia="es-ES"/>
        </w:rPr>
      </w:pPr>
      <w:r>
        <w:rPr>
          <w:rFonts w:eastAsia="Times New Roman"/>
          <w:lang w:val="es-CO" w:eastAsia="es-ES"/>
        </w:rPr>
        <w:t xml:space="preserve">Adicionalmente se preguntó: </w:t>
      </w:r>
      <w:r w:rsidRPr="003A37AC">
        <w:rPr>
          <w:rFonts w:eastAsia="Times New Roman"/>
          <w:lang w:val="es-CO" w:eastAsia="es-ES"/>
        </w:rPr>
        <w:t>¿Desde su perspectiva qué beneficios cree usted que haya traído para las personas la apropi</w:t>
      </w:r>
      <w:r>
        <w:rPr>
          <w:rFonts w:eastAsia="Times New Roman"/>
          <w:lang w:val="es-CO" w:eastAsia="es-ES"/>
        </w:rPr>
        <w:t>ación de recursos tecnológicos</w:t>
      </w:r>
      <w:proofErr w:type="gramStart"/>
      <w:r>
        <w:rPr>
          <w:rFonts w:eastAsia="Times New Roman"/>
          <w:lang w:val="es-CO" w:eastAsia="es-ES"/>
        </w:rPr>
        <w:t>?.</w:t>
      </w:r>
      <w:proofErr w:type="gramEnd"/>
      <w:r>
        <w:rPr>
          <w:rFonts w:eastAsia="Times New Roman"/>
          <w:lang w:val="es-CO" w:eastAsia="es-ES"/>
        </w:rPr>
        <w:t xml:space="preserve"> Nuevamente las opiniones coinciden: en efecto se reconocen beneficios de esa apropiación como en acceso a información, a nuevos mercados, seguridad en la información, </w:t>
      </w:r>
      <w:r w:rsidRPr="00186D5D">
        <w:rPr>
          <w:rFonts w:eastAsia="Times New Roman"/>
          <w:lang w:val="es-CO" w:eastAsia="es-ES"/>
        </w:rPr>
        <w:t xml:space="preserve">menor tiempo </w:t>
      </w:r>
      <w:r>
        <w:rPr>
          <w:rFonts w:eastAsia="Times New Roman"/>
          <w:lang w:val="es-CO" w:eastAsia="es-ES"/>
        </w:rPr>
        <w:t>“</w:t>
      </w:r>
      <w:r w:rsidRPr="00186D5D">
        <w:rPr>
          <w:rFonts w:eastAsia="Times New Roman"/>
          <w:lang w:val="es-CO" w:eastAsia="es-ES"/>
        </w:rPr>
        <w:t>desperdiciado</w:t>
      </w:r>
      <w:r>
        <w:rPr>
          <w:rFonts w:eastAsia="Times New Roman"/>
          <w:lang w:val="es-CO" w:eastAsia="es-ES"/>
        </w:rPr>
        <w:t>”</w:t>
      </w:r>
      <w:r w:rsidRPr="00186D5D">
        <w:rPr>
          <w:rFonts w:eastAsia="Times New Roman"/>
          <w:lang w:val="es-CO" w:eastAsia="es-ES"/>
        </w:rPr>
        <w:t xml:space="preserve"> en trámites</w:t>
      </w:r>
      <w:r>
        <w:rPr>
          <w:rFonts w:eastAsia="Times New Roman"/>
          <w:lang w:val="es-CO" w:eastAsia="es-ES"/>
        </w:rPr>
        <w:t xml:space="preserve"> y e</w:t>
      </w:r>
      <w:r w:rsidRPr="00186D5D">
        <w:rPr>
          <w:rFonts w:eastAsia="Times New Roman"/>
          <w:lang w:val="es-CO" w:eastAsia="es-ES"/>
        </w:rPr>
        <w:t>leva la productividad de la economía en general</w:t>
      </w:r>
      <w:r>
        <w:rPr>
          <w:rFonts w:eastAsia="Times New Roman"/>
          <w:lang w:val="es-CO" w:eastAsia="es-ES"/>
        </w:rPr>
        <w:t>.</w:t>
      </w:r>
    </w:p>
    <w:p w:rsidR="001007D3" w:rsidRDefault="001007D3" w:rsidP="001007D3">
      <w:pPr>
        <w:spacing w:after="240"/>
        <w:rPr>
          <w:rFonts w:eastAsia="Times New Roman"/>
          <w:lang w:val="es-CO" w:eastAsia="es-ES"/>
        </w:rPr>
      </w:pPr>
      <w:r>
        <w:rPr>
          <w:rFonts w:eastAsia="Times New Roman"/>
          <w:lang w:val="es-CO" w:eastAsia="es-ES"/>
        </w:rPr>
        <w:t>Al preguntar si l</w:t>
      </w:r>
      <w:r w:rsidRPr="00186D5D">
        <w:rPr>
          <w:rFonts w:eastAsia="Times New Roman"/>
          <w:lang w:val="es-CO" w:eastAsia="es-ES"/>
        </w:rPr>
        <w:t xml:space="preserve">a implementación de recursos tecnológicos ha mejorado la </w:t>
      </w:r>
      <w:r w:rsidRPr="001C209C">
        <w:rPr>
          <w:rFonts w:eastAsia="Times New Roman"/>
          <w:lang w:val="es-CO" w:eastAsia="es-ES"/>
        </w:rPr>
        <w:t>calidad de vida</w:t>
      </w:r>
      <w:r w:rsidRPr="00186D5D">
        <w:rPr>
          <w:rFonts w:eastAsia="Times New Roman"/>
          <w:lang w:val="es-CO" w:eastAsia="es-ES"/>
        </w:rPr>
        <w:t xml:space="preserve"> de las personas</w:t>
      </w:r>
      <w:r>
        <w:rPr>
          <w:rFonts w:eastAsia="Times New Roman"/>
          <w:lang w:val="es-CO" w:eastAsia="es-ES"/>
        </w:rPr>
        <w:t xml:space="preserve">, </w:t>
      </w:r>
      <w:r w:rsidRPr="00AC1FAF">
        <w:rPr>
          <w:rFonts w:eastAsia="Times New Roman"/>
          <w:lang w:val="es-CO" w:eastAsia="es-ES"/>
        </w:rPr>
        <w:t xml:space="preserve">las respuestas </w:t>
      </w:r>
      <w:r>
        <w:rPr>
          <w:rFonts w:eastAsia="Times New Roman"/>
          <w:lang w:val="es-CO" w:eastAsia="es-ES"/>
        </w:rPr>
        <w:t>en general son afirmativas</w:t>
      </w:r>
      <w:r>
        <w:rPr>
          <w:rStyle w:val="Refdenotaalpie"/>
          <w:rFonts w:eastAsia="Times New Roman"/>
          <w:lang w:val="es-CO" w:eastAsia="es-ES"/>
        </w:rPr>
        <w:footnoteReference w:id="55"/>
      </w:r>
      <w:r>
        <w:rPr>
          <w:rFonts w:eastAsia="Times New Roman"/>
          <w:lang w:val="es-CO" w:eastAsia="es-ES"/>
        </w:rPr>
        <w:t xml:space="preserve"> aunque </w:t>
      </w:r>
      <w:r w:rsidRPr="00AC1FAF">
        <w:rPr>
          <w:rFonts w:eastAsia="Times New Roman"/>
          <w:lang w:val="es-CO" w:eastAsia="es-ES"/>
        </w:rPr>
        <w:t>se polarizaron</w:t>
      </w:r>
      <w:r>
        <w:rPr>
          <w:rFonts w:eastAsia="Times New Roman"/>
          <w:lang w:val="es-CO" w:eastAsia="es-ES"/>
        </w:rPr>
        <w:t xml:space="preserve"> entre dos escenarios,</w:t>
      </w:r>
      <w:r w:rsidRPr="00AC1FAF">
        <w:rPr>
          <w:rFonts w:eastAsia="Times New Roman"/>
          <w:lang w:val="es-CO" w:eastAsia="es-ES"/>
        </w:rPr>
        <w:t xml:space="preserve"> uno de confort: </w:t>
      </w:r>
      <w:r w:rsidRPr="0040214D">
        <w:rPr>
          <w:rFonts w:eastAsia="Times New Roman"/>
          <w:i/>
          <w:lang w:val="es-CO" w:eastAsia="es-ES"/>
        </w:rPr>
        <w:t>“Libera tiempo para hacer otras cosas para su bienestar, nos da comodidad al resolver las distancias con comunicación”</w:t>
      </w:r>
      <w:r>
        <w:rPr>
          <w:rFonts w:eastAsia="Times New Roman"/>
          <w:lang w:val="es-CO" w:eastAsia="es-ES"/>
        </w:rPr>
        <w:t>; y</w:t>
      </w:r>
      <w:r w:rsidRPr="00AC1FAF">
        <w:rPr>
          <w:rFonts w:eastAsia="Times New Roman"/>
          <w:lang w:val="es-CO" w:eastAsia="es-ES"/>
        </w:rPr>
        <w:t xml:space="preserve"> otro productivista</w:t>
      </w:r>
      <w:r>
        <w:rPr>
          <w:rFonts w:eastAsia="Times New Roman"/>
          <w:lang w:val="es-CO" w:eastAsia="es-ES"/>
        </w:rPr>
        <w:t>:</w:t>
      </w:r>
      <w:r w:rsidRPr="00AC1FAF">
        <w:rPr>
          <w:rFonts w:eastAsia="Times New Roman"/>
          <w:lang w:val="es-CO" w:eastAsia="es-ES"/>
        </w:rPr>
        <w:t xml:space="preserve"> </w:t>
      </w:r>
      <w:r w:rsidRPr="0040214D">
        <w:rPr>
          <w:rFonts w:eastAsia="Times New Roman"/>
          <w:i/>
          <w:lang w:val="es-CO" w:eastAsia="es-ES"/>
        </w:rPr>
        <w:t xml:space="preserve">“Ha permitido llevar oportunidades en educación y de nuevos empleos, al tiempo que ha mejorado la calidad de vida en </w:t>
      </w:r>
      <w:r w:rsidRPr="0040214D">
        <w:rPr>
          <w:rFonts w:eastAsia="Times New Roman"/>
          <w:i/>
          <w:lang w:val="es-CO" w:eastAsia="es-ES"/>
        </w:rPr>
        <w:lastRenderedPageBreak/>
        <w:t>todas las comunidades. A esto se suma el impulso que ha brindado a nuevas formas de comunicación que han permitido integrar a las regiones.”</w:t>
      </w:r>
      <w:r>
        <w:rPr>
          <w:rFonts w:eastAsia="Times New Roman"/>
          <w:lang w:val="es-CO" w:eastAsia="es-ES"/>
        </w:rPr>
        <w:t xml:space="preserve">. Se preguntó también sobre lo que creen los colombianos sobre la </w:t>
      </w:r>
      <w:r w:rsidRPr="00A4352E">
        <w:rPr>
          <w:rFonts w:eastAsia="Times New Roman"/>
          <w:lang w:val="es-CO" w:eastAsia="es-ES"/>
        </w:rPr>
        <w:t>tecnología y en su uso como factor de mejoramiento de la calidad de vida</w:t>
      </w:r>
      <w:r>
        <w:rPr>
          <w:rFonts w:eastAsia="Times New Roman"/>
          <w:lang w:val="es-CO" w:eastAsia="es-ES"/>
        </w:rPr>
        <w:t xml:space="preserve"> y las respuestas coinciden con las anteriores. Uno de los entrevistados menciona: </w:t>
      </w:r>
      <w:r w:rsidRPr="00254DC4">
        <w:rPr>
          <w:rFonts w:eastAsia="Times New Roman"/>
          <w:i/>
          <w:lang w:val="es-CO" w:eastAsia="es-ES"/>
        </w:rPr>
        <w:t>“Sí, de otra manera no se entendería la creciente adopción de tecnología y de conectividad en los últimos años”</w:t>
      </w:r>
      <w:r w:rsidRPr="00C06F17">
        <w:rPr>
          <w:rFonts w:eastAsia="Times New Roman"/>
          <w:lang w:val="es-CO" w:eastAsia="es-ES"/>
        </w:rPr>
        <w:t>.</w:t>
      </w:r>
      <w:r>
        <w:rPr>
          <w:rFonts w:eastAsia="Times New Roman"/>
          <w:lang w:val="es-CO" w:eastAsia="es-ES"/>
        </w:rPr>
        <w:t xml:space="preserve"> También se resalta la diferencia entre los nativos digitales, quienes sacan el mayor provecho de los recursos tecnológicos mientras que para los mayores o para las personas en las zonas rurales ese provecho es menor. </w:t>
      </w:r>
    </w:p>
    <w:p w:rsidR="001007D3" w:rsidRDefault="001007D3" w:rsidP="001007D3">
      <w:pPr>
        <w:spacing w:after="240"/>
        <w:rPr>
          <w:rFonts w:eastAsia="Times New Roman"/>
          <w:lang w:val="es-CO" w:eastAsia="es-ES"/>
        </w:rPr>
      </w:pPr>
      <w:r>
        <w:rPr>
          <w:rFonts w:eastAsia="Times New Roman"/>
          <w:lang w:val="es-CO" w:eastAsia="es-ES"/>
        </w:rPr>
        <w:t xml:space="preserve">En cuanto al efecto de las </w:t>
      </w:r>
      <w:proofErr w:type="spellStart"/>
      <w:r>
        <w:rPr>
          <w:rFonts w:eastAsia="Times New Roman"/>
          <w:lang w:val="es-CO" w:eastAsia="es-ES"/>
        </w:rPr>
        <w:t>TICs</w:t>
      </w:r>
      <w:proofErr w:type="spellEnd"/>
      <w:r>
        <w:rPr>
          <w:rFonts w:eastAsia="Times New Roman"/>
          <w:lang w:val="es-CO" w:eastAsia="es-ES"/>
        </w:rPr>
        <w:t xml:space="preserve"> en la prosperidad de los ciudadanos, l</w:t>
      </w:r>
      <w:r w:rsidRPr="00DB2140">
        <w:rPr>
          <w:rFonts w:eastAsia="Times New Roman"/>
          <w:lang w:val="es-CO" w:eastAsia="es-ES"/>
        </w:rPr>
        <w:t xml:space="preserve">os entrevistados </w:t>
      </w:r>
      <w:r>
        <w:rPr>
          <w:rFonts w:eastAsia="Times New Roman"/>
          <w:lang w:val="es-CO" w:eastAsia="es-ES"/>
        </w:rPr>
        <w:t xml:space="preserve">lo </w:t>
      </w:r>
      <w:r w:rsidRPr="00DB2140">
        <w:rPr>
          <w:rFonts w:eastAsia="Times New Roman"/>
          <w:lang w:val="es-CO" w:eastAsia="es-ES"/>
        </w:rPr>
        <w:t xml:space="preserve">ven </w:t>
      </w:r>
      <w:r>
        <w:rPr>
          <w:rFonts w:eastAsia="Times New Roman"/>
          <w:lang w:val="es-CO" w:eastAsia="es-ES"/>
        </w:rPr>
        <w:t>como un</w:t>
      </w:r>
      <w:r w:rsidRPr="00DB2140">
        <w:rPr>
          <w:rFonts w:eastAsia="Times New Roman"/>
          <w:lang w:val="es-CO" w:eastAsia="es-ES"/>
        </w:rPr>
        <w:t xml:space="preserve"> tema </w:t>
      </w:r>
      <w:r>
        <w:rPr>
          <w:rFonts w:eastAsia="Times New Roman"/>
          <w:lang w:val="es-CO" w:eastAsia="es-ES"/>
        </w:rPr>
        <w:t>de más largo plazo que se verá</w:t>
      </w:r>
      <w:r w:rsidRPr="00DB2140">
        <w:rPr>
          <w:rFonts w:eastAsia="Times New Roman"/>
          <w:lang w:val="es-CO" w:eastAsia="es-ES"/>
        </w:rPr>
        <w:t xml:space="preserve"> cuando se apropie realmente la tecnología como uso productivo y cotidiano n</w:t>
      </w:r>
      <w:r>
        <w:rPr>
          <w:rFonts w:eastAsia="Times New Roman"/>
          <w:lang w:val="es-CO" w:eastAsia="es-ES"/>
        </w:rPr>
        <w:t xml:space="preserve">o solo como un escenario social: </w:t>
      </w:r>
      <w:r w:rsidRPr="00DB2140">
        <w:rPr>
          <w:rFonts w:eastAsia="Times New Roman"/>
          <w:i/>
          <w:lang w:val="es-CO" w:eastAsia="es-ES"/>
        </w:rPr>
        <w:t xml:space="preserve">“Es muy pronto, </w:t>
      </w:r>
      <w:r>
        <w:rPr>
          <w:rFonts w:eastAsia="Times New Roman"/>
          <w:i/>
          <w:lang w:val="es-CO" w:eastAsia="es-ES"/>
        </w:rPr>
        <w:t>para ver resultados en la prosperidad</w:t>
      </w:r>
      <w:r w:rsidRPr="00DB2140">
        <w:rPr>
          <w:rFonts w:eastAsia="Times New Roman"/>
          <w:i/>
          <w:lang w:val="es-CO" w:eastAsia="es-ES"/>
        </w:rPr>
        <w:t>”</w:t>
      </w:r>
      <w:r>
        <w:rPr>
          <w:rFonts w:eastAsia="Times New Roman"/>
          <w:i/>
          <w:lang w:val="es-CO" w:eastAsia="es-ES"/>
        </w:rPr>
        <w:t xml:space="preserve">. </w:t>
      </w:r>
      <w:r w:rsidRPr="00DB2140">
        <w:rPr>
          <w:rFonts w:eastAsia="Times New Roman"/>
          <w:lang w:val="es-CO" w:eastAsia="es-ES"/>
        </w:rPr>
        <w:t xml:space="preserve">Hay iniciativas interesantes para desarrollar el teletrabajo, pero aún es muy incipiente para hablar de una </w:t>
      </w:r>
      <w:r>
        <w:rPr>
          <w:rFonts w:eastAsia="Times New Roman"/>
          <w:lang w:val="es-CO" w:eastAsia="es-ES"/>
        </w:rPr>
        <w:t>incidencia sobre la prosperidad. No obstante, se destaca lo positivo: “</w:t>
      </w:r>
      <w:r w:rsidRPr="002409A4">
        <w:rPr>
          <w:rFonts w:eastAsia="Times New Roman"/>
          <w:i/>
          <w:lang w:val="es-CO" w:eastAsia="es-ES"/>
        </w:rPr>
        <w:t>Permite ampliar el conocimiento de los usuarios en temas generales y particulares –que responden a sus necesidades diarias- y que luego pueden combinar con su experiencia y condiciones, p</w:t>
      </w:r>
      <w:r>
        <w:rPr>
          <w:rFonts w:eastAsia="Times New Roman"/>
          <w:i/>
          <w:lang w:val="es-CO" w:eastAsia="es-ES"/>
        </w:rPr>
        <w:t>ara mejorar y acelerar procesos</w:t>
      </w:r>
      <w:r w:rsidRPr="002409A4">
        <w:rPr>
          <w:rFonts w:eastAsia="Times New Roman"/>
          <w:i/>
          <w:lang w:val="es-CO" w:eastAsia="es-ES"/>
        </w:rPr>
        <w:t>”</w:t>
      </w:r>
      <w:r>
        <w:rPr>
          <w:rFonts w:eastAsia="Times New Roman"/>
          <w:i/>
          <w:lang w:val="es-CO" w:eastAsia="es-ES"/>
        </w:rPr>
        <w:t xml:space="preserve">. </w:t>
      </w:r>
      <w:r w:rsidRPr="002409A4">
        <w:rPr>
          <w:rFonts w:eastAsia="Times New Roman"/>
          <w:lang w:val="es-CO" w:eastAsia="es-ES"/>
        </w:rPr>
        <w:t>Y</w:t>
      </w:r>
      <w:r>
        <w:rPr>
          <w:rFonts w:eastAsia="Times New Roman"/>
          <w:lang w:val="es-CO" w:eastAsia="es-ES"/>
        </w:rPr>
        <w:t xml:space="preserve"> en cuanto a ingresos y empleo, una mayor penetración del Internet y de la cobertura de banda ancha: </w:t>
      </w:r>
      <w:r w:rsidRPr="00BF0E64">
        <w:rPr>
          <w:rFonts w:eastAsia="Times New Roman"/>
          <w:i/>
          <w:lang w:val="es-CO" w:eastAsia="es-ES"/>
        </w:rPr>
        <w:t xml:space="preserve">“Más posibilidades de empleo y de los ingresos. Se redujo el costo y se facilitó el acceso a la información. 7 u 8 % del consumo urbano se hace por compras en línea pero ese es el futuro y el sector de </w:t>
      </w:r>
      <w:proofErr w:type="spellStart"/>
      <w:r w:rsidRPr="00BF0E64">
        <w:rPr>
          <w:rFonts w:eastAsia="Times New Roman"/>
          <w:i/>
          <w:lang w:val="es-CO" w:eastAsia="es-ES"/>
        </w:rPr>
        <w:t>retail</w:t>
      </w:r>
      <w:proofErr w:type="spellEnd"/>
      <w:r w:rsidRPr="00BF0E64">
        <w:rPr>
          <w:rFonts w:eastAsia="Times New Roman"/>
          <w:i/>
          <w:lang w:val="es-CO" w:eastAsia="es-ES"/>
        </w:rPr>
        <w:t xml:space="preserve"> lo sabe</w:t>
      </w:r>
      <w:r>
        <w:rPr>
          <w:rFonts w:eastAsia="Times New Roman"/>
          <w:lang w:val="es-CO" w:eastAsia="es-ES"/>
        </w:rPr>
        <w:t>”.</w:t>
      </w:r>
    </w:p>
    <w:p w:rsidR="001007D3" w:rsidRDefault="001007D3" w:rsidP="001007D3">
      <w:pPr>
        <w:spacing w:after="240"/>
        <w:rPr>
          <w:rFonts w:eastAsia="Times New Roman"/>
          <w:lang w:val="es-CO" w:eastAsia="es-ES"/>
        </w:rPr>
      </w:pPr>
      <w:r>
        <w:rPr>
          <w:rFonts w:eastAsia="Times New Roman"/>
          <w:lang w:val="es-CO" w:eastAsia="es-ES"/>
        </w:rPr>
        <w:t>Con base en lo anterior, se puede decir s</w:t>
      </w:r>
      <w:r w:rsidRPr="00A44D93">
        <w:rPr>
          <w:rFonts w:eastAsia="Times New Roman"/>
          <w:lang w:val="es-CO" w:eastAsia="es-ES"/>
        </w:rPr>
        <w:t>obre el logro de los objetiv</w:t>
      </w:r>
      <w:r>
        <w:rPr>
          <w:rFonts w:eastAsia="Times New Roman"/>
          <w:lang w:val="es-CO" w:eastAsia="es-ES"/>
        </w:rPr>
        <w:t>os planteados en el documento “La Estrategia de C</w:t>
      </w:r>
      <w:r w:rsidRPr="00A44D93">
        <w:rPr>
          <w:rFonts w:eastAsia="Times New Roman"/>
          <w:lang w:val="es-CO" w:eastAsia="es-ES"/>
        </w:rPr>
        <w:t>omunicaciones Vive Digital” lo siguiente:</w:t>
      </w:r>
    </w:p>
    <w:p w:rsidR="001007D3" w:rsidRPr="00A44D93" w:rsidRDefault="001007D3" w:rsidP="001007D3">
      <w:pPr>
        <w:pStyle w:val="T-Figura"/>
        <w:rPr>
          <w:rFonts w:ascii="Garamond" w:eastAsia="Times New Roman" w:hAnsi="Garamond" w:cstheme="minorBidi"/>
          <w:sz w:val="26"/>
          <w:szCs w:val="26"/>
          <w:lang w:eastAsia="es-ES"/>
        </w:rPr>
      </w:pPr>
      <w:r>
        <w:rPr>
          <w:rFonts w:eastAsia="Times New Roman"/>
          <w:lang w:eastAsia="es-ES"/>
        </w:rPr>
        <w:t>Cuadro A4.5 – Logro de objetivos de la estrategia de comunicaciones</w:t>
      </w:r>
    </w:p>
    <w:tbl>
      <w:tblPr>
        <w:tblStyle w:val="Tablaconcuadrcula"/>
        <w:tblW w:w="0" w:type="auto"/>
        <w:tblBorders>
          <w:top w:val="single" w:sz="6" w:space="0" w:color="BFBFBF" w:themeColor="background1" w:themeShade="BF"/>
          <w:bottom w:val="single" w:sz="6" w:space="0" w:color="BFBFBF" w:themeColor="background1" w:themeShade="BF"/>
          <w:insideH w:val="single" w:sz="6" w:space="0" w:color="BFBFBF" w:themeColor="background1" w:themeShade="BF"/>
        </w:tblBorders>
        <w:tblLook w:val="04A0"/>
      </w:tblPr>
      <w:tblGrid>
        <w:gridCol w:w="657"/>
        <w:gridCol w:w="4813"/>
        <w:gridCol w:w="3250"/>
      </w:tblGrid>
      <w:tr w:rsidR="001007D3" w:rsidRPr="00A44D93" w:rsidTr="00474389">
        <w:trPr>
          <w:cnfStyle w:val="100000000000"/>
          <w:trHeight w:val="624"/>
          <w:tblHeader/>
        </w:trPr>
        <w:tc>
          <w:tcPr>
            <w:tcW w:w="657" w:type="dxa"/>
            <w:shd w:val="clear" w:color="auto" w:fill="BFBFBF" w:themeFill="background1" w:themeFillShade="BF"/>
            <w:vAlign w:val="center"/>
          </w:tcPr>
          <w:p w:rsidR="001007D3" w:rsidRPr="00A44D93" w:rsidRDefault="001007D3" w:rsidP="00474389">
            <w:pPr>
              <w:spacing w:before="0"/>
              <w:rPr>
                <w:rFonts w:ascii="Arial Narrow" w:hAnsi="Arial Narrow" w:cs="Arial"/>
                <w:sz w:val="24"/>
                <w:szCs w:val="24"/>
              </w:rPr>
            </w:pPr>
            <w:r>
              <w:rPr>
                <w:rFonts w:ascii="Arial Narrow" w:hAnsi="Arial Narrow" w:cs="Arial"/>
                <w:sz w:val="24"/>
                <w:szCs w:val="24"/>
              </w:rPr>
              <w:t>No.</w:t>
            </w:r>
          </w:p>
        </w:tc>
        <w:tc>
          <w:tcPr>
            <w:tcW w:w="4813" w:type="dxa"/>
            <w:shd w:val="clear" w:color="auto" w:fill="BFBFBF" w:themeFill="background1" w:themeFillShade="BF"/>
            <w:vAlign w:val="center"/>
          </w:tcPr>
          <w:p w:rsidR="001007D3" w:rsidRPr="00A44D93" w:rsidRDefault="001007D3" w:rsidP="00474389">
            <w:pPr>
              <w:spacing w:before="0"/>
              <w:rPr>
                <w:rFonts w:ascii="Arial Narrow" w:hAnsi="Arial Narrow" w:cs="Arial"/>
                <w:sz w:val="24"/>
                <w:szCs w:val="24"/>
              </w:rPr>
            </w:pPr>
            <w:r>
              <w:rPr>
                <w:rFonts w:ascii="Arial Narrow" w:hAnsi="Arial Narrow" w:cs="Arial"/>
                <w:sz w:val="24"/>
                <w:szCs w:val="24"/>
              </w:rPr>
              <w:t>Objetivo</w:t>
            </w:r>
          </w:p>
        </w:tc>
        <w:tc>
          <w:tcPr>
            <w:tcW w:w="3250" w:type="dxa"/>
            <w:shd w:val="clear" w:color="auto" w:fill="BFBFBF" w:themeFill="background1" w:themeFillShade="BF"/>
            <w:vAlign w:val="center"/>
          </w:tcPr>
          <w:p w:rsidR="001007D3" w:rsidRPr="00A44D93" w:rsidRDefault="001007D3" w:rsidP="00474389">
            <w:pPr>
              <w:spacing w:before="0"/>
              <w:rPr>
                <w:rFonts w:ascii="Arial Narrow" w:hAnsi="Arial Narrow" w:cs="Arial"/>
                <w:sz w:val="24"/>
                <w:szCs w:val="24"/>
              </w:rPr>
            </w:pPr>
            <w:r>
              <w:rPr>
                <w:rFonts w:ascii="Arial Narrow" w:hAnsi="Arial Narrow" w:cs="Arial"/>
                <w:sz w:val="24"/>
                <w:szCs w:val="24"/>
              </w:rPr>
              <w:t>Estado</w:t>
            </w:r>
          </w:p>
        </w:tc>
      </w:tr>
      <w:tr w:rsidR="001007D3" w:rsidRPr="00A44D93" w:rsidTr="00474389">
        <w:trPr>
          <w:cnfStyle w:val="000000100000"/>
        </w:trPr>
        <w:tc>
          <w:tcPr>
            <w:tcW w:w="657"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t>1</w:t>
            </w:r>
          </w:p>
        </w:tc>
        <w:tc>
          <w:tcPr>
            <w:tcW w:w="4813" w:type="dxa"/>
            <w:vAlign w:val="center"/>
          </w:tcPr>
          <w:p w:rsidR="001007D3" w:rsidRPr="00A44D93" w:rsidRDefault="001007D3" w:rsidP="00474389">
            <w:pPr>
              <w:spacing w:before="0"/>
              <w:jc w:val="left"/>
              <w:rPr>
                <w:rFonts w:ascii="Arial Narrow" w:hAnsi="Arial Narrow" w:cs="Arial"/>
                <w:sz w:val="24"/>
                <w:szCs w:val="24"/>
                <w:u w:val="single"/>
              </w:rPr>
            </w:pPr>
            <w:r>
              <w:rPr>
                <w:rFonts w:ascii="Arial Narrow" w:hAnsi="Arial Narrow" w:cs="Arial"/>
                <w:sz w:val="24"/>
                <w:szCs w:val="24"/>
              </w:rPr>
              <w:t>[</w:t>
            </w:r>
            <w:r w:rsidRPr="00A44D93">
              <w:rPr>
                <w:rFonts w:ascii="Arial Narrow" w:hAnsi="Arial Narrow" w:cs="Arial"/>
                <w:sz w:val="24"/>
                <w:szCs w:val="24"/>
              </w:rPr>
              <w:t>…</w:t>
            </w:r>
            <w:r>
              <w:rPr>
                <w:rFonts w:ascii="Arial Narrow" w:hAnsi="Arial Narrow" w:cs="Arial"/>
                <w:sz w:val="24"/>
                <w:szCs w:val="24"/>
              </w:rPr>
              <w:t>]</w:t>
            </w:r>
            <w:r w:rsidRPr="00A44D93">
              <w:rPr>
                <w:rFonts w:ascii="Arial Narrow" w:hAnsi="Arial Narrow" w:cs="Arial"/>
                <w:sz w:val="24"/>
                <w:szCs w:val="24"/>
              </w:rPr>
              <w:t xml:space="preserve"> El reto al que nos enfrentamos en el proceso de generar una estrategia de comunicación para </w:t>
            </w:r>
            <w:r>
              <w:rPr>
                <w:rFonts w:ascii="Arial Narrow" w:hAnsi="Arial Narrow" w:cs="Arial"/>
                <w:sz w:val="24"/>
                <w:szCs w:val="24"/>
              </w:rPr>
              <w:t>MINTIC</w:t>
            </w:r>
            <w:r w:rsidRPr="00A44D93">
              <w:rPr>
                <w:rFonts w:ascii="Arial Narrow" w:hAnsi="Arial Narrow" w:cs="Arial"/>
                <w:sz w:val="24"/>
                <w:szCs w:val="24"/>
              </w:rPr>
              <w:t xml:space="preserve">, es </w:t>
            </w:r>
            <w:r w:rsidRPr="00A44D93">
              <w:rPr>
                <w:rFonts w:ascii="Arial Narrow" w:hAnsi="Arial Narrow" w:cs="Arial"/>
                <w:sz w:val="24"/>
                <w:szCs w:val="24"/>
                <w:u w:val="single"/>
              </w:rPr>
              <w:t>hacer que la tecnología sea relevante para la vida de los ciudadanos</w:t>
            </w:r>
          </w:p>
        </w:tc>
        <w:tc>
          <w:tcPr>
            <w:tcW w:w="3250" w:type="dxa"/>
            <w:vAlign w:val="center"/>
          </w:tcPr>
          <w:p w:rsidR="001007D3" w:rsidRPr="00A44D93" w:rsidRDefault="001007D3" w:rsidP="00474389">
            <w:pPr>
              <w:spacing w:before="0"/>
              <w:rPr>
                <w:rFonts w:ascii="Arial Narrow" w:hAnsi="Arial Narrow" w:cs="Arial"/>
                <w:b/>
                <w:sz w:val="24"/>
                <w:szCs w:val="24"/>
              </w:rPr>
            </w:pPr>
            <w:r w:rsidRPr="00A44D93">
              <w:rPr>
                <w:rFonts w:ascii="Arial Narrow" w:hAnsi="Arial Narrow" w:cs="Arial"/>
                <w:b/>
                <w:sz w:val="24"/>
                <w:szCs w:val="24"/>
              </w:rPr>
              <w:t>Cumplido</w:t>
            </w:r>
          </w:p>
        </w:tc>
      </w:tr>
      <w:tr w:rsidR="001007D3" w:rsidRPr="00A44D93" w:rsidTr="00474389">
        <w:trPr>
          <w:trHeight w:val="1077"/>
        </w:trPr>
        <w:tc>
          <w:tcPr>
            <w:tcW w:w="657"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t>2</w:t>
            </w:r>
          </w:p>
        </w:tc>
        <w:tc>
          <w:tcPr>
            <w:tcW w:w="4813" w:type="dxa"/>
            <w:vAlign w:val="center"/>
          </w:tcPr>
          <w:p w:rsidR="001007D3" w:rsidRPr="00A44D93" w:rsidRDefault="001007D3" w:rsidP="00474389">
            <w:pPr>
              <w:spacing w:before="0"/>
              <w:jc w:val="left"/>
              <w:rPr>
                <w:rFonts w:ascii="Arial Narrow" w:hAnsi="Arial Narrow" w:cs="Arial"/>
                <w:sz w:val="24"/>
                <w:szCs w:val="24"/>
                <w:u w:val="single"/>
              </w:rPr>
            </w:pPr>
            <w:r w:rsidRPr="00A44D93">
              <w:rPr>
                <w:rFonts w:ascii="Arial Narrow" w:hAnsi="Arial Narrow" w:cs="Arial"/>
                <w:sz w:val="24"/>
                <w:szCs w:val="24"/>
              </w:rPr>
              <w:t xml:space="preserve">[…] </w:t>
            </w:r>
            <w:r w:rsidRPr="00A44D93">
              <w:rPr>
                <w:rFonts w:ascii="Arial Narrow" w:hAnsi="Arial Narrow" w:cs="Arial"/>
                <w:sz w:val="24"/>
                <w:szCs w:val="24"/>
                <w:u w:val="single"/>
              </w:rPr>
              <w:t>que los colombianos entendamos y hagamos nuestras nuevas tecnologías de la información</w:t>
            </w:r>
          </w:p>
        </w:tc>
        <w:tc>
          <w:tcPr>
            <w:tcW w:w="3250" w:type="dxa"/>
            <w:vAlign w:val="center"/>
          </w:tcPr>
          <w:p w:rsidR="001007D3" w:rsidRPr="00A44D93" w:rsidRDefault="001007D3" w:rsidP="00474389">
            <w:pPr>
              <w:spacing w:before="0"/>
              <w:rPr>
                <w:rFonts w:ascii="Arial Narrow" w:hAnsi="Arial Narrow" w:cs="Arial"/>
                <w:b/>
                <w:sz w:val="24"/>
                <w:szCs w:val="24"/>
              </w:rPr>
            </w:pPr>
            <w:r w:rsidRPr="00A44D93">
              <w:rPr>
                <w:rFonts w:ascii="Arial Narrow" w:hAnsi="Arial Narrow" w:cs="Arial"/>
                <w:b/>
                <w:sz w:val="24"/>
                <w:szCs w:val="24"/>
              </w:rPr>
              <w:t>Cumplido</w:t>
            </w:r>
          </w:p>
        </w:tc>
      </w:tr>
      <w:tr w:rsidR="001007D3" w:rsidRPr="00A44D93" w:rsidTr="00474389">
        <w:trPr>
          <w:cnfStyle w:val="000000100000"/>
          <w:trHeight w:val="4706"/>
        </w:trPr>
        <w:tc>
          <w:tcPr>
            <w:tcW w:w="657"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lastRenderedPageBreak/>
              <w:t>3</w:t>
            </w:r>
          </w:p>
        </w:tc>
        <w:tc>
          <w:tcPr>
            <w:tcW w:w="4813" w:type="dxa"/>
            <w:vAlign w:val="center"/>
          </w:tcPr>
          <w:p w:rsidR="001007D3" w:rsidRPr="00A44D93" w:rsidRDefault="001007D3" w:rsidP="00474389">
            <w:pPr>
              <w:spacing w:before="0"/>
              <w:jc w:val="left"/>
              <w:rPr>
                <w:rFonts w:ascii="Arial Narrow" w:hAnsi="Arial Narrow" w:cs="Arial"/>
                <w:sz w:val="24"/>
                <w:szCs w:val="24"/>
                <w:u w:val="single"/>
              </w:rPr>
            </w:pPr>
            <w:r w:rsidRPr="00A44D93">
              <w:rPr>
                <w:rFonts w:ascii="Arial Narrow" w:hAnsi="Arial Narrow" w:cs="Arial"/>
                <w:sz w:val="24"/>
                <w:szCs w:val="24"/>
              </w:rPr>
              <w:t>… d</w:t>
            </w:r>
            <w:r w:rsidRPr="00A44D93">
              <w:rPr>
                <w:rFonts w:ascii="Arial Narrow" w:hAnsi="Arial Narrow" w:cs="Arial"/>
                <w:sz w:val="24"/>
                <w:szCs w:val="24"/>
                <w:u w:val="single"/>
              </w:rPr>
              <w:t xml:space="preserve">e los servidores públicos, lo que debemos lograr es que se apropien </w:t>
            </w:r>
            <w:r w:rsidRPr="00A44D93">
              <w:rPr>
                <w:rFonts w:ascii="Arial Narrow" w:hAnsi="Arial Narrow" w:cs="Arial"/>
                <w:sz w:val="24"/>
                <w:szCs w:val="24"/>
              </w:rPr>
              <w:t>…</w:t>
            </w:r>
            <w:r w:rsidRPr="00A44D93">
              <w:rPr>
                <w:rFonts w:ascii="Arial Narrow" w:hAnsi="Arial Narrow" w:cs="Arial"/>
                <w:sz w:val="24"/>
                <w:szCs w:val="24"/>
                <w:u w:val="single"/>
              </w:rPr>
              <w:t xml:space="preserve">del ministerio y de la información  </w:t>
            </w:r>
          </w:p>
          <w:p w:rsidR="001007D3" w:rsidRPr="00A44D93" w:rsidRDefault="001007D3" w:rsidP="00474389">
            <w:pPr>
              <w:spacing w:before="0"/>
              <w:jc w:val="left"/>
              <w:rPr>
                <w:rFonts w:ascii="Arial Narrow" w:hAnsi="Arial Narrow" w:cs="Arial"/>
                <w:sz w:val="24"/>
                <w:szCs w:val="24"/>
              </w:rPr>
            </w:pPr>
          </w:p>
        </w:tc>
        <w:tc>
          <w:tcPr>
            <w:tcW w:w="3250" w:type="dxa"/>
            <w:vAlign w:val="center"/>
          </w:tcPr>
          <w:p w:rsidR="001007D3" w:rsidRPr="00A44D93" w:rsidRDefault="001007D3" w:rsidP="00474389">
            <w:pPr>
              <w:spacing w:before="0"/>
              <w:jc w:val="left"/>
              <w:rPr>
                <w:rFonts w:ascii="Arial Narrow" w:hAnsi="Arial Narrow" w:cs="Arial"/>
                <w:b/>
                <w:sz w:val="24"/>
                <w:szCs w:val="24"/>
              </w:rPr>
            </w:pPr>
            <w:r>
              <w:rPr>
                <w:rFonts w:ascii="Arial Narrow" w:hAnsi="Arial Narrow" w:cs="Arial"/>
                <w:sz w:val="24"/>
                <w:szCs w:val="24"/>
              </w:rPr>
              <w:t xml:space="preserve">                    </w:t>
            </w:r>
            <w:r w:rsidRPr="00A44D93">
              <w:rPr>
                <w:rFonts w:ascii="Arial Narrow" w:hAnsi="Arial Narrow" w:cs="Arial"/>
                <w:sz w:val="2"/>
                <w:szCs w:val="24"/>
              </w:rPr>
              <w:t xml:space="preserve"> </w:t>
            </w:r>
            <w:r w:rsidRPr="00A44D93">
              <w:rPr>
                <w:rFonts w:ascii="Arial Narrow" w:hAnsi="Arial Narrow" w:cs="Arial"/>
                <w:b/>
                <w:sz w:val="24"/>
                <w:szCs w:val="24"/>
              </w:rPr>
              <w:t>A</w:t>
            </w:r>
            <w:r>
              <w:rPr>
                <w:rFonts w:ascii="Arial Narrow" w:hAnsi="Arial Narrow" w:cs="Arial"/>
                <w:b/>
                <w:sz w:val="24"/>
                <w:szCs w:val="24"/>
              </w:rPr>
              <w:t>vance alto</w:t>
            </w:r>
          </w:p>
          <w:p w:rsidR="001007D3" w:rsidRPr="00A44D93" w:rsidRDefault="001007D3" w:rsidP="00474389">
            <w:pPr>
              <w:spacing w:before="0"/>
              <w:jc w:val="left"/>
              <w:rPr>
                <w:rFonts w:ascii="Arial Narrow" w:hAnsi="Arial Narrow" w:cs="Arial"/>
                <w:sz w:val="24"/>
                <w:szCs w:val="24"/>
              </w:rPr>
            </w:pPr>
            <w:r>
              <w:rPr>
                <w:rFonts w:ascii="Arial Narrow" w:hAnsi="Arial Narrow" w:cs="Arial"/>
                <w:sz w:val="24"/>
                <w:szCs w:val="24"/>
              </w:rPr>
              <w:t>E</w:t>
            </w:r>
            <w:r w:rsidRPr="00A44D93">
              <w:rPr>
                <w:rFonts w:ascii="Arial Narrow" w:hAnsi="Arial Narrow" w:cs="Arial"/>
                <w:sz w:val="24"/>
                <w:szCs w:val="24"/>
              </w:rPr>
              <w:t>n la implementación del gobierno central y en general de los organismos estatales con algunos rezagos regionales.</w:t>
            </w:r>
          </w:p>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t>Las barreras que señalan los entrevistados tienen que ver con cambios generacionales, barreras legales y barreras en la estrategia de las oficinas de sistemas de las instituciones que prohíben en algunos casos el uso de implementaciones tecnológicas.</w:t>
            </w:r>
          </w:p>
        </w:tc>
      </w:tr>
      <w:tr w:rsidR="001007D3" w:rsidRPr="00A44D93" w:rsidTr="00474389">
        <w:tc>
          <w:tcPr>
            <w:tcW w:w="657"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t>4</w:t>
            </w:r>
          </w:p>
        </w:tc>
        <w:tc>
          <w:tcPr>
            <w:tcW w:w="4813" w:type="dxa"/>
            <w:vAlign w:val="center"/>
          </w:tcPr>
          <w:p w:rsidR="001007D3" w:rsidRPr="00A44D93" w:rsidRDefault="001007D3" w:rsidP="00474389">
            <w:pPr>
              <w:spacing w:before="0"/>
              <w:jc w:val="left"/>
              <w:rPr>
                <w:rFonts w:ascii="Arial Narrow" w:hAnsi="Arial Narrow" w:cs="Arial"/>
                <w:sz w:val="24"/>
                <w:szCs w:val="24"/>
                <w:u w:val="single"/>
              </w:rPr>
            </w:pPr>
            <w:r w:rsidRPr="00A44D93">
              <w:rPr>
                <w:rFonts w:ascii="Arial Narrow" w:hAnsi="Arial Narrow" w:cs="Arial"/>
                <w:sz w:val="24"/>
                <w:szCs w:val="24"/>
              </w:rPr>
              <w:t xml:space="preserve">… </w:t>
            </w:r>
            <w:r w:rsidRPr="00A44D93">
              <w:rPr>
                <w:rFonts w:ascii="Arial Narrow" w:hAnsi="Arial Narrow" w:cs="Arial"/>
                <w:sz w:val="24"/>
                <w:szCs w:val="24"/>
                <w:u w:val="single"/>
              </w:rPr>
              <w:t>mostrarle a la gente la mejora en la calidad de vida</w:t>
            </w:r>
          </w:p>
          <w:p w:rsidR="001007D3" w:rsidRPr="00A44D93" w:rsidRDefault="001007D3" w:rsidP="00474389">
            <w:pPr>
              <w:spacing w:before="0"/>
              <w:jc w:val="left"/>
              <w:rPr>
                <w:rFonts w:ascii="Arial Narrow" w:hAnsi="Arial Narrow" w:cs="Arial"/>
                <w:sz w:val="24"/>
                <w:szCs w:val="24"/>
              </w:rPr>
            </w:pPr>
          </w:p>
        </w:tc>
        <w:tc>
          <w:tcPr>
            <w:tcW w:w="3250" w:type="dxa"/>
            <w:vAlign w:val="center"/>
          </w:tcPr>
          <w:p w:rsidR="001007D3" w:rsidRPr="00A44D93" w:rsidRDefault="001007D3" w:rsidP="00474389">
            <w:pPr>
              <w:spacing w:before="0"/>
              <w:rPr>
                <w:rFonts w:ascii="Arial Narrow" w:hAnsi="Arial Narrow" w:cs="Arial"/>
                <w:b/>
                <w:sz w:val="24"/>
                <w:szCs w:val="24"/>
              </w:rPr>
            </w:pPr>
            <w:r w:rsidRPr="00A44D93">
              <w:rPr>
                <w:rFonts w:ascii="Arial Narrow" w:hAnsi="Arial Narrow" w:cs="Arial"/>
                <w:b/>
                <w:sz w:val="24"/>
                <w:szCs w:val="24"/>
              </w:rPr>
              <w:t>Cumplido</w:t>
            </w:r>
          </w:p>
          <w:p w:rsidR="001007D3" w:rsidRPr="00A44D93" w:rsidRDefault="001007D3" w:rsidP="00474389">
            <w:pPr>
              <w:spacing w:before="0"/>
              <w:rPr>
                <w:rFonts w:ascii="Arial Narrow" w:hAnsi="Arial Narrow" w:cs="Arial"/>
                <w:sz w:val="24"/>
                <w:szCs w:val="24"/>
              </w:rPr>
            </w:pPr>
            <w:r w:rsidRPr="00A44D93">
              <w:rPr>
                <w:rFonts w:ascii="Arial Narrow" w:hAnsi="Arial Narrow" w:cs="Arial"/>
                <w:sz w:val="24"/>
                <w:szCs w:val="24"/>
              </w:rPr>
              <w:t>De acuerdo con los entrevistados la tecnología les ha traído comodidad, facilidad, confort e incluso estatus a los ciudadanos.</w:t>
            </w:r>
          </w:p>
        </w:tc>
      </w:tr>
      <w:tr w:rsidR="001007D3" w:rsidRPr="00A44D93" w:rsidTr="00474389">
        <w:trPr>
          <w:cnfStyle w:val="000000100000"/>
          <w:trHeight w:val="2551"/>
        </w:trPr>
        <w:tc>
          <w:tcPr>
            <w:tcW w:w="657"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t>5</w:t>
            </w:r>
          </w:p>
        </w:tc>
        <w:tc>
          <w:tcPr>
            <w:tcW w:w="4813" w:type="dxa"/>
            <w:vAlign w:val="center"/>
          </w:tcPr>
          <w:p w:rsidR="001007D3" w:rsidRPr="00A44D93" w:rsidRDefault="001007D3" w:rsidP="00474389">
            <w:pPr>
              <w:spacing w:before="0"/>
              <w:jc w:val="left"/>
              <w:rPr>
                <w:rFonts w:ascii="Arial Narrow" w:hAnsi="Arial Narrow" w:cs="Arial"/>
                <w:sz w:val="24"/>
                <w:szCs w:val="24"/>
                <w:u w:val="single"/>
              </w:rPr>
            </w:pPr>
            <w:r w:rsidRPr="00A44D93">
              <w:rPr>
                <w:rFonts w:ascii="Arial Narrow" w:hAnsi="Arial Narrow" w:cs="Arial"/>
                <w:sz w:val="24"/>
                <w:szCs w:val="24"/>
              </w:rPr>
              <w:t xml:space="preserve">… También tiene como objetivo </w:t>
            </w:r>
            <w:r w:rsidRPr="00A44D93">
              <w:rPr>
                <w:rFonts w:ascii="Arial Narrow" w:hAnsi="Arial Narrow" w:cs="Arial"/>
                <w:sz w:val="24"/>
                <w:szCs w:val="24"/>
                <w:u w:val="single"/>
              </w:rPr>
              <w:t>construir el significado de la “marca” (Vive Digital). Cada cosa que digamos debe aportar a la reputación de la marca</w:t>
            </w:r>
          </w:p>
          <w:p w:rsidR="001007D3" w:rsidRPr="00A44D93" w:rsidRDefault="001007D3" w:rsidP="00474389">
            <w:pPr>
              <w:spacing w:before="0"/>
              <w:jc w:val="left"/>
              <w:rPr>
                <w:rFonts w:ascii="Arial Narrow" w:hAnsi="Arial Narrow" w:cs="Arial"/>
                <w:sz w:val="24"/>
                <w:szCs w:val="24"/>
              </w:rPr>
            </w:pPr>
          </w:p>
        </w:tc>
        <w:tc>
          <w:tcPr>
            <w:tcW w:w="3250" w:type="dxa"/>
            <w:vAlign w:val="center"/>
          </w:tcPr>
          <w:p w:rsidR="001007D3" w:rsidRPr="00995A7C" w:rsidRDefault="001007D3" w:rsidP="00474389">
            <w:pPr>
              <w:spacing w:before="0"/>
              <w:rPr>
                <w:rFonts w:ascii="Arial Narrow" w:hAnsi="Arial Narrow" w:cs="Arial"/>
                <w:b/>
                <w:sz w:val="24"/>
                <w:szCs w:val="24"/>
              </w:rPr>
            </w:pPr>
            <w:r w:rsidRPr="00995A7C">
              <w:rPr>
                <w:rFonts w:ascii="Arial Narrow" w:hAnsi="Arial Narrow" w:cs="Arial"/>
                <w:b/>
                <w:sz w:val="24"/>
                <w:szCs w:val="24"/>
              </w:rPr>
              <w:t>Avance medio</w:t>
            </w:r>
          </w:p>
          <w:p w:rsidR="001007D3" w:rsidRPr="00A44D93" w:rsidRDefault="001007D3" w:rsidP="00474389">
            <w:pPr>
              <w:spacing w:before="0"/>
              <w:rPr>
                <w:rFonts w:ascii="Arial Narrow" w:hAnsi="Arial Narrow" w:cs="Arial"/>
                <w:sz w:val="24"/>
                <w:szCs w:val="24"/>
              </w:rPr>
            </w:pPr>
            <w:r w:rsidRPr="00A44D93">
              <w:rPr>
                <w:rFonts w:ascii="Arial Narrow" w:hAnsi="Arial Narrow" w:cs="Arial"/>
                <w:sz w:val="24"/>
                <w:szCs w:val="24"/>
              </w:rPr>
              <w:t>Una amplísima divulgación y un reconocimiento muy alto en algunos sectores, sin embargo para algunas audiencias no es claro y no lo asocian con un concepto de marca definido.</w:t>
            </w:r>
          </w:p>
        </w:tc>
      </w:tr>
      <w:tr w:rsidR="001007D3" w:rsidRPr="00A44D93" w:rsidTr="00474389">
        <w:tc>
          <w:tcPr>
            <w:tcW w:w="657"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t>6</w:t>
            </w:r>
          </w:p>
        </w:tc>
        <w:tc>
          <w:tcPr>
            <w:tcW w:w="4813"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t xml:space="preserve">… </w:t>
            </w:r>
            <w:r w:rsidRPr="00A44D93">
              <w:rPr>
                <w:rFonts w:ascii="Arial Narrow" w:hAnsi="Arial Narrow" w:cs="Arial"/>
                <w:sz w:val="24"/>
                <w:szCs w:val="24"/>
                <w:u w:val="single"/>
              </w:rPr>
              <w:t>evidenciar que el Ministerio es el motor detrás de tantas acciones de desarrollo y conectividad para beneficiar a los colombianos.</w:t>
            </w:r>
          </w:p>
        </w:tc>
        <w:tc>
          <w:tcPr>
            <w:tcW w:w="3250" w:type="dxa"/>
            <w:vAlign w:val="center"/>
          </w:tcPr>
          <w:p w:rsidR="001007D3" w:rsidRPr="00995A7C" w:rsidRDefault="001007D3" w:rsidP="00474389">
            <w:pPr>
              <w:spacing w:before="0"/>
              <w:rPr>
                <w:rFonts w:ascii="Arial Narrow" w:hAnsi="Arial Narrow" w:cs="Arial"/>
                <w:b/>
                <w:sz w:val="24"/>
                <w:szCs w:val="24"/>
              </w:rPr>
            </w:pPr>
            <w:r w:rsidRPr="00995A7C">
              <w:rPr>
                <w:rFonts w:ascii="Arial Narrow" w:hAnsi="Arial Narrow" w:cs="Arial"/>
                <w:b/>
                <w:sz w:val="24"/>
                <w:szCs w:val="24"/>
              </w:rPr>
              <w:t xml:space="preserve">Avance </w:t>
            </w:r>
            <w:r>
              <w:rPr>
                <w:rFonts w:ascii="Arial Narrow" w:hAnsi="Arial Narrow" w:cs="Arial"/>
                <w:b/>
                <w:sz w:val="24"/>
                <w:szCs w:val="24"/>
              </w:rPr>
              <w:t>bajo</w:t>
            </w:r>
          </w:p>
          <w:p w:rsidR="001007D3" w:rsidRPr="00A44D93" w:rsidRDefault="001007D3" w:rsidP="00474389">
            <w:pPr>
              <w:spacing w:before="0"/>
              <w:rPr>
                <w:rFonts w:ascii="Arial Narrow" w:hAnsi="Arial Narrow" w:cs="Arial"/>
                <w:sz w:val="24"/>
                <w:szCs w:val="24"/>
              </w:rPr>
            </w:pPr>
            <w:r w:rsidRPr="00A44D93">
              <w:rPr>
                <w:rFonts w:ascii="Arial Narrow" w:hAnsi="Arial Narrow" w:cs="Arial"/>
                <w:sz w:val="24"/>
                <w:szCs w:val="24"/>
              </w:rPr>
              <w:t>De lo respondido por los entrevistados si bien las organizaciones del sector reconocen la labor del ministerio señalan que no sucede lo mismo con las audiencias más amplias.</w:t>
            </w:r>
          </w:p>
        </w:tc>
      </w:tr>
      <w:tr w:rsidR="001007D3" w:rsidRPr="00A44D93" w:rsidTr="00474389">
        <w:trPr>
          <w:cnfStyle w:val="000000100000"/>
          <w:trHeight w:val="3118"/>
        </w:trPr>
        <w:tc>
          <w:tcPr>
            <w:tcW w:w="657"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lastRenderedPageBreak/>
              <w:t>7</w:t>
            </w:r>
          </w:p>
        </w:tc>
        <w:tc>
          <w:tcPr>
            <w:tcW w:w="4813"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t>…incluyendo el reconocimiento del Ministro y su labor</w:t>
            </w:r>
          </w:p>
        </w:tc>
        <w:tc>
          <w:tcPr>
            <w:tcW w:w="3250" w:type="dxa"/>
            <w:vAlign w:val="center"/>
          </w:tcPr>
          <w:p w:rsidR="001007D3" w:rsidRDefault="001007D3" w:rsidP="00474389">
            <w:pPr>
              <w:spacing w:before="0"/>
              <w:rPr>
                <w:rFonts w:ascii="Arial Narrow" w:hAnsi="Arial Narrow" w:cs="Arial"/>
                <w:sz w:val="24"/>
                <w:szCs w:val="24"/>
              </w:rPr>
            </w:pPr>
            <w:r w:rsidRPr="00A44D93">
              <w:rPr>
                <w:rFonts w:ascii="Arial Narrow" w:hAnsi="Arial Narrow" w:cs="Arial"/>
                <w:b/>
                <w:sz w:val="24"/>
                <w:szCs w:val="24"/>
              </w:rPr>
              <w:t>A</w:t>
            </w:r>
            <w:r>
              <w:rPr>
                <w:rFonts w:ascii="Arial Narrow" w:hAnsi="Arial Narrow" w:cs="Arial"/>
                <w:b/>
                <w:sz w:val="24"/>
                <w:szCs w:val="24"/>
              </w:rPr>
              <w:t>vance alto</w:t>
            </w:r>
          </w:p>
          <w:p w:rsidR="001007D3" w:rsidRPr="00A44D93" w:rsidRDefault="001007D3" w:rsidP="00474389">
            <w:pPr>
              <w:spacing w:before="0"/>
              <w:rPr>
                <w:rFonts w:ascii="Arial Narrow" w:hAnsi="Arial Narrow" w:cs="Arial"/>
                <w:sz w:val="24"/>
                <w:szCs w:val="24"/>
              </w:rPr>
            </w:pPr>
            <w:r w:rsidRPr="00A44D93">
              <w:rPr>
                <w:rFonts w:ascii="Arial Narrow" w:hAnsi="Arial Narrow" w:cs="Arial"/>
                <w:sz w:val="24"/>
                <w:szCs w:val="24"/>
              </w:rPr>
              <w:t xml:space="preserve">El Ministro tiene un reconocimiento muy alto fortalecido con conceptos de marca positivos que le garantizan un posicionamiento sólido. </w:t>
            </w:r>
            <w:r>
              <w:rPr>
                <w:rFonts w:ascii="Arial Narrow" w:hAnsi="Arial Narrow" w:cs="Arial"/>
                <w:sz w:val="24"/>
                <w:szCs w:val="24"/>
              </w:rPr>
              <w:t>Se asocia</w:t>
            </w:r>
            <w:r w:rsidRPr="00A44D93">
              <w:rPr>
                <w:rFonts w:ascii="Arial Narrow" w:hAnsi="Arial Narrow" w:cs="Arial"/>
                <w:sz w:val="24"/>
                <w:szCs w:val="24"/>
              </w:rPr>
              <w:t xml:space="preserve"> más la marca Vive Digital con el ministro que con el ministerio.</w:t>
            </w:r>
          </w:p>
        </w:tc>
      </w:tr>
      <w:tr w:rsidR="001007D3" w:rsidRPr="00A44D93" w:rsidTr="00474389">
        <w:trPr>
          <w:trHeight w:val="4932"/>
        </w:trPr>
        <w:tc>
          <w:tcPr>
            <w:tcW w:w="657" w:type="dxa"/>
            <w:vAlign w:val="center"/>
          </w:tcPr>
          <w:p w:rsidR="001007D3" w:rsidRPr="00A44D93" w:rsidRDefault="001007D3" w:rsidP="00474389">
            <w:pPr>
              <w:spacing w:before="0"/>
              <w:jc w:val="left"/>
              <w:rPr>
                <w:rFonts w:ascii="Arial Narrow" w:hAnsi="Arial Narrow" w:cs="Arial"/>
                <w:sz w:val="24"/>
                <w:szCs w:val="24"/>
              </w:rPr>
            </w:pPr>
            <w:r w:rsidRPr="00A44D93">
              <w:rPr>
                <w:rFonts w:ascii="Arial Narrow" w:hAnsi="Arial Narrow" w:cs="Arial"/>
                <w:sz w:val="24"/>
                <w:szCs w:val="24"/>
              </w:rPr>
              <w:t>8</w:t>
            </w:r>
          </w:p>
        </w:tc>
        <w:tc>
          <w:tcPr>
            <w:tcW w:w="4813" w:type="dxa"/>
            <w:vAlign w:val="center"/>
          </w:tcPr>
          <w:p w:rsidR="001007D3" w:rsidRPr="00A44D93" w:rsidRDefault="001007D3" w:rsidP="00474389">
            <w:pPr>
              <w:spacing w:before="0"/>
              <w:jc w:val="left"/>
              <w:rPr>
                <w:rFonts w:ascii="Arial Narrow" w:hAnsi="Arial Narrow" w:cs="Arial"/>
                <w:sz w:val="24"/>
                <w:szCs w:val="24"/>
                <w:u w:val="single"/>
              </w:rPr>
            </w:pPr>
            <w:r w:rsidRPr="00A44D93">
              <w:rPr>
                <w:rFonts w:ascii="Arial Narrow" w:hAnsi="Arial Narrow" w:cs="Arial"/>
                <w:sz w:val="24"/>
                <w:szCs w:val="24"/>
              </w:rPr>
              <w:t xml:space="preserve">… </w:t>
            </w:r>
            <w:r w:rsidRPr="00A44D93">
              <w:rPr>
                <w:rFonts w:ascii="Arial Narrow" w:hAnsi="Arial Narrow" w:cs="Arial"/>
                <w:sz w:val="24"/>
                <w:szCs w:val="24"/>
                <w:u w:val="single"/>
              </w:rPr>
              <w:t xml:space="preserve">Toda la comunicación debe aportar al mensaje principal de este gobierno que es el de procurar prosperidad para todos </w:t>
            </w:r>
          </w:p>
          <w:p w:rsidR="001007D3" w:rsidRPr="00A44D93" w:rsidRDefault="001007D3" w:rsidP="00474389">
            <w:pPr>
              <w:spacing w:before="0"/>
              <w:jc w:val="left"/>
              <w:rPr>
                <w:rFonts w:ascii="Arial Narrow" w:hAnsi="Arial Narrow" w:cs="Arial"/>
                <w:sz w:val="24"/>
                <w:szCs w:val="24"/>
              </w:rPr>
            </w:pPr>
          </w:p>
        </w:tc>
        <w:tc>
          <w:tcPr>
            <w:tcW w:w="3250" w:type="dxa"/>
            <w:vAlign w:val="center"/>
          </w:tcPr>
          <w:p w:rsidR="001007D3" w:rsidRDefault="001007D3" w:rsidP="00474389">
            <w:pPr>
              <w:spacing w:before="0"/>
              <w:rPr>
                <w:rFonts w:ascii="Arial Narrow" w:hAnsi="Arial Narrow" w:cs="Arial"/>
                <w:sz w:val="24"/>
                <w:szCs w:val="24"/>
              </w:rPr>
            </w:pPr>
            <w:r w:rsidRPr="00A44D93">
              <w:rPr>
                <w:rFonts w:ascii="Arial Narrow" w:hAnsi="Arial Narrow" w:cs="Arial"/>
                <w:b/>
                <w:sz w:val="24"/>
                <w:szCs w:val="24"/>
              </w:rPr>
              <w:t>A</w:t>
            </w:r>
            <w:r>
              <w:rPr>
                <w:rFonts w:ascii="Arial Narrow" w:hAnsi="Arial Narrow" w:cs="Arial"/>
                <w:b/>
                <w:sz w:val="24"/>
                <w:szCs w:val="24"/>
              </w:rPr>
              <w:t>vance alto</w:t>
            </w:r>
          </w:p>
          <w:p w:rsidR="001007D3" w:rsidRPr="00A44D93" w:rsidRDefault="001007D3" w:rsidP="00474389">
            <w:pPr>
              <w:spacing w:before="0"/>
              <w:rPr>
                <w:rFonts w:ascii="Arial Narrow" w:hAnsi="Arial Narrow" w:cs="Arial"/>
                <w:sz w:val="24"/>
                <w:szCs w:val="24"/>
              </w:rPr>
            </w:pPr>
            <w:r w:rsidRPr="00A44D93">
              <w:rPr>
                <w:rFonts w:ascii="Arial Narrow" w:hAnsi="Arial Narrow" w:cs="Arial"/>
                <w:sz w:val="24"/>
                <w:szCs w:val="24"/>
              </w:rPr>
              <w:t>Como marca el término “Prosperidad para todos” es más fuerte que la marca “</w:t>
            </w:r>
            <w:r>
              <w:rPr>
                <w:rFonts w:ascii="Arial Narrow" w:hAnsi="Arial Narrow" w:cs="Arial"/>
                <w:sz w:val="24"/>
                <w:szCs w:val="24"/>
              </w:rPr>
              <w:t>MINTIC</w:t>
            </w:r>
            <w:r w:rsidRPr="00A44D93">
              <w:rPr>
                <w:rFonts w:ascii="Arial Narrow" w:hAnsi="Arial Narrow" w:cs="Arial"/>
                <w:sz w:val="24"/>
                <w:szCs w:val="24"/>
              </w:rPr>
              <w:t>” e incluso el mismo “Vive Digital” lo cual genera cierto efecto de halo que sería interesante revisar en estudios más profundos y ojalá regionales.</w:t>
            </w:r>
          </w:p>
          <w:p w:rsidR="001007D3" w:rsidRPr="00A44D93" w:rsidRDefault="001007D3" w:rsidP="00474389">
            <w:pPr>
              <w:spacing w:before="0"/>
              <w:rPr>
                <w:rFonts w:ascii="Arial Narrow" w:hAnsi="Arial Narrow" w:cs="Arial"/>
                <w:sz w:val="24"/>
                <w:szCs w:val="24"/>
              </w:rPr>
            </w:pPr>
            <w:r w:rsidRPr="00A44D93">
              <w:rPr>
                <w:rFonts w:ascii="Arial Narrow" w:hAnsi="Arial Narrow" w:cs="Arial"/>
                <w:sz w:val="24"/>
                <w:szCs w:val="24"/>
              </w:rPr>
              <w:t xml:space="preserve">Si se observa solo el término “Prosperidad” la tecnología genera un símbolo de estatus al respecto pero </w:t>
            </w:r>
            <w:r>
              <w:rPr>
                <w:rFonts w:ascii="Arial Narrow" w:hAnsi="Arial Narrow" w:cs="Arial"/>
                <w:sz w:val="24"/>
                <w:szCs w:val="24"/>
              </w:rPr>
              <w:t>sus efectos positivos se ven con una incidencia de más largo plazo</w:t>
            </w:r>
            <w:r w:rsidRPr="00A44D93">
              <w:rPr>
                <w:rFonts w:ascii="Arial Narrow" w:hAnsi="Arial Narrow" w:cs="Arial"/>
                <w:sz w:val="24"/>
                <w:szCs w:val="24"/>
              </w:rPr>
              <w:t>.</w:t>
            </w:r>
          </w:p>
        </w:tc>
      </w:tr>
    </w:tbl>
    <w:p w:rsidR="001007D3" w:rsidRDefault="001007D3" w:rsidP="001007D3">
      <w:pPr>
        <w:pStyle w:val="PiedeCuadro"/>
      </w:pPr>
      <w:r>
        <w:t>Fuente: Elaboración propia.</w:t>
      </w:r>
    </w:p>
    <w:p w:rsidR="001007D3" w:rsidRPr="00995A7C" w:rsidRDefault="001007D3" w:rsidP="00613C5C">
      <w:pPr>
        <w:pStyle w:val="Prrafodelista"/>
        <w:numPr>
          <w:ilvl w:val="0"/>
          <w:numId w:val="50"/>
        </w:numPr>
        <w:spacing w:after="240"/>
        <w:contextualSpacing w:val="0"/>
        <w:rPr>
          <w:rFonts w:cs="Arial"/>
        </w:rPr>
      </w:pPr>
      <w:r w:rsidRPr="00995A7C">
        <w:rPr>
          <w:rFonts w:cs="Arial"/>
        </w:rPr>
        <w:t>De acuerdo con el material suministrado por la oficina de comunicaciones la ejecución operacional (t</w:t>
      </w:r>
      <w:r>
        <w:rPr>
          <w:rFonts w:cs="Arial"/>
        </w:rPr>
        <w:t>areas) y táctica (acciones) es Avanzada</w:t>
      </w:r>
      <w:r w:rsidRPr="00995A7C">
        <w:rPr>
          <w:rFonts w:cs="Arial"/>
        </w:rPr>
        <w:t>. Sin embargo hay que mejorar en la percepción ciudadana.</w:t>
      </w:r>
    </w:p>
    <w:p w:rsidR="001007D3" w:rsidRPr="00995A7C" w:rsidRDefault="001007D3" w:rsidP="00613C5C">
      <w:pPr>
        <w:pStyle w:val="Prrafodelista"/>
        <w:numPr>
          <w:ilvl w:val="0"/>
          <w:numId w:val="50"/>
        </w:numPr>
        <w:spacing w:after="240"/>
        <w:contextualSpacing w:val="0"/>
        <w:rPr>
          <w:rFonts w:cs="Arial"/>
        </w:rPr>
      </w:pPr>
      <w:r w:rsidRPr="00995A7C">
        <w:rPr>
          <w:rFonts w:cs="Arial"/>
        </w:rPr>
        <w:t>A la ciudadanía le hace falta enterarse de los trámites que puede hacer en línea y ser competente y confiar en su uso</w:t>
      </w:r>
      <w:r>
        <w:rPr>
          <w:rFonts w:cs="Arial"/>
        </w:rPr>
        <w:t>.</w:t>
      </w:r>
    </w:p>
    <w:p w:rsidR="001007D3" w:rsidRPr="00995A7C" w:rsidRDefault="001007D3" w:rsidP="00613C5C">
      <w:pPr>
        <w:pStyle w:val="Prrafodelista"/>
        <w:numPr>
          <w:ilvl w:val="0"/>
          <w:numId w:val="50"/>
        </w:numPr>
        <w:spacing w:after="240"/>
        <w:contextualSpacing w:val="0"/>
        <w:rPr>
          <w:rFonts w:cs="Arial"/>
        </w:rPr>
      </w:pPr>
      <w:r w:rsidRPr="00995A7C">
        <w:rPr>
          <w:rFonts w:cs="Arial"/>
        </w:rPr>
        <w:t>Los per</w:t>
      </w:r>
      <w:r>
        <w:rPr>
          <w:rFonts w:cs="Arial"/>
        </w:rPr>
        <w:t xml:space="preserve">iodistas reciben la información y, </w:t>
      </w:r>
      <w:r w:rsidRPr="00995A7C">
        <w:rPr>
          <w:rFonts w:cs="Arial"/>
        </w:rPr>
        <w:t>si bien son el canal que al parecer ha sido utilizado para informar a la ciudadanía, a los ciudadanos les hace falta información al respecto.</w:t>
      </w:r>
    </w:p>
    <w:p w:rsidR="001007D3" w:rsidRPr="00995A7C" w:rsidRDefault="001007D3" w:rsidP="00613C5C">
      <w:pPr>
        <w:pStyle w:val="Prrafodelista"/>
        <w:numPr>
          <w:ilvl w:val="0"/>
          <w:numId w:val="50"/>
        </w:numPr>
        <w:spacing w:after="240"/>
        <w:contextualSpacing w:val="0"/>
        <w:rPr>
          <w:rFonts w:cs="Arial"/>
        </w:rPr>
      </w:pPr>
      <w:r w:rsidRPr="00995A7C">
        <w:rPr>
          <w:rFonts w:cs="Arial"/>
        </w:rPr>
        <w:lastRenderedPageBreak/>
        <w:t>Las empresas del sector y la prensa cuentan con información del Ministerio pero de lo percibido por los entrevistados aún le falta mucha vinculación a la ciudadanía.</w:t>
      </w:r>
    </w:p>
    <w:p w:rsidR="001007D3" w:rsidRPr="009B7DC8" w:rsidRDefault="006D3520" w:rsidP="001007D3">
      <w:pPr>
        <w:pStyle w:val="Ttulo2"/>
        <w:numPr>
          <w:ilvl w:val="0"/>
          <w:numId w:val="0"/>
        </w:numPr>
        <w:ind w:left="578" w:hanging="578"/>
      </w:pPr>
      <w:bookmarkStart w:id="197" w:name="_Toc399926705"/>
      <w:bookmarkStart w:id="198" w:name="_Toc405992336"/>
      <w:r>
        <w:t xml:space="preserve">A4.3 </w:t>
      </w:r>
      <w:r w:rsidR="001007D3">
        <w:t>Recomendaciones</w:t>
      </w:r>
      <w:bookmarkEnd w:id="197"/>
      <w:bookmarkEnd w:id="198"/>
    </w:p>
    <w:p w:rsidR="001007D3" w:rsidRPr="009B7DC8" w:rsidRDefault="001007D3" w:rsidP="00613C5C">
      <w:pPr>
        <w:pStyle w:val="Prrafodelista"/>
        <w:numPr>
          <w:ilvl w:val="0"/>
          <w:numId w:val="51"/>
        </w:numPr>
        <w:spacing w:after="240"/>
        <w:ind w:left="714" w:hanging="357"/>
        <w:contextualSpacing w:val="0"/>
        <w:rPr>
          <w:rFonts w:cs="Arial"/>
        </w:rPr>
      </w:pPr>
      <w:r w:rsidRPr="009B7DC8">
        <w:rPr>
          <w:rFonts w:cs="Arial"/>
        </w:rPr>
        <w:t xml:space="preserve">Se sugiere unificar un concepto que reúna las marcas, </w:t>
      </w:r>
      <w:r>
        <w:rPr>
          <w:rFonts w:cs="Arial"/>
        </w:rPr>
        <w:t>que sea</w:t>
      </w:r>
      <w:r w:rsidRPr="009B7DC8">
        <w:rPr>
          <w:rFonts w:cs="Arial"/>
        </w:rPr>
        <w:t xml:space="preserve"> inspirador para que invite a la participación la tecnología por la tecnología o la tecnología por la innovación no vincula algunos sectores de la ciudadanía.</w:t>
      </w:r>
    </w:p>
    <w:p w:rsidR="001007D3" w:rsidRPr="009B7DC8" w:rsidRDefault="001007D3" w:rsidP="00613C5C">
      <w:pPr>
        <w:pStyle w:val="Prrafodelista"/>
        <w:numPr>
          <w:ilvl w:val="0"/>
          <w:numId w:val="51"/>
        </w:numPr>
        <w:spacing w:after="240"/>
        <w:ind w:left="714" w:hanging="357"/>
        <w:contextualSpacing w:val="0"/>
        <w:rPr>
          <w:rFonts w:cs="Arial"/>
        </w:rPr>
      </w:pPr>
      <w:r w:rsidRPr="009B7DC8">
        <w:rPr>
          <w:rFonts w:cs="Arial"/>
        </w:rPr>
        <w:t>Tener demasiados conceptos asociados a la marca dificulta la apropiación de la misma en la ciudadanía.</w:t>
      </w:r>
      <w:r>
        <w:rPr>
          <w:rFonts w:cs="Arial"/>
        </w:rPr>
        <w:t xml:space="preserve"> </w:t>
      </w:r>
      <w:r w:rsidRPr="009B7DC8">
        <w:rPr>
          <w:rFonts w:cs="Arial"/>
        </w:rPr>
        <w:t>Revisar una estrategia directa hacia la ciudadanía, tipo sistema informativo.</w:t>
      </w:r>
    </w:p>
    <w:p w:rsidR="00BA6691" w:rsidRPr="00677B64" w:rsidRDefault="00BA6691" w:rsidP="00677B64">
      <w:pPr>
        <w:pStyle w:val="T-Figura"/>
        <w:spacing w:after="240"/>
        <w:jc w:val="both"/>
        <w:rPr>
          <w:rFonts w:ascii="Garamond" w:eastAsia="Calibri" w:hAnsi="Garamond" w:cs="Times New Roman"/>
          <w:b w:val="0"/>
          <w:bCs w:val="0"/>
          <w:color w:val="auto"/>
          <w:sz w:val="26"/>
          <w:szCs w:val="26"/>
          <w:lang w:val="es-ES_tradnl"/>
        </w:rPr>
      </w:pPr>
    </w:p>
    <w:p w:rsidR="00BA6691" w:rsidRPr="00677B64" w:rsidRDefault="00BA6691" w:rsidP="00677B64">
      <w:pPr>
        <w:pStyle w:val="T-Figura"/>
        <w:spacing w:after="240"/>
        <w:rPr>
          <w:rFonts w:ascii="Garamond" w:eastAsia="Calibri" w:hAnsi="Garamond" w:cs="Times New Roman"/>
          <w:b w:val="0"/>
          <w:bCs w:val="0"/>
          <w:color w:val="auto"/>
          <w:sz w:val="26"/>
          <w:szCs w:val="26"/>
          <w:lang w:val="es-ES_tradnl"/>
        </w:rPr>
      </w:pPr>
    </w:p>
    <w:p w:rsidR="009C2B40" w:rsidRPr="00677B64" w:rsidRDefault="009C2B40" w:rsidP="00677B64">
      <w:pPr>
        <w:pStyle w:val="T-Figura"/>
        <w:spacing w:after="240"/>
        <w:rPr>
          <w:rFonts w:ascii="Garamond" w:eastAsia="Calibri" w:hAnsi="Garamond" w:cs="Times New Roman"/>
          <w:b w:val="0"/>
          <w:bCs w:val="0"/>
          <w:color w:val="auto"/>
          <w:sz w:val="26"/>
          <w:szCs w:val="26"/>
          <w:lang w:val="es-ES_tradnl"/>
        </w:rPr>
      </w:pPr>
    </w:p>
    <w:p w:rsidR="009C2B40" w:rsidRPr="00677B64" w:rsidRDefault="009C2B40" w:rsidP="00677B64">
      <w:pPr>
        <w:pStyle w:val="T-Figura"/>
        <w:spacing w:after="240"/>
        <w:rPr>
          <w:rFonts w:ascii="Garamond" w:eastAsia="Calibri" w:hAnsi="Garamond" w:cs="Times New Roman"/>
          <w:b w:val="0"/>
          <w:bCs w:val="0"/>
          <w:color w:val="auto"/>
          <w:sz w:val="26"/>
          <w:szCs w:val="26"/>
          <w:lang w:val="es-ES_tradnl"/>
        </w:rPr>
      </w:pPr>
    </w:p>
    <w:p w:rsidR="009C2B40" w:rsidRDefault="009C2B40" w:rsidP="00CA63D3">
      <w:pPr>
        <w:rPr>
          <w:rFonts w:eastAsia="Calibri" w:cs="Times New Roman"/>
        </w:rPr>
      </w:pPr>
    </w:p>
    <w:p w:rsidR="009C2B40" w:rsidRDefault="009C2B40" w:rsidP="00CA63D3">
      <w:pPr>
        <w:rPr>
          <w:rFonts w:eastAsia="Calibri" w:cs="Times New Roman"/>
        </w:rPr>
      </w:pPr>
    </w:p>
    <w:p w:rsidR="009C2B40" w:rsidRDefault="009C2B40" w:rsidP="00CA63D3">
      <w:pPr>
        <w:rPr>
          <w:rFonts w:eastAsia="Calibri" w:cs="Times New Roman"/>
        </w:rPr>
      </w:pPr>
    </w:p>
    <w:p w:rsidR="009C2B40" w:rsidRDefault="009C2B40" w:rsidP="00CA63D3">
      <w:pPr>
        <w:rPr>
          <w:rFonts w:eastAsia="Calibri" w:cs="Times New Roman"/>
        </w:rPr>
      </w:pPr>
    </w:p>
    <w:p w:rsidR="009C2B40" w:rsidRDefault="009C2B40" w:rsidP="00CA63D3">
      <w:pPr>
        <w:rPr>
          <w:rFonts w:eastAsia="Calibri" w:cs="Times New Roman"/>
        </w:rPr>
      </w:pPr>
    </w:p>
    <w:p w:rsidR="00544B68" w:rsidRDefault="00544B68">
      <w:pPr>
        <w:spacing w:before="0" w:after="120"/>
        <w:rPr>
          <w:rFonts w:ascii="Century Gothic" w:eastAsia="Times New Roman" w:hAnsi="Century Gothic" w:cstheme="majorBidi"/>
          <w:bCs/>
          <w:smallCaps/>
          <w:color w:val="C00000"/>
          <w:sz w:val="36"/>
          <w:szCs w:val="36"/>
          <w:lang w:val="es-CO" w:eastAsia="es-ES"/>
        </w:rPr>
      </w:pPr>
      <w:r>
        <w:rPr>
          <w:rFonts w:eastAsia="Times New Roman"/>
          <w:lang w:val="es-CO" w:eastAsia="es-ES"/>
        </w:rPr>
        <w:br w:type="page"/>
      </w:r>
    </w:p>
    <w:p w:rsidR="00544B68" w:rsidRDefault="00544B68" w:rsidP="00E206EE">
      <w:pPr>
        <w:pStyle w:val="Titulocaptulo-Econometra"/>
        <w:contextualSpacing w:val="0"/>
        <w:rPr>
          <w:rFonts w:eastAsia="Times New Roman"/>
          <w:lang w:val="es-CO" w:eastAsia="es-ES"/>
        </w:rPr>
      </w:pPr>
    </w:p>
    <w:p w:rsidR="00580918" w:rsidRPr="00580918" w:rsidRDefault="00580918" w:rsidP="00E206EE">
      <w:pPr>
        <w:pStyle w:val="Titulocaptulo-Econometra"/>
        <w:contextualSpacing w:val="0"/>
        <w:rPr>
          <w:rFonts w:eastAsia="Times New Roman"/>
          <w:lang w:val="es-CO" w:eastAsia="es-ES"/>
        </w:rPr>
      </w:pPr>
      <w:bookmarkStart w:id="199" w:name="_Toc405992337"/>
      <w:r w:rsidRPr="00580918">
        <w:rPr>
          <w:rFonts w:eastAsia="Times New Roman"/>
          <w:lang w:val="es-CO" w:eastAsia="es-ES"/>
        </w:rPr>
        <w:t xml:space="preserve">Anexo </w:t>
      </w:r>
      <w:r w:rsidR="006F7E9B">
        <w:rPr>
          <w:rFonts w:eastAsia="Times New Roman"/>
          <w:lang w:val="es-CO" w:eastAsia="es-ES"/>
        </w:rPr>
        <w:t>A</w:t>
      </w:r>
      <w:r w:rsidR="00544B68">
        <w:rPr>
          <w:rFonts w:eastAsia="Times New Roman"/>
          <w:lang w:val="es-CO" w:eastAsia="es-ES"/>
        </w:rPr>
        <w:t>5</w:t>
      </w:r>
      <w:bookmarkEnd w:id="199"/>
      <w:r w:rsidRPr="00580918">
        <w:rPr>
          <w:rFonts w:eastAsia="Times New Roman"/>
          <w:lang w:val="es-CO" w:eastAsia="es-ES"/>
        </w:rPr>
        <w:t xml:space="preserve"> </w:t>
      </w:r>
    </w:p>
    <w:p w:rsidR="00580918" w:rsidRDefault="005F447D" w:rsidP="005F447D">
      <w:pPr>
        <w:pStyle w:val="Titulocaptulo-Econometra"/>
        <w:contextualSpacing w:val="0"/>
        <w:rPr>
          <w:rFonts w:eastAsia="Times New Roman"/>
          <w:lang w:val="es-CO" w:eastAsia="es-ES"/>
        </w:rPr>
      </w:pPr>
      <w:bookmarkStart w:id="200" w:name="_Toc405992338"/>
      <w:r>
        <w:rPr>
          <w:rFonts w:eastAsia="Times New Roman"/>
          <w:lang w:val="es-CO" w:eastAsia="es-ES"/>
        </w:rPr>
        <w:t>Información de otras fuentes secundarias citadas por estudios de referencia</w:t>
      </w:r>
      <w:bookmarkEnd w:id="200"/>
    </w:p>
    <w:p w:rsidR="005F447D" w:rsidRPr="005F447D" w:rsidRDefault="005F447D" w:rsidP="005F447D">
      <w:pPr>
        <w:rPr>
          <w:lang w:val="es-CO" w:eastAsia="es-ES"/>
        </w:rPr>
      </w:pPr>
    </w:p>
    <w:p w:rsidR="00580918" w:rsidRPr="005F447D" w:rsidRDefault="006D3520" w:rsidP="006D3520">
      <w:pPr>
        <w:keepNext/>
        <w:keepLines/>
        <w:spacing w:before="0" w:after="200"/>
        <w:jc w:val="left"/>
        <w:outlineLvl w:val="0"/>
        <w:rPr>
          <w:rFonts w:ascii="Century Gothic" w:eastAsia="Times New Roman" w:hAnsi="Century Gothic" w:cs="Times New Roman"/>
          <w:bCs/>
          <w:smallCaps/>
          <w:color w:val="C00000"/>
          <w:sz w:val="30"/>
          <w:szCs w:val="30"/>
          <w:lang w:val="es-ES" w:eastAsia="es-CO"/>
        </w:rPr>
      </w:pPr>
      <w:r>
        <w:rPr>
          <w:rFonts w:ascii="Century Gothic" w:eastAsia="Times New Roman" w:hAnsi="Century Gothic" w:cs="Times New Roman"/>
          <w:bCs/>
          <w:smallCaps/>
          <w:color w:val="C00000"/>
          <w:sz w:val="30"/>
          <w:szCs w:val="30"/>
          <w:lang w:val="es-ES" w:eastAsia="es-CO"/>
        </w:rPr>
        <w:t xml:space="preserve">A5.1 </w:t>
      </w:r>
      <w:r w:rsidR="00580918" w:rsidRPr="005F447D">
        <w:rPr>
          <w:rFonts w:ascii="Century Gothic" w:eastAsia="Times New Roman" w:hAnsi="Century Gothic" w:cs="Times New Roman"/>
          <w:bCs/>
          <w:smallCaps/>
          <w:color w:val="C00000"/>
          <w:sz w:val="30"/>
          <w:szCs w:val="30"/>
          <w:lang w:val="es-ES" w:eastAsia="es-CO"/>
        </w:rPr>
        <w:t xml:space="preserve">Datos interesantes suministrados por </w:t>
      </w:r>
      <w:proofErr w:type="spellStart"/>
      <w:r w:rsidR="00580918" w:rsidRPr="005F447D">
        <w:rPr>
          <w:rFonts w:ascii="Century Gothic" w:eastAsia="Times New Roman" w:hAnsi="Century Gothic" w:cs="Times New Roman"/>
          <w:bCs/>
          <w:smallCaps/>
          <w:color w:val="C00000"/>
          <w:sz w:val="30"/>
          <w:szCs w:val="30"/>
          <w:lang w:val="es-ES" w:eastAsia="es-CO"/>
        </w:rPr>
        <w:t>Raddar</w:t>
      </w:r>
      <w:proofErr w:type="spellEnd"/>
      <w:r w:rsidR="00580918" w:rsidRPr="005F447D">
        <w:rPr>
          <w:rFonts w:ascii="Century Gothic" w:eastAsia="Times New Roman" w:hAnsi="Century Gothic" w:cs="Times New Roman"/>
          <w:bCs/>
          <w:smallCaps/>
          <w:color w:val="C00000"/>
          <w:sz w:val="30"/>
          <w:szCs w:val="30"/>
          <w:lang w:val="es-ES" w:eastAsia="es-CO"/>
        </w:rPr>
        <w:t>:</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El 63% de las compras de tecnología son realizadas por hombres.</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En Bogotá se concentra el mayor porcentaje de compras dentro de las 4 ciudades principales de estudio del país (Medellín, Bogotá, Cali y Barranquilla), 53% de las compras.</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Los colombianos realizan en su mayoría compras de tecnología por necesidad, gusto, antojo y temas de calidad.</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El porcentaje más alto de la última compra realizada de tecnología en las principales ciudades del país se concentra en el rango de edad de más de 46 años, y de 26 a 35 años con un 28% y 24%, respectivamente.</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Los televisores, computadores y equipos de sonido son los productos más comprados por los colombianos </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Los lugares de preferencia de compra de tecnología son los almacenes de cadena que registran más del 50% de preferencia de los compradores colombianos.</w:t>
      </w:r>
    </w:p>
    <w:p w:rsidR="00580918" w:rsidRPr="00040575" w:rsidRDefault="006D3520" w:rsidP="006D3520">
      <w:pPr>
        <w:keepNext/>
        <w:keepLines/>
        <w:spacing w:before="0" w:after="200"/>
        <w:jc w:val="left"/>
        <w:outlineLvl w:val="0"/>
        <w:rPr>
          <w:rFonts w:ascii="Century Gothic" w:eastAsia="Times New Roman" w:hAnsi="Century Gothic" w:cs="Times New Roman"/>
          <w:bCs/>
          <w:smallCaps/>
          <w:color w:val="C00000"/>
          <w:sz w:val="30"/>
          <w:szCs w:val="30"/>
          <w:lang w:val="es-ES" w:eastAsia="es-CO"/>
        </w:rPr>
      </w:pPr>
      <w:r>
        <w:rPr>
          <w:rFonts w:ascii="Century Gothic" w:eastAsia="Times New Roman" w:hAnsi="Century Gothic" w:cs="Times New Roman"/>
          <w:bCs/>
          <w:smallCaps/>
          <w:color w:val="C00000"/>
          <w:sz w:val="30"/>
          <w:szCs w:val="30"/>
          <w:lang w:val="es-ES" w:eastAsia="es-CO"/>
        </w:rPr>
        <w:t xml:space="preserve">A5.2 </w:t>
      </w:r>
      <w:r w:rsidR="00580918" w:rsidRPr="00040575">
        <w:rPr>
          <w:rFonts w:ascii="Century Gothic" w:eastAsia="Times New Roman" w:hAnsi="Century Gothic" w:cs="Times New Roman"/>
          <w:bCs/>
          <w:smallCaps/>
          <w:color w:val="C00000"/>
          <w:sz w:val="30"/>
          <w:szCs w:val="30"/>
          <w:lang w:val="es-ES" w:eastAsia="es-CO"/>
        </w:rPr>
        <w:t>II Encuesta TIC en Pymes- Estudio elaborado por Misión Pyme</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En los dos últimos años no se observa una evolución significativa en la apropiación de tecnología por parte de la pequeña y mediana empresa.</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Las empresas en su mayoría (aproximadamente el 70%) se queda en un nivel básico de adopción en el cual predominan: el email, un sistema de contabilidad/nómina y una página web.</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El concepto de Web está más asociado a “tener presencia con una página web” (73% de las empresas), la cual la ven como una carta de presentación de la empresa y una forma de “hacer presencia de marca” (58% de la empresas).</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lastRenderedPageBreak/>
        <w:t>Muy pocas empresas ven en Internet la posibilidad de vender sus productos a través de ella (sólo un 15% cree que Internet lo pueden usar para realizar ventas en línea poco más del 9% dice realizar e-</w:t>
      </w:r>
      <w:proofErr w:type="spellStart"/>
      <w:r w:rsidRPr="00580918">
        <w:rPr>
          <w:rFonts w:eastAsia="Calibri" w:cs="Arial"/>
          <w:lang w:val="es-CO" w:eastAsia="es-CO"/>
        </w:rPr>
        <w:t>commerce</w:t>
      </w:r>
      <w:proofErr w:type="spellEnd"/>
      <w:r w:rsidRPr="00580918">
        <w:rPr>
          <w:rFonts w:eastAsia="Calibri" w:cs="Arial"/>
          <w:lang w:val="es-CO" w:eastAsia="es-CO"/>
        </w:rPr>
        <w:t>.</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El email (80%) se posiciona como un canal efectivo de comunicación con clientes y proveedores. La comunicación a través de video conferencia está rezagada (18%).</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 xml:space="preserve">A pesar del boom de redes sociales, sólo el 32% de las empresas dice tener presencia en Facebook. Seguida de </w:t>
      </w:r>
      <w:proofErr w:type="spellStart"/>
      <w:r w:rsidRPr="00580918">
        <w:rPr>
          <w:rFonts w:eastAsia="Calibri" w:cs="Arial"/>
          <w:lang w:val="es-CO" w:eastAsia="es-CO"/>
        </w:rPr>
        <w:t>Twitter</w:t>
      </w:r>
      <w:proofErr w:type="spellEnd"/>
      <w:r w:rsidRPr="00580918">
        <w:rPr>
          <w:rFonts w:eastAsia="Calibri" w:cs="Arial"/>
          <w:lang w:val="es-CO" w:eastAsia="es-CO"/>
        </w:rPr>
        <w:t xml:space="preserve"> con un 19% y ganando terreno están los canales tipo YouTube con el 12%.</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El empresario Pyme todavía no ve a Internet como una herramienta para capacitarse virtualmente. Sólo un 25% ha usado herramientas de capacitación vía Web.</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El empresario Pyme no ve la necesidad de planear su presupuesto de IT. El 70% de las empresas no lo hace. La principal causa es que ven la inversión en IT como muy alta para el beneficio que proveen (34% de la empresas lo piensan).</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Está claro que en general las Pyme en el país tienen un nivel significativamente bajo respecto a la aplicación de las TIC, lo que deja en evidencia un mercado potencial para éstas.</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Sin embargo, esto se debe al poco conocimiento y percepción que las empresas tienen respecto al beneficio que representan estas tecnologías, los proveedores de éstas deben entender que la capacitación es un factor clave en este mercado.</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El estudio ayuda a comprender que se debe hacer una división tanto sectorial como en el tamaño de las empresas Pyme, para comprender de manera más precisa el estado de las TIC en éstas.</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Es de resaltar que las empresas medianas y medianas grandes son las que actualmente tienen el reto de incursionar en las TIC, las empresas pequeñas no ven la necesidad de hacer este tipo de inversión.</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El alto costo, respecto a la relación precio beneficio es considerada la mayor barrera para la compra de TIC por las empresas.</w:t>
      </w:r>
    </w:p>
    <w:p w:rsidR="00580918" w:rsidRPr="00580918" w:rsidRDefault="00580918" w:rsidP="00580918">
      <w:pPr>
        <w:ind w:left="720"/>
        <w:contextualSpacing/>
        <w:rPr>
          <w:rFonts w:ascii="Arial" w:eastAsia="Calibri" w:hAnsi="Arial" w:cs="Arial"/>
          <w:sz w:val="24"/>
          <w:lang w:eastAsia="es-CO"/>
        </w:rPr>
      </w:pPr>
    </w:p>
    <w:p w:rsidR="00580918" w:rsidRPr="00580918" w:rsidRDefault="00580918" w:rsidP="00580918">
      <w:pPr>
        <w:spacing w:after="100" w:afterAutospacing="1"/>
        <w:ind w:left="720"/>
        <w:contextualSpacing/>
        <w:rPr>
          <w:rFonts w:ascii="Arial" w:eastAsia="Calibri" w:hAnsi="Arial" w:cs="Arial"/>
          <w:sz w:val="24"/>
          <w:lang w:eastAsia="es-CO"/>
        </w:rPr>
      </w:pPr>
    </w:p>
    <w:p w:rsidR="00580918" w:rsidRPr="00580918" w:rsidRDefault="00580918" w:rsidP="00580918">
      <w:pPr>
        <w:ind w:left="720"/>
        <w:contextualSpacing/>
        <w:rPr>
          <w:rFonts w:ascii="Arial" w:eastAsia="Calibri" w:hAnsi="Arial" w:cs="Arial"/>
          <w:sz w:val="24"/>
          <w:lang w:eastAsia="es-CO"/>
        </w:rPr>
      </w:pPr>
    </w:p>
    <w:p w:rsidR="00580918" w:rsidRPr="00040575" w:rsidRDefault="006D3520" w:rsidP="00040575">
      <w:pPr>
        <w:keepNext/>
        <w:keepLines/>
        <w:spacing w:before="0" w:after="200"/>
        <w:jc w:val="left"/>
        <w:outlineLvl w:val="0"/>
        <w:rPr>
          <w:rFonts w:ascii="Century Gothic" w:eastAsia="Times New Roman" w:hAnsi="Century Gothic" w:cs="Times New Roman"/>
          <w:bCs/>
          <w:smallCaps/>
          <w:color w:val="C00000"/>
          <w:sz w:val="30"/>
          <w:szCs w:val="30"/>
          <w:lang w:val="es-ES" w:eastAsia="es-CO"/>
        </w:rPr>
      </w:pPr>
      <w:r>
        <w:rPr>
          <w:rFonts w:ascii="Century Gothic" w:eastAsia="Times New Roman" w:hAnsi="Century Gothic" w:cs="Times New Roman"/>
          <w:bCs/>
          <w:smallCaps/>
          <w:color w:val="C00000"/>
          <w:sz w:val="30"/>
          <w:szCs w:val="30"/>
          <w:lang w:val="es-ES" w:eastAsia="es-CO"/>
        </w:rPr>
        <w:lastRenderedPageBreak/>
        <w:t xml:space="preserve">A5.3 </w:t>
      </w:r>
      <w:r w:rsidR="00580918" w:rsidRPr="00040575">
        <w:rPr>
          <w:rFonts w:ascii="Century Gothic" w:eastAsia="Times New Roman" w:hAnsi="Century Gothic" w:cs="Times New Roman"/>
          <w:bCs/>
          <w:smallCaps/>
          <w:color w:val="C00000"/>
          <w:sz w:val="30"/>
          <w:szCs w:val="30"/>
          <w:lang w:val="es-ES" w:eastAsia="es-CO"/>
        </w:rPr>
        <w:t>Datos del DANE- Encuesta de Desarrollo e innovación tecnológica</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 xml:space="preserve">De acuerdo con lo reportado por el DANE en la Encuesta de Desarrollo e Innovación Tecnológica, EDIT, para el periodo 2011-2012, el 0,2% de las empresas se clasificaron como innovadoras en sentido estricto; 21,5% como innovadoras en sentido amplio; 4,7% como potencialmente innovadoras y 73,6% se clasificaron como no innovadoras. </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 xml:space="preserve">La inversión en actividades científicas, tecnológicas y de innovación (ACTI) de las empresas encuestadas fue $1,9 billones en 2011 y $2.5 billones en 2012. </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 xml:space="preserve">En 2011, la actividad industrial que registró la mayor inversión en ACTI fue la de productos de la refinación de petróleo con un monto de $225.492 millones, seguido por fabricación de productos minerales no metálicos con $205.870 millones. </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En 2012, la fabricación de productos minerales no metálicos fue la actividad industrial que hizo la mayor inversión en ACTI, con $354.224 millones; productos de la refinación de petróleo ocupó el segundo lugar, con una inversión de $303.437 millones.</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 xml:space="preserve"> En 2011, 77,1% de los recursos utilizados para financiar la inversión en ACTI fueron empresariales. Los recursos de banca privada representaron 20,1%.</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 xml:space="preserve"> En 2012, 75% de los recursos de financiación provino de las empresas, mientras la banca privada participó con el 20,9%.</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 xml:space="preserve"> En 2011, la actividad de fabricación de otros productos químicos reportó el mayor porcentaje de personas involucradas en la realización de ACTI con 7,2% de su personal ocupado; le siguió elaboración de productos de café con 4,8%. </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En 2012, las mismas actividades registraron los mayores porcentajes de personal involucrado en la realización de ACTI, fabricación de otros productos químicos con 8,1% y elaboración de productos de café con 5,6%.</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Durante el período 2011-2012 las empresas industriales obtuvieron un total de 4.171 registros de signos distintivos y marcas, 1.057 registros de derechos de autor, 150 registros de diseño industrial, 76 patentes de invención, 61 registros de software, y 24 patentes de modelos de utilidad.</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lastRenderedPageBreak/>
        <w:t xml:space="preserve">La EDIT VI se aplicó a 10.315 empresas del sector industrial, de las cuales se obtuvo información para 9.1371 empresas. </w:t>
      </w:r>
    </w:p>
    <w:p w:rsidR="00580918" w:rsidRPr="00580918" w:rsidRDefault="00580918" w:rsidP="00E0029C">
      <w:pPr>
        <w:numPr>
          <w:ilvl w:val="0"/>
          <w:numId w:val="12"/>
        </w:numPr>
        <w:spacing w:before="0" w:after="200"/>
        <w:jc w:val="left"/>
        <w:rPr>
          <w:rFonts w:eastAsia="Calibri" w:cs="Arial"/>
          <w:lang w:val="es-CO" w:eastAsia="es-CO"/>
        </w:rPr>
      </w:pPr>
      <w:r w:rsidRPr="00580918">
        <w:rPr>
          <w:rFonts w:eastAsia="Calibri" w:cs="Arial"/>
          <w:lang w:val="es-CO" w:eastAsia="es-CO"/>
        </w:rPr>
        <w:t xml:space="preserve">Teniendo en cuenta la escala de personal, la encuesta obtuvo información de 6.482 empresas que ocuparon entre 10 y 50 personas, 1.893 empresas entre 51 y 200 personas y 762 empresas con personal ocupado mayor a 200 personas. Según la composición del capital, 8.606 empresas eran nacionales y 531 eran extranjeras. </w:t>
      </w:r>
    </w:p>
    <w:p w:rsidR="00580918" w:rsidRPr="00040575" w:rsidRDefault="00F47495" w:rsidP="00040575">
      <w:pPr>
        <w:keepNext/>
        <w:keepLines/>
        <w:spacing w:before="0" w:after="200"/>
        <w:jc w:val="left"/>
        <w:outlineLvl w:val="0"/>
        <w:rPr>
          <w:rFonts w:ascii="Century Gothic" w:eastAsia="Times New Roman" w:hAnsi="Century Gothic" w:cs="Times New Roman"/>
          <w:bCs/>
          <w:smallCaps/>
          <w:color w:val="C00000"/>
          <w:sz w:val="30"/>
          <w:szCs w:val="30"/>
          <w:lang w:val="es-ES" w:eastAsia="es-CO"/>
        </w:rPr>
      </w:pPr>
      <w:r>
        <w:rPr>
          <w:rFonts w:ascii="Century Gothic" w:eastAsia="Times New Roman" w:hAnsi="Century Gothic" w:cs="Times New Roman"/>
          <w:bCs/>
          <w:smallCaps/>
          <w:color w:val="C00000"/>
          <w:sz w:val="30"/>
          <w:szCs w:val="30"/>
          <w:lang w:val="es-ES" w:eastAsia="es-CO"/>
        </w:rPr>
        <w:t xml:space="preserve">A5.4 </w:t>
      </w:r>
      <w:r w:rsidR="00580918" w:rsidRPr="00040575">
        <w:rPr>
          <w:rFonts w:ascii="Century Gothic" w:eastAsia="Times New Roman" w:hAnsi="Century Gothic" w:cs="Times New Roman"/>
          <w:bCs/>
          <w:smallCaps/>
          <w:color w:val="C00000"/>
          <w:sz w:val="30"/>
          <w:szCs w:val="30"/>
          <w:lang w:val="es-ES" w:eastAsia="es-CO"/>
        </w:rPr>
        <w:t>Otras fuentes de Información Relevante</w:t>
      </w:r>
      <w:r w:rsidR="005F447D">
        <w:rPr>
          <w:rFonts w:ascii="Century Gothic" w:eastAsia="Times New Roman" w:hAnsi="Century Gothic" w:cs="Times New Roman"/>
          <w:bCs/>
          <w:smallCaps/>
          <w:color w:val="C00000"/>
          <w:sz w:val="30"/>
          <w:szCs w:val="30"/>
          <w:lang w:val="es-ES" w:eastAsia="es-CO"/>
        </w:rPr>
        <w:t>s</w:t>
      </w:r>
    </w:p>
    <w:p w:rsidR="00580918" w:rsidRPr="00580918" w:rsidRDefault="00C94AA3" w:rsidP="00580918">
      <w:pPr>
        <w:shd w:val="clear" w:color="auto" w:fill="FFFFFF"/>
        <w:spacing w:before="0" w:after="324" w:line="330" w:lineRule="atLeast"/>
        <w:jc w:val="left"/>
        <w:rPr>
          <w:rFonts w:eastAsia="Times New Roman" w:cs="Calibri"/>
          <w:color w:val="000000"/>
          <w:lang w:val="es-CO" w:eastAsia="es-CO"/>
        </w:rPr>
      </w:pPr>
      <w:hyperlink r:id="rId103" w:tgtFrame="_blank" w:history="1">
        <w:r w:rsidR="00580918" w:rsidRPr="00580918">
          <w:rPr>
            <w:rFonts w:eastAsia="Times New Roman" w:cs="Calibri"/>
            <w:color w:val="0068CF"/>
            <w:u w:val="single"/>
            <w:lang w:val="es-CO" w:eastAsia="es-CO"/>
          </w:rPr>
          <w:t>http://www.portafolio.co/economia/conectividad-el-pais-crece-dos-digitos</w:t>
        </w:r>
      </w:hyperlink>
    </w:p>
    <w:p w:rsidR="00580918" w:rsidRPr="00580918" w:rsidRDefault="00C94AA3" w:rsidP="00580918">
      <w:pPr>
        <w:shd w:val="clear" w:color="auto" w:fill="FFFFFF"/>
        <w:spacing w:before="0" w:after="324" w:line="330" w:lineRule="atLeast"/>
        <w:jc w:val="left"/>
        <w:rPr>
          <w:rFonts w:eastAsia="Times New Roman" w:cs="Calibri"/>
          <w:color w:val="000000"/>
          <w:lang w:val="es-CO" w:eastAsia="es-CO"/>
        </w:rPr>
      </w:pPr>
      <w:hyperlink r:id="rId104" w:tgtFrame="_blank" w:history="1">
        <w:r w:rsidR="00580918" w:rsidRPr="00580918">
          <w:rPr>
            <w:rFonts w:eastAsia="Times New Roman" w:cs="Calibri"/>
            <w:color w:val="0068CF"/>
            <w:u w:val="single"/>
            <w:lang w:val="es-CO" w:eastAsia="es-CO"/>
          </w:rPr>
          <w:t>http://www.programa.gobiernoenlinea.gov.co/</w:t>
        </w:r>
      </w:hyperlink>
    </w:p>
    <w:p w:rsidR="00580918" w:rsidRPr="00580918" w:rsidRDefault="00C94AA3" w:rsidP="00580918">
      <w:pPr>
        <w:shd w:val="clear" w:color="auto" w:fill="FFFFFF"/>
        <w:spacing w:before="0" w:after="324" w:line="330" w:lineRule="atLeast"/>
        <w:jc w:val="left"/>
        <w:rPr>
          <w:rFonts w:eastAsia="Times New Roman" w:cs="Calibri"/>
          <w:color w:val="000000"/>
          <w:lang w:val="es-CO" w:eastAsia="es-CO"/>
        </w:rPr>
      </w:pPr>
      <w:hyperlink r:id="rId105" w:tgtFrame="_blank" w:history="1">
        <w:r w:rsidR="00580918" w:rsidRPr="00580918">
          <w:rPr>
            <w:rFonts w:eastAsia="Times New Roman" w:cs="Calibri"/>
            <w:color w:val="0068CF"/>
            <w:u w:val="single"/>
            <w:lang w:val="es-CO" w:eastAsia="es-CO"/>
          </w:rPr>
          <w:t>http://www.vivedigital.gov.co/pvd/puntos-vive-digital-plus/</w:t>
        </w:r>
      </w:hyperlink>
    </w:p>
    <w:p w:rsidR="00580918" w:rsidRPr="00580918" w:rsidRDefault="00C94AA3" w:rsidP="00580918">
      <w:pPr>
        <w:shd w:val="clear" w:color="auto" w:fill="FFFFFF"/>
        <w:spacing w:before="0" w:after="324" w:line="330" w:lineRule="atLeast"/>
        <w:jc w:val="left"/>
        <w:rPr>
          <w:rFonts w:eastAsia="Times New Roman" w:cs="Calibri"/>
          <w:color w:val="000000"/>
          <w:lang w:val="es-CO" w:eastAsia="es-CO"/>
        </w:rPr>
      </w:pPr>
      <w:hyperlink r:id="rId106" w:tgtFrame="_blank" w:history="1">
        <w:r w:rsidR="00580918" w:rsidRPr="00580918">
          <w:rPr>
            <w:rFonts w:eastAsia="Times New Roman" w:cs="Calibri"/>
            <w:color w:val="0068CF"/>
            <w:u w:val="single"/>
            <w:lang w:val="es-CO" w:eastAsia="es-CO"/>
          </w:rPr>
          <w:t>http://www.mintic.gov.co/index.php/vive-digital-plan</w:t>
        </w:r>
      </w:hyperlink>
    </w:p>
    <w:p w:rsidR="00580918" w:rsidRPr="00580918" w:rsidRDefault="00C94AA3" w:rsidP="00580918">
      <w:pPr>
        <w:shd w:val="clear" w:color="auto" w:fill="FFFFFF"/>
        <w:spacing w:before="0" w:after="324" w:line="330" w:lineRule="atLeast"/>
        <w:jc w:val="left"/>
        <w:rPr>
          <w:rFonts w:eastAsia="Times New Roman" w:cs="Calibri"/>
          <w:color w:val="000000"/>
          <w:lang w:val="es-CO" w:eastAsia="es-CO"/>
        </w:rPr>
      </w:pPr>
      <w:hyperlink r:id="rId107" w:tgtFrame="_blank" w:history="1">
        <w:r w:rsidR="00580918" w:rsidRPr="00580918">
          <w:rPr>
            <w:rFonts w:eastAsia="Times New Roman" w:cs="Calibri"/>
            <w:color w:val="0068CF"/>
            <w:u w:val="single"/>
            <w:lang w:val="es-CO" w:eastAsia="es-CO"/>
          </w:rPr>
          <w:t>http://www.eltiempo.com/tecnologia/telecomunicaciones/ARTICULO-WEB-NEW_NOTA_INTERIOR-13123255.html</w:t>
        </w:r>
      </w:hyperlink>
    </w:p>
    <w:p w:rsidR="00580918" w:rsidRPr="00580918" w:rsidRDefault="00580918" w:rsidP="00580918">
      <w:pPr>
        <w:spacing w:before="0" w:after="200"/>
        <w:jc w:val="left"/>
        <w:rPr>
          <w:lang w:val="es-CO" w:eastAsia="es-CO"/>
        </w:rPr>
      </w:pPr>
    </w:p>
    <w:p w:rsidR="00580918" w:rsidRDefault="00580918" w:rsidP="00580918">
      <w:pPr>
        <w:spacing w:before="0" w:after="200"/>
        <w:jc w:val="left"/>
        <w:rPr>
          <w:rFonts w:ascii="Century Gothic" w:eastAsia="Times New Roman" w:hAnsi="Century Gothic" w:cs="Times New Roman"/>
          <w:bCs/>
          <w:smallCaps/>
          <w:color w:val="C00000"/>
          <w:sz w:val="36"/>
          <w:szCs w:val="36"/>
          <w:lang w:val="es-CO" w:eastAsia="es-ES"/>
        </w:rPr>
      </w:pPr>
      <w:r w:rsidRPr="00580918">
        <w:rPr>
          <w:rFonts w:ascii="Century Gothic" w:eastAsia="Times New Roman" w:hAnsi="Century Gothic" w:cs="Times New Roman"/>
          <w:bCs/>
          <w:smallCaps/>
          <w:color w:val="C00000"/>
          <w:sz w:val="36"/>
          <w:szCs w:val="36"/>
          <w:lang w:val="es-CO" w:eastAsia="es-ES"/>
        </w:rPr>
        <w:br w:type="page"/>
      </w:r>
    </w:p>
    <w:p w:rsidR="00544B68" w:rsidRDefault="00544B68" w:rsidP="00E206EE">
      <w:pPr>
        <w:pStyle w:val="Titulocaptulo-Econometra"/>
        <w:contextualSpacing w:val="0"/>
        <w:rPr>
          <w:rFonts w:eastAsia="Times New Roman"/>
          <w:lang w:val="es-CO" w:eastAsia="es-ES"/>
        </w:rPr>
      </w:pPr>
    </w:p>
    <w:p w:rsidR="00C042D6" w:rsidRPr="00580918" w:rsidRDefault="00E206EE" w:rsidP="00E206EE">
      <w:pPr>
        <w:pStyle w:val="Titulocaptulo-Econometra"/>
        <w:contextualSpacing w:val="0"/>
        <w:rPr>
          <w:rFonts w:eastAsia="Times New Roman"/>
          <w:lang w:val="es-CO" w:eastAsia="es-ES"/>
        </w:rPr>
      </w:pPr>
      <w:bookmarkStart w:id="201" w:name="_Toc405992339"/>
      <w:r>
        <w:rPr>
          <w:rFonts w:eastAsia="Times New Roman"/>
          <w:lang w:val="es-CO" w:eastAsia="es-ES"/>
        </w:rPr>
        <w:t xml:space="preserve">Anexo </w:t>
      </w:r>
      <w:r w:rsidR="006F7E9B">
        <w:rPr>
          <w:rFonts w:eastAsia="Times New Roman"/>
          <w:lang w:val="es-CO" w:eastAsia="es-ES"/>
        </w:rPr>
        <w:t>A</w:t>
      </w:r>
      <w:r w:rsidR="00544B68">
        <w:rPr>
          <w:rFonts w:eastAsia="Times New Roman"/>
          <w:lang w:val="es-CO" w:eastAsia="es-ES"/>
        </w:rPr>
        <w:t>6</w:t>
      </w:r>
      <w:bookmarkEnd w:id="201"/>
    </w:p>
    <w:p w:rsidR="00C042D6" w:rsidRPr="00580918" w:rsidRDefault="00E206EE" w:rsidP="00E206EE">
      <w:pPr>
        <w:pStyle w:val="Titulocaptulo-Econometra"/>
        <w:contextualSpacing w:val="0"/>
        <w:rPr>
          <w:rFonts w:eastAsia="Times New Roman"/>
          <w:lang w:val="es-CO" w:eastAsia="es-ES"/>
        </w:rPr>
      </w:pPr>
      <w:bookmarkStart w:id="202" w:name="_Toc405992340"/>
      <w:r>
        <w:rPr>
          <w:rFonts w:eastAsia="Times New Roman"/>
          <w:lang w:val="es-CO" w:eastAsia="es-ES"/>
        </w:rPr>
        <w:t xml:space="preserve">Metodología </w:t>
      </w:r>
      <w:r w:rsidR="006F7E9B">
        <w:rPr>
          <w:rFonts w:eastAsia="Times New Roman"/>
          <w:lang w:val="es-CO" w:eastAsia="es-ES"/>
        </w:rPr>
        <w:t>de la Encuesta de calidad de Vida D</w:t>
      </w:r>
      <w:r w:rsidR="004F1B17">
        <w:rPr>
          <w:rFonts w:eastAsia="Times New Roman"/>
          <w:lang w:val="es-CO" w:eastAsia="es-ES"/>
        </w:rPr>
        <w:t xml:space="preserve">ANE </w:t>
      </w:r>
      <w:r w:rsidR="006F7E9B">
        <w:rPr>
          <w:rFonts w:eastAsia="Times New Roman"/>
          <w:lang w:val="es-CO" w:eastAsia="es-ES"/>
        </w:rPr>
        <w:t>(</w:t>
      </w:r>
      <w:r>
        <w:rPr>
          <w:rFonts w:eastAsia="Times New Roman"/>
          <w:lang w:val="es-CO" w:eastAsia="es-ES"/>
        </w:rPr>
        <w:t>ECV</w:t>
      </w:r>
      <w:r w:rsidR="006F7E9B">
        <w:rPr>
          <w:rFonts w:eastAsia="Times New Roman"/>
          <w:lang w:val="es-CO" w:eastAsia="es-ES"/>
        </w:rPr>
        <w:t>)</w:t>
      </w:r>
      <w:r w:rsidR="008923FB">
        <w:rPr>
          <w:rStyle w:val="Refdenotaalpie"/>
          <w:rFonts w:eastAsia="Times New Roman"/>
          <w:lang w:val="es-CO" w:eastAsia="es-ES"/>
        </w:rPr>
        <w:footnoteReference w:id="56"/>
      </w:r>
      <w:bookmarkEnd w:id="202"/>
    </w:p>
    <w:p w:rsidR="008923FB" w:rsidRPr="007805E4" w:rsidRDefault="006D3520" w:rsidP="007805E4">
      <w:pPr>
        <w:keepNext/>
        <w:keepLines/>
        <w:spacing w:before="0" w:after="200"/>
        <w:jc w:val="left"/>
        <w:outlineLvl w:val="0"/>
        <w:rPr>
          <w:rFonts w:ascii="Century Gothic" w:eastAsia="Times New Roman" w:hAnsi="Century Gothic" w:cs="Times New Roman"/>
          <w:bCs/>
          <w:smallCaps/>
          <w:color w:val="C00000"/>
          <w:sz w:val="30"/>
          <w:szCs w:val="30"/>
          <w:lang w:val="es-ES" w:eastAsia="es-CO"/>
        </w:rPr>
      </w:pPr>
      <w:r>
        <w:rPr>
          <w:rFonts w:ascii="Century Gothic" w:eastAsia="Times New Roman" w:hAnsi="Century Gothic" w:cs="Times New Roman"/>
          <w:bCs/>
          <w:smallCaps/>
          <w:color w:val="C00000"/>
          <w:sz w:val="30"/>
          <w:szCs w:val="30"/>
          <w:lang w:val="es-ES" w:eastAsia="es-CO"/>
        </w:rPr>
        <w:t xml:space="preserve">A6.1 </w:t>
      </w:r>
      <w:r w:rsidR="007805E4" w:rsidRPr="007805E4">
        <w:rPr>
          <w:rFonts w:ascii="Century Gothic" w:eastAsia="Times New Roman" w:hAnsi="Century Gothic" w:cs="Times New Roman"/>
          <w:bCs/>
          <w:smallCaps/>
          <w:color w:val="C00000"/>
          <w:sz w:val="30"/>
          <w:szCs w:val="30"/>
          <w:lang w:val="es-ES" w:eastAsia="es-CO"/>
        </w:rPr>
        <w:t>Diseño estadístico</w:t>
      </w:r>
    </w:p>
    <w:p w:rsidR="008923FB" w:rsidRPr="007805E4" w:rsidRDefault="008923FB" w:rsidP="007805E4">
      <w:pPr>
        <w:spacing w:before="0" w:after="200"/>
        <w:rPr>
          <w:rFonts w:ascii="Century Gothic" w:hAnsi="Century Gothic" w:cs="Arial"/>
          <w:color w:val="404040" w:themeColor="text1" w:themeTint="BF"/>
          <w:lang w:eastAsia="es-CO"/>
        </w:rPr>
      </w:pPr>
      <w:r w:rsidRPr="007805E4">
        <w:rPr>
          <w:rFonts w:ascii="Century Gothic" w:hAnsi="Century Gothic" w:cs="Arial"/>
          <w:color w:val="404040" w:themeColor="text1" w:themeTint="BF"/>
          <w:lang w:eastAsia="es-CO"/>
        </w:rPr>
        <w:t>Componentes básicos</w:t>
      </w:r>
    </w:p>
    <w:p w:rsidR="008923FB" w:rsidRPr="00E00C52" w:rsidRDefault="008923FB" w:rsidP="0020708C">
      <w:pPr>
        <w:pStyle w:val="Prrafodelista"/>
        <w:numPr>
          <w:ilvl w:val="0"/>
          <w:numId w:val="22"/>
        </w:numPr>
        <w:rPr>
          <w:rFonts w:eastAsia="Times New Roman"/>
          <w:b/>
          <w:lang w:val="es-CO" w:eastAsia="es-ES"/>
        </w:rPr>
      </w:pPr>
      <w:r w:rsidRPr="00E00C52">
        <w:rPr>
          <w:rFonts w:eastAsia="Times New Roman"/>
          <w:b/>
          <w:lang w:val="es-CO" w:eastAsia="es-ES"/>
        </w:rPr>
        <w:t>Tipo de operación estadística</w:t>
      </w:r>
    </w:p>
    <w:p w:rsidR="008923FB" w:rsidRPr="008923FB" w:rsidRDefault="008923FB" w:rsidP="008923FB">
      <w:pPr>
        <w:rPr>
          <w:rFonts w:eastAsia="Times New Roman"/>
          <w:lang w:val="es-CO" w:eastAsia="es-ES"/>
        </w:rPr>
      </w:pPr>
      <w:r w:rsidRPr="008923FB">
        <w:rPr>
          <w:rFonts w:eastAsia="Times New Roman"/>
          <w:lang w:val="es-CO" w:eastAsia="es-ES"/>
        </w:rPr>
        <w:t>Encuesta por muestreo probabilístico.</w:t>
      </w:r>
    </w:p>
    <w:p w:rsidR="008923FB" w:rsidRPr="00E00C52" w:rsidRDefault="008923FB" w:rsidP="0020708C">
      <w:pPr>
        <w:pStyle w:val="Prrafodelista"/>
        <w:numPr>
          <w:ilvl w:val="0"/>
          <w:numId w:val="22"/>
        </w:numPr>
        <w:rPr>
          <w:rFonts w:eastAsia="Times New Roman"/>
          <w:b/>
          <w:lang w:val="es-CO" w:eastAsia="es-ES"/>
        </w:rPr>
      </w:pPr>
      <w:r w:rsidRPr="00E00C52">
        <w:rPr>
          <w:rFonts w:eastAsia="Times New Roman"/>
          <w:b/>
          <w:lang w:val="es-CO" w:eastAsia="es-ES"/>
        </w:rPr>
        <w:t>Universo</w:t>
      </w:r>
    </w:p>
    <w:p w:rsidR="008923FB" w:rsidRPr="008923FB" w:rsidRDefault="008923FB" w:rsidP="008923FB">
      <w:pPr>
        <w:rPr>
          <w:rFonts w:eastAsia="Times New Roman"/>
          <w:lang w:val="es-CO" w:eastAsia="es-ES"/>
        </w:rPr>
      </w:pPr>
      <w:r w:rsidRPr="008923FB">
        <w:rPr>
          <w:rFonts w:eastAsia="Times New Roman"/>
          <w:lang w:val="es-CO" w:eastAsia="es-ES"/>
        </w:rPr>
        <w:t>El universo para la Encuesta de Calidad de Vida está conformado por la población civil no institucional residente en todo el territorio nacional.</w:t>
      </w:r>
    </w:p>
    <w:p w:rsidR="008923FB" w:rsidRPr="00E00C52" w:rsidRDefault="008923FB" w:rsidP="0020708C">
      <w:pPr>
        <w:pStyle w:val="Prrafodelista"/>
        <w:numPr>
          <w:ilvl w:val="0"/>
          <w:numId w:val="22"/>
        </w:numPr>
        <w:rPr>
          <w:rFonts w:eastAsia="Times New Roman"/>
          <w:b/>
          <w:lang w:val="es-CO" w:eastAsia="es-ES"/>
        </w:rPr>
      </w:pPr>
      <w:r w:rsidRPr="00E00C52">
        <w:rPr>
          <w:rFonts w:eastAsia="Times New Roman"/>
          <w:b/>
          <w:lang w:val="es-CO" w:eastAsia="es-ES"/>
        </w:rPr>
        <w:t>Población objetivo</w:t>
      </w:r>
    </w:p>
    <w:p w:rsidR="008923FB" w:rsidRPr="008923FB" w:rsidRDefault="008923FB" w:rsidP="008923FB">
      <w:pPr>
        <w:rPr>
          <w:rFonts w:eastAsia="Times New Roman"/>
          <w:lang w:val="es-CO" w:eastAsia="es-ES"/>
        </w:rPr>
      </w:pPr>
      <w:r w:rsidRPr="008923FB">
        <w:rPr>
          <w:rFonts w:eastAsia="Times New Roman"/>
          <w:lang w:val="es-CO" w:eastAsia="es-ES"/>
        </w:rPr>
        <w:t>La población objetivo está conformada por la población civil no institucional residente en todo el territorio nacional, excluyendo la parte rural de los nuevos departamentos.</w:t>
      </w:r>
    </w:p>
    <w:p w:rsidR="008923FB" w:rsidRPr="00E00C52" w:rsidRDefault="008923FB" w:rsidP="0020708C">
      <w:pPr>
        <w:pStyle w:val="Prrafodelista"/>
        <w:numPr>
          <w:ilvl w:val="0"/>
          <w:numId w:val="22"/>
        </w:numPr>
        <w:rPr>
          <w:rFonts w:eastAsia="Times New Roman"/>
          <w:b/>
          <w:lang w:val="es-CO" w:eastAsia="es-ES"/>
        </w:rPr>
      </w:pPr>
      <w:r w:rsidRPr="00E00C52">
        <w:rPr>
          <w:rFonts w:eastAsia="Times New Roman"/>
          <w:b/>
          <w:lang w:val="es-CO" w:eastAsia="es-ES"/>
        </w:rPr>
        <w:t>Cobertura y desagregación geográfica</w:t>
      </w:r>
    </w:p>
    <w:p w:rsidR="00C042D6" w:rsidRDefault="008923FB" w:rsidP="008923FB">
      <w:pPr>
        <w:rPr>
          <w:rFonts w:eastAsia="Times New Roman"/>
          <w:lang w:val="es-CO" w:eastAsia="es-ES"/>
        </w:rPr>
      </w:pPr>
      <w:r w:rsidRPr="008923FB">
        <w:rPr>
          <w:rFonts w:eastAsia="Times New Roman"/>
          <w:lang w:val="es-CO" w:eastAsia="es-ES"/>
        </w:rPr>
        <w:t>Tiene un cubrimiento nacional y corresponde a la cabecera y el resto de los municipios, con excepción del área rural de San Andrés y la Orinoquia–Amazonia, zona que se excluye por razones de costo y accesibilidad. Para este ejercicio se constituyeron los mismos nueve (9) dominios que para la ECV 2010, así: Bogotá, D.C., Antioquia, Valle, Región Atlántica, Región Oriental, Región</w:t>
      </w:r>
      <w:r w:rsidR="00E00C52">
        <w:rPr>
          <w:rFonts w:eastAsia="Times New Roman"/>
          <w:lang w:val="es-CO" w:eastAsia="es-ES"/>
        </w:rPr>
        <w:t xml:space="preserve"> </w:t>
      </w:r>
      <w:r w:rsidR="00E00C52" w:rsidRPr="00E00C52">
        <w:rPr>
          <w:rFonts w:eastAsia="Times New Roman"/>
          <w:lang w:val="es-CO" w:eastAsia="es-ES"/>
        </w:rPr>
        <w:t>Central, Región Pacífica, San Andrés y Orinoquia-Amazonia. Así mismo en la ECV 2011, se estableció representatividad para los departamentos de: Guajira, Córdoba, Boyacá, Cauca, Choco, Nariño.</w:t>
      </w:r>
    </w:p>
    <w:p w:rsidR="00E00C52" w:rsidRPr="00E00C52" w:rsidRDefault="00E00C52" w:rsidP="0020708C">
      <w:pPr>
        <w:pStyle w:val="Prrafodelista"/>
        <w:numPr>
          <w:ilvl w:val="0"/>
          <w:numId w:val="22"/>
        </w:numPr>
        <w:rPr>
          <w:rFonts w:eastAsia="Times New Roman"/>
          <w:b/>
          <w:lang w:val="es-CO" w:eastAsia="es-ES"/>
        </w:rPr>
      </w:pPr>
      <w:r w:rsidRPr="00E00C52">
        <w:rPr>
          <w:rFonts w:eastAsia="Times New Roman"/>
          <w:b/>
          <w:lang w:val="es-CO" w:eastAsia="es-ES"/>
        </w:rPr>
        <w:lastRenderedPageBreak/>
        <w:t>Precisión deseada de las estimaciones</w:t>
      </w:r>
    </w:p>
    <w:p w:rsidR="00E00C52" w:rsidRPr="00E00C52" w:rsidRDefault="00E00C52" w:rsidP="00E00C52">
      <w:pPr>
        <w:rPr>
          <w:rFonts w:eastAsia="Times New Roman"/>
          <w:lang w:val="es-CO" w:eastAsia="es-ES"/>
        </w:rPr>
      </w:pPr>
      <w:r w:rsidRPr="00E00C52">
        <w:rPr>
          <w:rFonts w:eastAsia="Times New Roman"/>
          <w:lang w:val="es-CO" w:eastAsia="es-ES"/>
        </w:rPr>
        <w:t>La precisión se expresa en términos del error estándar, que es el indicador de la precisión de los resultados estimados, y refleja la variabilidad del azar propia de las muestras probabilísticas.</w:t>
      </w:r>
    </w:p>
    <w:p w:rsidR="00E00C52" w:rsidRPr="00E00C52" w:rsidRDefault="00E00C52" w:rsidP="00E00C52">
      <w:pPr>
        <w:rPr>
          <w:rFonts w:eastAsia="Times New Roman"/>
          <w:lang w:val="es-CO" w:eastAsia="es-ES"/>
        </w:rPr>
      </w:pPr>
      <w:r w:rsidRPr="00E00C52">
        <w:rPr>
          <w:rFonts w:eastAsia="Times New Roman"/>
          <w:lang w:val="es-CO" w:eastAsia="es-ES"/>
        </w:rPr>
        <w:t>El error estándar relativo (</w:t>
      </w:r>
      <w:proofErr w:type="spellStart"/>
      <w:r w:rsidRPr="00E00C52">
        <w:rPr>
          <w:rFonts w:eastAsia="Times New Roman"/>
          <w:lang w:val="es-CO" w:eastAsia="es-ES"/>
        </w:rPr>
        <w:t>ESRel</w:t>
      </w:r>
      <w:proofErr w:type="spellEnd"/>
      <w:r w:rsidRPr="00E00C52">
        <w:rPr>
          <w:rFonts w:eastAsia="Times New Roman"/>
          <w:lang w:val="es-CO" w:eastAsia="es-ES"/>
        </w:rPr>
        <w:t>) o coeficiente de variación (CV) es el error estándar absoluto expresado como proporción o como porcentaje del valor del estimador.</w:t>
      </w:r>
      <w:r w:rsidR="006F7E9B">
        <w:rPr>
          <w:rFonts w:eastAsia="Times New Roman"/>
          <w:lang w:val="es-CO" w:eastAsia="es-ES"/>
        </w:rPr>
        <w:t xml:space="preserve"> </w:t>
      </w:r>
      <w:r w:rsidRPr="00E00C52">
        <w:rPr>
          <w:rFonts w:eastAsia="Times New Roman"/>
          <w:lang w:val="es-CO" w:eastAsia="es-ES"/>
        </w:rPr>
        <w:t>Se estableció como precisión deseable de los indicadores de nivel o magnitud, un error estándar relativo (</w:t>
      </w:r>
      <w:proofErr w:type="spellStart"/>
      <w:r w:rsidRPr="00E00C52">
        <w:rPr>
          <w:rFonts w:eastAsia="Times New Roman"/>
          <w:lang w:val="es-CO" w:eastAsia="es-ES"/>
        </w:rPr>
        <w:t>ESRel</w:t>
      </w:r>
      <w:proofErr w:type="spellEnd"/>
      <w:r w:rsidRPr="00E00C52">
        <w:rPr>
          <w:rFonts w:eastAsia="Times New Roman"/>
          <w:lang w:val="es-CO" w:eastAsia="es-ES"/>
        </w:rPr>
        <w:t>) máximo de 0,05 o 5%, para tasas de alrededor del 10%.</w:t>
      </w:r>
    </w:p>
    <w:p w:rsidR="00E00C52" w:rsidRPr="00E00C52" w:rsidRDefault="00E00C52" w:rsidP="00E00C52">
      <w:pPr>
        <w:rPr>
          <w:rFonts w:eastAsia="Times New Roman"/>
          <w:lang w:val="es-CO" w:eastAsia="es-ES"/>
        </w:rPr>
      </w:pPr>
      <w:r w:rsidRPr="00E00C52">
        <w:rPr>
          <w:rFonts w:eastAsia="Times New Roman"/>
          <w:lang w:val="es-CO" w:eastAsia="es-ES"/>
        </w:rPr>
        <w:t>Teniendo en cuenta que la muestra es un panel de segmentos, se calcularán los errores estándar para encontrar la significancia estadística de la diferencia de los principales indicadores comparando los resultados de 2005 - 2010</w:t>
      </w:r>
    </w:p>
    <w:p w:rsidR="00E00C52" w:rsidRPr="00E00C52" w:rsidRDefault="00E00C52" w:rsidP="0020708C">
      <w:pPr>
        <w:pStyle w:val="Prrafodelista"/>
        <w:numPr>
          <w:ilvl w:val="0"/>
          <w:numId w:val="22"/>
        </w:numPr>
        <w:rPr>
          <w:rFonts w:eastAsia="Times New Roman"/>
          <w:b/>
          <w:lang w:val="es-CO" w:eastAsia="es-ES"/>
        </w:rPr>
      </w:pPr>
      <w:r w:rsidRPr="00E00C52">
        <w:rPr>
          <w:rFonts w:eastAsia="Times New Roman"/>
          <w:b/>
          <w:lang w:val="es-CO" w:eastAsia="es-ES"/>
        </w:rPr>
        <w:t>Unidades Estadísticas</w:t>
      </w:r>
    </w:p>
    <w:p w:rsidR="00E00C52" w:rsidRPr="00E00C52" w:rsidRDefault="00E00C52" w:rsidP="00E00C52">
      <w:pPr>
        <w:rPr>
          <w:rFonts w:eastAsia="Times New Roman"/>
          <w:lang w:val="es-CO" w:eastAsia="es-ES"/>
        </w:rPr>
      </w:pPr>
      <w:r w:rsidRPr="00E00C52">
        <w:rPr>
          <w:rFonts w:eastAsia="Times New Roman"/>
          <w:lang w:val="es-CO" w:eastAsia="es-ES"/>
        </w:rPr>
        <w:t>La unidad de observación esta unidad está constituida por las viviendas, los hogares y las personas.</w:t>
      </w:r>
    </w:p>
    <w:p w:rsidR="00E00C52" w:rsidRPr="00E00C52" w:rsidRDefault="00E00C52" w:rsidP="00E00C52">
      <w:pPr>
        <w:rPr>
          <w:rFonts w:eastAsia="Times New Roman"/>
          <w:lang w:val="es-CO" w:eastAsia="es-ES"/>
        </w:rPr>
      </w:pPr>
      <w:r w:rsidRPr="00E00C52">
        <w:rPr>
          <w:rFonts w:eastAsia="Times New Roman"/>
          <w:lang w:val="es-CO" w:eastAsia="es-ES"/>
        </w:rPr>
        <w:t>La unidad de muestreo es la medida de tamaño o segmento. El segmento corresponde a un área aproximada de diez (10) viviendas.</w:t>
      </w:r>
    </w:p>
    <w:p w:rsidR="00E00C52" w:rsidRPr="00E00C52" w:rsidRDefault="00E00C52" w:rsidP="0020708C">
      <w:pPr>
        <w:pStyle w:val="Prrafodelista"/>
        <w:numPr>
          <w:ilvl w:val="0"/>
          <w:numId w:val="22"/>
        </w:numPr>
        <w:spacing w:after="240"/>
        <w:ind w:left="714" w:hanging="357"/>
        <w:contextualSpacing w:val="0"/>
        <w:rPr>
          <w:rFonts w:eastAsia="Times New Roman"/>
          <w:b/>
          <w:lang w:val="es-CO" w:eastAsia="es-ES"/>
        </w:rPr>
      </w:pPr>
      <w:r w:rsidRPr="00E00C52">
        <w:rPr>
          <w:rFonts w:eastAsia="Times New Roman"/>
          <w:b/>
          <w:lang w:val="es-CO" w:eastAsia="es-ES"/>
        </w:rPr>
        <w:t>Nomenclaturas y clasificaciones utilizadas</w:t>
      </w:r>
    </w:p>
    <w:p w:rsidR="00E00C52" w:rsidRPr="00E00C52" w:rsidRDefault="00E00C52" w:rsidP="0020708C">
      <w:pPr>
        <w:pStyle w:val="Prrafodelista"/>
        <w:numPr>
          <w:ilvl w:val="0"/>
          <w:numId w:val="23"/>
        </w:numPr>
        <w:rPr>
          <w:rFonts w:eastAsia="Times New Roman"/>
          <w:lang w:val="es-CO" w:eastAsia="es-ES"/>
        </w:rPr>
      </w:pPr>
      <w:r w:rsidRPr="00E00C52">
        <w:rPr>
          <w:rFonts w:eastAsia="Times New Roman"/>
          <w:lang w:val="es-CO" w:eastAsia="es-ES"/>
        </w:rPr>
        <w:t>CIIU Rev. 3 A.C. - Clasificación Industrial Internacional Uniforme de todas las actividades económicas. Revisión 3 Adaptada para Colombia. Resulta de un proceso de adaptación en 1989 a partir de la clasificación internacional industrial uniforme propuesta por la Comisión Estadística de las Naciones Unidas.</w:t>
      </w:r>
    </w:p>
    <w:p w:rsidR="00E00C52" w:rsidRDefault="00E00C52" w:rsidP="00E00C52">
      <w:pPr>
        <w:ind w:left="1068"/>
        <w:rPr>
          <w:rFonts w:eastAsia="Times New Roman"/>
          <w:lang w:val="es-CO" w:eastAsia="es-ES"/>
        </w:rPr>
      </w:pPr>
      <w:r w:rsidRPr="00E00C52">
        <w:rPr>
          <w:rFonts w:eastAsia="Times New Roman"/>
          <w:lang w:val="es-CO" w:eastAsia="es-ES"/>
        </w:rPr>
        <w:t>Ésta proporciona un conjunto de categorías para clasificar sistemáticamente las actividades productivas, que se pueden utilizar para analizar y presentar las estadísticas correspondientes. Se aplican a los agentes económicos, los que según ésta, se caracterizan por los procesos productivos que desarrollan. Se divide en secciones (nivel 1), divisiones (nivel 2), grupos (nivel 3) y clases (nivel 4), de tal forma que cada categoría del nivel inferior está totalmente contenida por</w:t>
      </w:r>
      <w:r>
        <w:rPr>
          <w:rFonts w:eastAsia="Times New Roman"/>
          <w:lang w:val="es-CO" w:eastAsia="es-ES"/>
        </w:rPr>
        <w:t xml:space="preserve"> categorías del nivel superior.</w:t>
      </w:r>
    </w:p>
    <w:p w:rsidR="00E00C52" w:rsidRDefault="00E00C52" w:rsidP="0020708C">
      <w:pPr>
        <w:pStyle w:val="Prrafodelista"/>
        <w:numPr>
          <w:ilvl w:val="0"/>
          <w:numId w:val="23"/>
        </w:numPr>
        <w:rPr>
          <w:rFonts w:eastAsia="Times New Roman"/>
          <w:lang w:val="es-CO" w:eastAsia="es-ES"/>
        </w:rPr>
      </w:pPr>
      <w:r w:rsidRPr="00E00C52">
        <w:rPr>
          <w:rFonts w:eastAsia="Times New Roman"/>
          <w:lang w:val="es-CO" w:eastAsia="es-ES"/>
        </w:rPr>
        <w:t xml:space="preserve">DIVIPOLA—División Político Administrativa de Colombia. Estándar nacional para la codificación de entes territoriales, divisiones administrativas </w:t>
      </w:r>
      <w:r w:rsidRPr="00E00C52">
        <w:rPr>
          <w:rFonts w:eastAsia="Times New Roman"/>
          <w:lang w:val="es-CO" w:eastAsia="es-ES"/>
        </w:rPr>
        <w:lastRenderedPageBreak/>
        <w:t>en el interior del municipio, inspecciones de policía en el área rural y caseríos. El objeto primordial de tener la totalidad de estos inventariados consiste en la posibilidad de tenerlos identificados y poder realizar procesamiento e intercambio de información cuando se esté</w:t>
      </w:r>
      <w:r>
        <w:rPr>
          <w:rFonts w:eastAsia="Times New Roman"/>
          <w:lang w:val="es-CO" w:eastAsia="es-ES"/>
        </w:rPr>
        <w:t xml:space="preserve"> </w:t>
      </w:r>
      <w:r w:rsidRPr="00E00C52">
        <w:rPr>
          <w:rFonts w:eastAsia="Times New Roman"/>
          <w:lang w:val="es-CO" w:eastAsia="es-ES"/>
        </w:rPr>
        <w:t>hablando de un tema en particular, mediante la utilización de sus identificadores.</w:t>
      </w:r>
    </w:p>
    <w:p w:rsidR="00E00C52" w:rsidRPr="00E00C52" w:rsidRDefault="00E00C52" w:rsidP="00E00C52">
      <w:pPr>
        <w:pStyle w:val="Prrafodelista"/>
        <w:ind w:left="1068"/>
        <w:rPr>
          <w:rFonts w:eastAsia="Times New Roman"/>
          <w:lang w:val="es-CO" w:eastAsia="es-ES"/>
        </w:rPr>
      </w:pPr>
    </w:p>
    <w:p w:rsidR="00E00C52" w:rsidRDefault="00E00C52" w:rsidP="0020708C">
      <w:pPr>
        <w:pStyle w:val="Prrafodelista"/>
        <w:numPr>
          <w:ilvl w:val="0"/>
          <w:numId w:val="23"/>
        </w:numPr>
        <w:rPr>
          <w:rFonts w:eastAsia="Times New Roman"/>
          <w:lang w:val="es-CO" w:eastAsia="es-ES"/>
        </w:rPr>
      </w:pPr>
      <w:r w:rsidRPr="00E00C52">
        <w:rPr>
          <w:rFonts w:eastAsia="Times New Roman"/>
          <w:lang w:val="es-CO" w:eastAsia="es-ES"/>
        </w:rPr>
        <w:t>Clasificación Nacional de Ocupaciones (CNO - 70). Conserva la estructura de la clasificación internacional uniforme de ocupaciones (CIOU), la cual ordena en forma sistemática las ocupaciones del total de la población civil activa. La estructura de la CNO comprende: ocho grandes grupos, ochenta y tres subgrupos, doscientos ochenta y ocho grupos primarios y mil novecientas cuarenta y ocho categorías ocupacionales.</w:t>
      </w:r>
    </w:p>
    <w:p w:rsidR="00E00C52" w:rsidRPr="00E00C52" w:rsidRDefault="00E00C52" w:rsidP="00E00C52">
      <w:pPr>
        <w:pStyle w:val="Prrafodelista"/>
        <w:ind w:left="1068"/>
        <w:rPr>
          <w:rFonts w:eastAsia="Times New Roman"/>
          <w:lang w:val="es-CO" w:eastAsia="es-ES"/>
        </w:rPr>
      </w:pPr>
    </w:p>
    <w:p w:rsidR="00E00C52" w:rsidRPr="00E00C52" w:rsidRDefault="00E00C52" w:rsidP="0020708C">
      <w:pPr>
        <w:pStyle w:val="Prrafodelista"/>
        <w:numPr>
          <w:ilvl w:val="0"/>
          <w:numId w:val="23"/>
        </w:numPr>
        <w:rPr>
          <w:rFonts w:eastAsia="Times New Roman"/>
          <w:lang w:val="es-CO" w:eastAsia="es-ES"/>
        </w:rPr>
      </w:pPr>
      <w:r w:rsidRPr="00E00C52">
        <w:rPr>
          <w:rFonts w:eastAsia="Times New Roman"/>
          <w:lang w:val="es-CO" w:eastAsia="es-ES"/>
        </w:rPr>
        <w:t>CISE – 93. Clasificación internacional de la situación del empleo. Clasifica los empleos de una persona en un momento dado. Un empleo se clasifica con arreglo al tipo de contrato explícito o implícito de trabajo del titular con otras personas u organizaciones. Los criterios básicos utilizados para definir los grupos de clasificación son el tipo de riesgo económico y el tipo de autoridad que tienen o tendrán los titulares sobre os establecimientos y sobre otros trabajadores.</w:t>
      </w:r>
    </w:p>
    <w:p w:rsidR="00E00C52" w:rsidRPr="00E00C52" w:rsidRDefault="00E00C52" w:rsidP="0020708C">
      <w:pPr>
        <w:pStyle w:val="Prrafodelista"/>
        <w:numPr>
          <w:ilvl w:val="0"/>
          <w:numId w:val="22"/>
        </w:numPr>
        <w:spacing w:after="240"/>
        <w:ind w:left="714" w:hanging="357"/>
        <w:contextualSpacing w:val="0"/>
        <w:rPr>
          <w:rFonts w:eastAsia="Times New Roman"/>
          <w:b/>
          <w:lang w:val="es-CO" w:eastAsia="es-ES"/>
        </w:rPr>
      </w:pPr>
      <w:r w:rsidRPr="00E00C52">
        <w:rPr>
          <w:rFonts w:eastAsia="Times New Roman"/>
          <w:b/>
          <w:lang w:val="es-CO" w:eastAsia="es-ES"/>
        </w:rPr>
        <w:t>Período de referencia</w:t>
      </w:r>
    </w:p>
    <w:p w:rsidR="00E00C52" w:rsidRPr="00E00C52" w:rsidRDefault="00E00C52" w:rsidP="00E00C52">
      <w:pPr>
        <w:rPr>
          <w:rFonts w:eastAsia="Times New Roman"/>
          <w:lang w:val="es-CO" w:eastAsia="es-ES"/>
        </w:rPr>
      </w:pPr>
      <w:r w:rsidRPr="00E00C52">
        <w:rPr>
          <w:rFonts w:eastAsia="Times New Roman"/>
          <w:lang w:val="es-CO" w:eastAsia="es-ES"/>
        </w:rPr>
        <w:t>La Encuesta Nacional de Calidad de Vida recoge información de diferentes temas. Dentro de cada capítulo existen variables que se estudian con frecuencias diferenciales, teniendo en cuenta que existen hechos que presentan mayor recordación que otros por su magnitud e importancia:</w:t>
      </w:r>
    </w:p>
    <w:p w:rsidR="00E00C52" w:rsidRPr="00E00C52" w:rsidRDefault="00E00C52" w:rsidP="00E00C52">
      <w:pPr>
        <w:rPr>
          <w:rFonts w:eastAsia="Times New Roman"/>
          <w:lang w:val="es-CO" w:eastAsia="es-ES"/>
        </w:rPr>
      </w:pPr>
      <w:r w:rsidRPr="00E00C52">
        <w:rPr>
          <w:rFonts w:eastAsia="Times New Roman"/>
          <w:lang w:val="es-CO" w:eastAsia="es-ES"/>
        </w:rPr>
        <w:t>Los períodos de referencia que se manejan en la Encuesta de Calidad de Vida son los relacionados a continuación:</w:t>
      </w:r>
    </w:p>
    <w:p w:rsidR="00E00C52" w:rsidRPr="00E00C52" w:rsidRDefault="00E00C52" w:rsidP="0020708C">
      <w:pPr>
        <w:pStyle w:val="Prrafodelista"/>
        <w:numPr>
          <w:ilvl w:val="0"/>
          <w:numId w:val="24"/>
        </w:numPr>
        <w:ind w:left="714" w:hanging="357"/>
        <w:contextualSpacing w:val="0"/>
        <w:rPr>
          <w:rFonts w:eastAsia="Times New Roman"/>
          <w:lang w:val="es-CO" w:eastAsia="es-ES"/>
        </w:rPr>
      </w:pPr>
      <w:r w:rsidRPr="00E00C52">
        <w:rPr>
          <w:rFonts w:eastAsia="Times New Roman"/>
          <w:lang w:val="es-CO" w:eastAsia="es-ES"/>
        </w:rPr>
        <w:t>Últimos 7 días: se refiere a los 7 días inmediatamente anteriores a la realización de la encuesta, para captar información de los gastos en alimentos del hogar.</w:t>
      </w:r>
    </w:p>
    <w:p w:rsidR="00E00C52" w:rsidRPr="00E00C52" w:rsidRDefault="00E00C52" w:rsidP="0020708C">
      <w:pPr>
        <w:pStyle w:val="Prrafodelista"/>
        <w:numPr>
          <w:ilvl w:val="0"/>
          <w:numId w:val="24"/>
        </w:numPr>
        <w:ind w:left="714" w:hanging="357"/>
        <w:contextualSpacing w:val="0"/>
        <w:rPr>
          <w:rFonts w:eastAsia="Times New Roman"/>
          <w:lang w:val="es-CO" w:eastAsia="es-ES"/>
        </w:rPr>
      </w:pPr>
      <w:r w:rsidRPr="00E00C52">
        <w:rPr>
          <w:rFonts w:eastAsia="Times New Roman"/>
          <w:lang w:val="es-CO" w:eastAsia="es-ES"/>
        </w:rPr>
        <w:t>Semana pasada o de referencia: respectiva semana calendario (lunes a domingo) inmediatamente anterior a la semana en la que se efectúa la entrevista, para obtener información sobre la fuerza de trabajo.</w:t>
      </w:r>
    </w:p>
    <w:p w:rsidR="00E00C52" w:rsidRPr="00E00C52" w:rsidRDefault="00E00C52" w:rsidP="0020708C">
      <w:pPr>
        <w:pStyle w:val="Prrafodelista"/>
        <w:numPr>
          <w:ilvl w:val="0"/>
          <w:numId w:val="24"/>
        </w:numPr>
        <w:ind w:left="714" w:hanging="357"/>
        <w:contextualSpacing w:val="0"/>
        <w:rPr>
          <w:rFonts w:eastAsia="Times New Roman"/>
          <w:lang w:val="es-CO" w:eastAsia="es-ES"/>
        </w:rPr>
      </w:pPr>
      <w:r w:rsidRPr="00E00C52">
        <w:rPr>
          <w:rFonts w:eastAsia="Times New Roman"/>
          <w:lang w:val="es-CO" w:eastAsia="es-ES"/>
        </w:rPr>
        <w:t xml:space="preserve">Mes pasado: mes calendario inmediatamente anterior al mes en que se realiza la encuesta, utilizado para captar información sobre gastos en educación, ingresos </w:t>
      </w:r>
      <w:r w:rsidRPr="00E00C52">
        <w:rPr>
          <w:rFonts w:eastAsia="Times New Roman"/>
          <w:lang w:val="es-CO" w:eastAsia="es-ES"/>
        </w:rPr>
        <w:lastRenderedPageBreak/>
        <w:t>laborales, gastos en servicios públicos y otros gastos del hogar diferentes de alimentos.</w:t>
      </w:r>
    </w:p>
    <w:p w:rsidR="00E00C52" w:rsidRPr="00E00C52" w:rsidRDefault="00E00C52" w:rsidP="0020708C">
      <w:pPr>
        <w:pStyle w:val="Prrafodelista"/>
        <w:numPr>
          <w:ilvl w:val="0"/>
          <w:numId w:val="24"/>
        </w:numPr>
        <w:ind w:left="714" w:hanging="357"/>
        <w:contextualSpacing w:val="0"/>
        <w:rPr>
          <w:rFonts w:eastAsia="Times New Roman"/>
          <w:lang w:val="es-CO" w:eastAsia="es-ES"/>
        </w:rPr>
      </w:pPr>
      <w:r w:rsidRPr="00E00C52">
        <w:rPr>
          <w:rFonts w:eastAsia="Times New Roman"/>
          <w:lang w:val="es-CO" w:eastAsia="es-ES"/>
        </w:rPr>
        <w:t>Últimas 4 semanas: las últimas 4 semanas calendario que preceden a la semana de la encuesta, esta se utiliza en preguntas relacionadas con fuerza de trabajo</w:t>
      </w:r>
    </w:p>
    <w:p w:rsidR="00E00C52" w:rsidRDefault="00E00C52" w:rsidP="0020708C">
      <w:pPr>
        <w:pStyle w:val="Prrafodelista"/>
        <w:numPr>
          <w:ilvl w:val="0"/>
          <w:numId w:val="24"/>
        </w:numPr>
        <w:ind w:left="714" w:hanging="357"/>
        <w:contextualSpacing w:val="0"/>
        <w:rPr>
          <w:rFonts w:eastAsia="Times New Roman"/>
          <w:lang w:val="es-CO" w:eastAsia="es-ES"/>
        </w:rPr>
      </w:pPr>
      <w:r w:rsidRPr="00E00C52">
        <w:rPr>
          <w:rFonts w:eastAsia="Times New Roman"/>
          <w:lang w:val="es-CO" w:eastAsia="es-ES"/>
        </w:rPr>
        <w:t>Últimos 30 días: los 30 días inmediatamente anteriores a la fecha en que se está realizando la encuesta, utilizada para captar información acerca de problemas de salud y gastos en salud diferentes a hospitalización.</w:t>
      </w:r>
    </w:p>
    <w:p w:rsidR="00E00C52" w:rsidRDefault="00E00C52" w:rsidP="0020708C">
      <w:pPr>
        <w:pStyle w:val="Prrafodelista"/>
        <w:numPr>
          <w:ilvl w:val="0"/>
          <w:numId w:val="24"/>
        </w:numPr>
        <w:ind w:left="714" w:hanging="357"/>
        <w:contextualSpacing w:val="0"/>
        <w:rPr>
          <w:rFonts w:eastAsia="Times New Roman"/>
          <w:lang w:val="es-CO" w:eastAsia="es-ES"/>
        </w:rPr>
      </w:pPr>
      <w:r w:rsidRPr="00E00C52">
        <w:rPr>
          <w:rFonts w:eastAsia="Times New Roman"/>
          <w:lang w:val="es-CO" w:eastAsia="es-ES"/>
        </w:rPr>
        <w:t>Últimos 3 meses: corresponde a los tres meses calendario, inmediatamente anteriores a la realización de la encuesta, para captar información sobre gastos de los hogares.</w:t>
      </w:r>
    </w:p>
    <w:p w:rsidR="00E00C52" w:rsidRPr="00E00C52" w:rsidRDefault="00E00C52" w:rsidP="0020708C">
      <w:pPr>
        <w:pStyle w:val="Prrafodelista"/>
        <w:numPr>
          <w:ilvl w:val="0"/>
          <w:numId w:val="24"/>
        </w:numPr>
        <w:ind w:left="714" w:hanging="357"/>
        <w:contextualSpacing w:val="0"/>
        <w:rPr>
          <w:rFonts w:eastAsia="Times New Roman"/>
          <w:lang w:val="es-CO" w:eastAsia="es-ES"/>
        </w:rPr>
      </w:pPr>
      <w:r w:rsidRPr="00E00C52">
        <w:rPr>
          <w:rFonts w:eastAsia="Times New Roman"/>
          <w:lang w:val="es-CO" w:eastAsia="es-ES"/>
        </w:rPr>
        <w:t>Últimos 12 meses: hace referencia a los doce meses calendario, inmediatamente anteriores al mes en que se está haciendo la encuesta, este se utiliza para obtener información sobre ingresos para personas de 12 años y más, fuerza de trabajo, gastos de los hogares en algunos artículos o servicios, problemas del hogar y hospitalización de algún miembro del hogar.</w:t>
      </w:r>
    </w:p>
    <w:p w:rsidR="00E00C52" w:rsidRPr="00E00C52" w:rsidRDefault="00E00C52" w:rsidP="0020708C">
      <w:pPr>
        <w:pStyle w:val="Prrafodelista"/>
        <w:numPr>
          <w:ilvl w:val="0"/>
          <w:numId w:val="22"/>
        </w:numPr>
        <w:spacing w:after="240"/>
        <w:ind w:left="714" w:hanging="357"/>
        <w:contextualSpacing w:val="0"/>
        <w:rPr>
          <w:rFonts w:eastAsia="Times New Roman"/>
          <w:b/>
          <w:lang w:val="es-CO" w:eastAsia="es-ES"/>
        </w:rPr>
      </w:pPr>
      <w:r w:rsidRPr="00E00C52">
        <w:rPr>
          <w:rFonts w:eastAsia="Times New Roman"/>
          <w:b/>
          <w:lang w:val="es-CO" w:eastAsia="es-ES"/>
        </w:rPr>
        <w:t>Período de recolección</w:t>
      </w:r>
    </w:p>
    <w:p w:rsidR="00E00C52" w:rsidRDefault="00E00C52" w:rsidP="00E00C52">
      <w:pPr>
        <w:rPr>
          <w:rFonts w:eastAsia="Times New Roman"/>
          <w:lang w:val="es-CO" w:eastAsia="es-ES"/>
        </w:rPr>
      </w:pPr>
      <w:r w:rsidRPr="00E00C52">
        <w:rPr>
          <w:rFonts w:eastAsia="Times New Roman"/>
          <w:lang w:val="es-CO" w:eastAsia="es-ES"/>
        </w:rPr>
        <w:t>La ECV 2011 se lleva a cabo durante un período de ocho semanas y media (8.5). Para este año, la fecha de recolección</w:t>
      </w:r>
      <w:r>
        <w:rPr>
          <w:rFonts w:eastAsia="Times New Roman"/>
          <w:lang w:val="es-CO" w:eastAsia="es-ES"/>
        </w:rPr>
        <w:t>.</w:t>
      </w:r>
    </w:p>
    <w:p w:rsidR="00E00C52" w:rsidRPr="00BD3032" w:rsidRDefault="00E00C52" w:rsidP="00E00C52">
      <w:pPr>
        <w:spacing w:before="0"/>
        <w:rPr>
          <w:rFonts w:ascii="Century Gothic" w:hAnsi="Century Gothic" w:cs="Arial"/>
          <w:color w:val="404040" w:themeColor="text1" w:themeTint="BF"/>
          <w:sz w:val="16"/>
          <w:lang w:eastAsia="es-CO"/>
        </w:rPr>
      </w:pPr>
    </w:p>
    <w:p w:rsidR="00BD3032" w:rsidRPr="00BD3032" w:rsidRDefault="00BD3032" w:rsidP="00E00C52">
      <w:pPr>
        <w:spacing w:before="0"/>
        <w:rPr>
          <w:rFonts w:eastAsia="Times New Roman"/>
          <w:lang w:val="es-CO" w:eastAsia="es-ES"/>
        </w:rPr>
      </w:pPr>
      <w:r w:rsidRPr="00BD3032">
        <w:rPr>
          <w:rFonts w:eastAsia="Times New Roman"/>
          <w:lang w:val="es-CO" w:eastAsia="es-ES"/>
        </w:rPr>
        <w:t>[…]</w:t>
      </w:r>
    </w:p>
    <w:p w:rsidR="00BD3032" w:rsidRPr="00BD3032" w:rsidRDefault="00BD3032" w:rsidP="00E00C52">
      <w:pPr>
        <w:spacing w:before="0"/>
        <w:rPr>
          <w:rFonts w:ascii="Century Gothic" w:hAnsi="Century Gothic" w:cs="Arial"/>
          <w:color w:val="404040" w:themeColor="text1" w:themeTint="BF"/>
          <w:sz w:val="16"/>
          <w:lang w:eastAsia="es-CO"/>
        </w:rPr>
      </w:pPr>
    </w:p>
    <w:p w:rsidR="00E00C52" w:rsidRPr="00E00C52" w:rsidRDefault="00E00C52" w:rsidP="00E00C52">
      <w:pPr>
        <w:spacing w:before="0" w:after="200"/>
        <w:rPr>
          <w:rFonts w:ascii="Century Gothic" w:hAnsi="Century Gothic" w:cs="Arial"/>
          <w:color w:val="404040" w:themeColor="text1" w:themeTint="BF"/>
          <w:lang w:eastAsia="es-CO"/>
        </w:rPr>
      </w:pPr>
      <w:r w:rsidRPr="00E00C52">
        <w:rPr>
          <w:rFonts w:ascii="Century Gothic" w:hAnsi="Century Gothic" w:cs="Arial"/>
          <w:color w:val="404040" w:themeColor="text1" w:themeTint="BF"/>
          <w:lang w:eastAsia="es-CO"/>
        </w:rPr>
        <w:t>Diseño muestral</w:t>
      </w:r>
    </w:p>
    <w:p w:rsidR="00E00C52" w:rsidRPr="00E00C52" w:rsidRDefault="00E00C52" w:rsidP="0020708C">
      <w:pPr>
        <w:pStyle w:val="Prrafodelista"/>
        <w:numPr>
          <w:ilvl w:val="0"/>
          <w:numId w:val="22"/>
        </w:numPr>
        <w:spacing w:after="240"/>
        <w:ind w:left="714" w:hanging="357"/>
        <w:contextualSpacing w:val="0"/>
        <w:rPr>
          <w:rFonts w:eastAsia="Times New Roman"/>
          <w:b/>
          <w:lang w:val="es-CO" w:eastAsia="es-ES"/>
        </w:rPr>
      </w:pPr>
      <w:r w:rsidRPr="00E00C52">
        <w:rPr>
          <w:rFonts w:eastAsia="Times New Roman"/>
          <w:b/>
          <w:lang w:val="es-CO" w:eastAsia="es-ES"/>
        </w:rPr>
        <w:t>Marco muestral</w:t>
      </w:r>
    </w:p>
    <w:p w:rsidR="00F22D05" w:rsidRPr="00E00C52" w:rsidRDefault="00E00C52" w:rsidP="00E00C52">
      <w:pPr>
        <w:rPr>
          <w:rFonts w:eastAsia="Times New Roman"/>
          <w:lang w:val="es-CO" w:eastAsia="es-ES"/>
        </w:rPr>
      </w:pPr>
      <w:r w:rsidRPr="00E00C52">
        <w:rPr>
          <w:rFonts w:eastAsia="Times New Roman"/>
          <w:lang w:val="es-CO" w:eastAsia="es-ES"/>
        </w:rPr>
        <w:t>El marco estadístico está constituido por el inventario cartográfico y el archivo agregado de viviendas y hogares a nivel de manzana, para cabeceras municipales y centros poblados, y el agregado a nivel de sección cartográfica para el resto; datos obtenidos a partir de la información del Censo General de Población y Vivienda de 2005.</w:t>
      </w:r>
    </w:p>
    <w:p w:rsidR="00E00C52" w:rsidRPr="00E00C52" w:rsidRDefault="00E00C52" w:rsidP="0020708C">
      <w:pPr>
        <w:pStyle w:val="Prrafodelista"/>
        <w:numPr>
          <w:ilvl w:val="0"/>
          <w:numId w:val="22"/>
        </w:numPr>
        <w:spacing w:after="240"/>
        <w:ind w:left="714" w:hanging="357"/>
        <w:contextualSpacing w:val="0"/>
        <w:rPr>
          <w:rFonts w:eastAsia="Times New Roman"/>
          <w:b/>
          <w:lang w:val="es-CO" w:eastAsia="es-ES"/>
        </w:rPr>
      </w:pPr>
      <w:r w:rsidRPr="00E00C52">
        <w:rPr>
          <w:rFonts w:eastAsia="Times New Roman"/>
          <w:b/>
          <w:lang w:val="es-CO" w:eastAsia="es-ES"/>
        </w:rPr>
        <w:t>Tipo de muestreo</w:t>
      </w:r>
    </w:p>
    <w:p w:rsidR="00E00C52" w:rsidRPr="00E00C52" w:rsidRDefault="00E00C52" w:rsidP="00E00C52">
      <w:pPr>
        <w:rPr>
          <w:rFonts w:eastAsia="Times New Roman"/>
          <w:lang w:val="es-CO" w:eastAsia="es-ES"/>
        </w:rPr>
      </w:pPr>
      <w:r w:rsidRPr="00E00C52">
        <w:rPr>
          <w:rFonts w:eastAsia="Times New Roman"/>
          <w:lang w:val="es-CO" w:eastAsia="es-ES"/>
        </w:rPr>
        <w:lastRenderedPageBreak/>
        <w:t xml:space="preserve">Teniendo en cuenta los objetivos de la encuesta, se optó por conformar una muestra cuyo diseño es probabilístico, estratificado, </w:t>
      </w:r>
      <w:proofErr w:type="spellStart"/>
      <w:r w:rsidRPr="00E00C52">
        <w:rPr>
          <w:rFonts w:eastAsia="Times New Roman"/>
          <w:lang w:val="es-CO" w:eastAsia="es-ES"/>
        </w:rPr>
        <w:t>multi-etápico</w:t>
      </w:r>
      <w:proofErr w:type="spellEnd"/>
      <w:r w:rsidRPr="00E00C52">
        <w:rPr>
          <w:rFonts w:eastAsia="Times New Roman"/>
          <w:lang w:val="es-CO" w:eastAsia="es-ES"/>
        </w:rPr>
        <w:t>, de conglomerados, aplicando las mismas premisas establecidas para el diseño de la muestra maestra de GEIH.</w:t>
      </w:r>
    </w:p>
    <w:p w:rsidR="00E00C52" w:rsidRPr="00E00C52" w:rsidRDefault="00E00C52" w:rsidP="00E00C52">
      <w:pPr>
        <w:rPr>
          <w:rFonts w:eastAsia="Times New Roman"/>
          <w:lang w:val="es-CO" w:eastAsia="es-ES"/>
        </w:rPr>
      </w:pPr>
      <w:r w:rsidRPr="00E00C52">
        <w:rPr>
          <w:rFonts w:eastAsia="Times New Roman"/>
          <w:lang w:val="es-CO" w:eastAsia="es-ES"/>
        </w:rPr>
        <w:t>a) Probabilístico: cada unidad de muestreo tiene una probabilidad de selección conocida y mayor que cero (0). Esta información permite determinar a priori la precisión deseada en las estimaciones y, posteriormente, calcular la precisión de los resultados obtenidos a partir de la información recolectada.</w:t>
      </w:r>
    </w:p>
    <w:p w:rsidR="00E00C52" w:rsidRPr="00E00C52" w:rsidRDefault="00E00C52" w:rsidP="00E00C52">
      <w:pPr>
        <w:rPr>
          <w:rFonts w:eastAsia="Times New Roman"/>
          <w:lang w:val="es-CO" w:eastAsia="es-ES"/>
        </w:rPr>
      </w:pPr>
      <w:r w:rsidRPr="00E00C52">
        <w:rPr>
          <w:rFonts w:eastAsia="Times New Roman"/>
          <w:lang w:val="es-CO" w:eastAsia="es-ES"/>
        </w:rPr>
        <w:t>b) De conglomerados: son grupos de las unidades de observación de la investigación, que se han dado en forma natural por razones geográficas, demográficas y socioeconómicas.</w:t>
      </w:r>
    </w:p>
    <w:p w:rsidR="00E00C52" w:rsidRPr="00E00C52" w:rsidRDefault="00E00C52" w:rsidP="00E00C52">
      <w:pPr>
        <w:rPr>
          <w:rFonts w:eastAsia="Times New Roman"/>
          <w:lang w:val="es-CO" w:eastAsia="es-ES"/>
        </w:rPr>
      </w:pPr>
      <w:r w:rsidRPr="00E00C52">
        <w:rPr>
          <w:rFonts w:eastAsia="Times New Roman"/>
          <w:lang w:val="es-CO" w:eastAsia="es-ES"/>
        </w:rPr>
        <w:t>El muestreo de conglomerados permite minimizar los costos de la recolección, a costa de un moderado incremento en el error estándar de las estimaciones. El efecto de la conglomeración de las unidades de muestreo en la precisión de los</w:t>
      </w:r>
      <w:r>
        <w:rPr>
          <w:rFonts w:eastAsia="Times New Roman"/>
          <w:lang w:val="es-CO" w:eastAsia="es-ES"/>
        </w:rPr>
        <w:t xml:space="preserve"> </w:t>
      </w:r>
      <w:r w:rsidRPr="00E00C52">
        <w:rPr>
          <w:rFonts w:eastAsia="Times New Roman"/>
          <w:lang w:val="es-CO" w:eastAsia="es-ES"/>
        </w:rPr>
        <w:t xml:space="preserve">resultados está asociado con la correlación </w:t>
      </w:r>
      <w:proofErr w:type="spellStart"/>
      <w:r w:rsidRPr="00E00C52">
        <w:rPr>
          <w:rFonts w:eastAsia="Times New Roman"/>
          <w:lang w:val="es-CO" w:eastAsia="es-ES"/>
        </w:rPr>
        <w:t>intraconglomerado</w:t>
      </w:r>
      <w:proofErr w:type="spellEnd"/>
      <w:r w:rsidRPr="00E00C52">
        <w:rPr>
          <w:rFonts w:eastAsia="Times New Roman"/>
          <w:lang w:val="es-CO" w:eastAsia="es-ES"/>
        </w:rPr>
        <w:t xml:space="preserve"> (</w:t>
      </w:r>
      <w:proofErr w:type="spellStart"/>
      <w:r w:rsidRPr="00E00C52">
        <w:rPr>
          <w:rFonts w:eastAsia="Times New Roman"/>
          <w:lang w:val="es-CO" w:eastAsia="es-ES"/>
        </w:rPr>
        <w:t>intraclásica</w:t>
      </w:r>
      <w:proofErr w:type="spellEnd"/>
      <w:r w:rsidRPr="00E00C52">
        <w:rPr>
          <w:rFonts w:eastAsia="Times New Roman"/>
          <w:lang w:val="es-CO" w:eastAsia="es-ES"/>
        </w:rPr>
        <w:t xml:space="preserve">) de las variables de resultado, con el tamaño y con el número de los conglomerados seleccionados. En un diseño óptimo, a mayor correlación </w:t>
      </w:r>
      <w:proofErr w:type="spellStart"/>
      <w:r w:rsidRPr="00E00C52">
        <w:rPr>
          <w:rFonts w:eastAsia="Times New Roman"/>
          <w:lang w:val="es-CO" w:eastAsia="es-ES"/>
        </w:rPr>
        <w:t>intraclásica</w:t>
      </w:r>
      <w:proofErr w:type="spellEnd"/>
      <w:r w:rsidRPr="00E00C52">
        <w:rPr>
          <w:rFonts w:eastAsia="Times New Roman"/>
          <w:lang w:val="es-CO" w:eastAsia="es-ES"/>
        </w:rPr>
        <w:t>, menor el tamaño del conglomerado o la sub-muestra dentro de éste, y mayor el número de conglomerados, y viceversa.</w:t>
      </w:r>
    </w:p>
    <w:p w:rsidR="00E00C52" w:rsidRDefault="00E00C52" w:rsidP="00E00C52">
      <w:pPr>
        <w:rPr>
          <w:rFonts w:eastAsia="Times New Roman"/>
          <w:lang w:val="es-CO" w:eastAsia="es-ES"/>
        </w:rPr>
      </w:pPr>
      <w:r w:rsidRPr="00E00C52">
        <w:rPr>
          <w:rFonts w:eastAsia="Times New Roman"/>
          <w:lang w:val="es-CO" w:eastAsia="es-ES"/>
        </w:rPr>
        <w:t>Las estimaciones provenientes del muestreo de conglomerados desiguales son sesgadas, pues los valores de la distribución de muestreo no son iguales a los valores poblacionales o del universo de estudio. El sesgo se reduce considerablemente estratificando por tamaño los conglomerados. Las siguientes son las categorías de conglomerados de la muestra:</w:t>
      </w:r>
    </w:p>
    <w:p w:rsidR="00E00C52" w:rsidRPr="00E00C52" w:rsidRDefault="00E00C52" w:rsidP="0020708C">
      <w:pPr>
        <w:pStyle w:val="Prrafodelista"/>
        <w:numPr>
          <w:ilvl w:val="0"/>
          <w:numId w:val="25"/>
        </w:numPr>
        <w:ind w:left="714" w:hanging="357"/>
        <w:contextualSpacing w:val="0"/>
        <w:rPr>
          <w:rFonts w:eastAsia="Times New Roman"/>
          <w:lang w:val="es-CO" w:eastAsia="es-ES"/>
        </w:rPr>
      </w:pPr>
      <w:r w:rsidRPr="00E00C52">
        <w:rPr>
          <w:rFonts w:eastAsia="Times New Roman"/>
          <w:lang w:val="es-CO" w:eastAsia="es-ES"/>
        </w:rPr>
        <w:t>Unidades Primarias de Muestreo (UPM): se denominan así los municipios de 7.000 y más habitantes. Los municipios de menor tamaño se han combinado con algún vecino de similares características, para completar un tamaño mínimo de 7.000 habitantes, y poder así garantizar los requerimientos de tamaño muestral a este nivel.</w:t>
      </w:r>
    </w:p>
    <w:p w:rsidR="00E00C52" w:rsidRPr="00E00C52" w:rsidRDefault="00E00C52" w:rsidP="0020708C">
      <w:pPr>
        <w:pStyle w:val="Prrafodelista"/>
        <w:numPr>
          <w:ilvl w:val="0"/>
          <w:numId w:val="25"/>
        </w:numPr>
        <w:ind w:left="714" w:hanging="357"/>
        <w:contextualSpacing w:val="0"/>
        <w:rPr>
          <w:rFonts w:eastAsia="Times New Roman"/>
          <w:lang w:val="es-CO" w:eastAsia="es-ES"/>
        </w:rPr>
      </w:pPr>
      <w:r w:rsidRPr="00E00C52">
        <w:rPr>
          <w:rFonts w:eastAsia="Times New Roman"/>
          <w:lang w:val="es-CO" w:eastAsia="es-ES"/>
        </w:rPr>
        <w:t>Unidades Secundarias de Muestreo (USM): son las manzanas en las cabeceras municipales y centros poblados; y secciones en el resto del municipio.</w:t>
      </w:r>
    </w:p>
    <w:p w:rsidR="00E00C52" w:rsidRDefault="00E00C52" w:rsidP="0020708C">
      <w:pPr>
        <w:pStyle w:val="Prrafodelista"/>
        <w:numPr>
          <w:ilvl w:val="0"/>
          <w:numId w:val="25"/>
        </w:numPr>
        <w:ind w:left="714" w:hanging="357"/>
        <w:contextualSpacing w:val="0"/>
        <w:rPr>
          <w:rFonts w:eastAsia="Times New Roman"/>
          <w:lang w:val="es-CO" w:eastAsia="es-ES"/>
        </w:rPr>
      </w:pPr>
      <w:r w:rsidRPr="00E00C52">
        <w:rPr>
          <w:rFonts w:eastAsia="Times New Roman"/>
          <w:lang w:val="es-CO" w:eastAsia="es-ES"/>
        </w:rPr>
        <w:t>Unidades Terciarias de Muestreo (UTM): son los segmentos o medidas de tamaño MT (áreas de 10 viviendas en promedio) tanto en la cabecera como en el resto del municipio, con límites naturales fácilmente identificables, en los cuales se encuestan todos los hogares.</w:t>
      </w:r>
    </w:p>
    <w:p w:rsidR="00BD3032" w:rsidRPr="00BD3032" w:rsidRDefault="00BD3032" w:rsidP="00BD3032">
      <w:pPr>
        <w:rPr>
          <w:rFonts w:eastAsia="Times New Roman"/>
          <w:lang w:val="es-CO" w:eastAsia="es-ES"/>
        </w:rPr>
      </w:pPr>
      <w:r w:rsidRPr="00BD3032">
        <w:rPr>
          <w:rFonts w:eastAsia="Times New Roman"/>
          <w:lang w:val="es-CO" w:eastAsia="es-ES"/>
        </w:rPr>
        <w:lastRenderedPageBreak/>
        <w:t>c) Estratificado: es la clasificación de las unidades de muestreo del universo en grupos homogéneos, en función de variables independientes, altamente asociadas con los indicadores de estudio y poco correlacionadas entre sí, con el objeto de maximizar la precisión de los resultados.</w:t>
      </w:r>
    </w:p>
    <w:p w:rsidR="00BD3032" w:rsidRPr="00BD3032" w:rsidRDefault="00BD3032" w:rsidP="00BD3032">
      <w:pPr>
        <w:rPr>
          <w:rFonts w:eastAsia="Times New Roman"/>
          <w:lang w:val="es-CO" w:eastAsia="es-ES"/>
        </w:rPr>
      </w:pPr>
      <w:r w:rsidRPr="00BD3032">
        <w:rPr>
          <w:rFonts w:eastAsia="Times New Roman"/>
          <w:lang w:val="es-CO" w:eastAsia="es-ES"/>
        </w:rPr>
        <w:t>La estratificación es la técnica de optimización por excelencia, su efecto en la magnitud del error estándar de estimación depende del grado de homogeneidad interna de los estratos y</w:t>
      </w:r>
      <w:r>
        <w:rPr>
          <w:rFonts w:eastAsia="Times New Roman"/>
          <w:lang w:val="es-CO" w:eastAsia="es-ES"/>
        </w:rPr>
        <w:t xml:space="preserve"> de su heterogeneidad entre sí</w:t>
      </w:r>
      <w:r w:rsidRPr="00BD3032">
        <w:rPr>
          <w:rFonts w:eastAsia="Times New Roman"/>
          <w:lang w:val="es-CO" w:eastAsia="es-ES"/>
        </w:rPr>
        <w:t>.</w:t>
      </w:r>
    </w:p>
    <w:p w:rsidR="00BD3032" w:rsidRPr="00BD3032" w:rsidRDefault="00BD3032" w:rsidP="00BD3032">
      <w:pPr>
        <w:rPr>
          <w:rFonts w:eastAsia="Times New Roman"/>
          <w:lang w:val="es-CO" w:eastAsia="es-ES"/>
        </w:rPr>
      </w:pPr>
      <w:r w:rsidRPr="00BD3032">
        <w:rPr>
          <w:rFonts w:eastAsia="Times New Roman"/>
          <w:lang w:val="es-CO" w:eastAsia="es-ES"/>
        </w:rPr>
        <w:t>Para la estratificación y selección de la muestra, en las capitales de departamento seleccionadas el marco se organizó según las definiciones cartográficas establecidas en sectores, secciones y manzanas, con la información del número de viviendas y hogares y el estrato socioeconómico.</w:t>
      </w:r>
    </w:p>
    <w:p w:rsidR="00BD3032" w:rsidRDefault="00BD3032" w:rsidP="00BD3032">
      <w:pPr>
        <w:rPr>
          <w:rFonts w:eastAsia="Times New Roman"/>
          <w:lang w:val="es-CO" w:eastAsia="es-ES"/>
        </w:rPr>
      </w:pPr>
      <w:r w:rsidRPr="00BD3032">
        <w:rPr>
          <w:rFonts w:eastAsia="Times New Roman"/>
          <w:lang w:val="es-CO" w:eastAsia="es-ES"/>
        </w:rPr>
        <w:t>Para el resto del país, el proceso de selección contempló la previa estratificación de las UPM, y dentro de las seleccionadas, la organización de USM según cabecera, centros poblados y rural disperso para la selección de las UTM.</w:t>
      </w:r>
    </w:p>
    <w:p w:rsidR="00BD3032" w:rsidRPr="00BD3032" w:rsidRDefault="00BD3032" w:rsidP="00BD3032">
      <w:pPr>
        <w:rPr>
          <w:rFonts w:eastAsia="Times New Roman"/>
          <w:lang w:val="es-CO" w:eastAsia="es-ES"/>
        </w:rPr>
      </w:pPr>
      <w:r w:rsidRPr="00BD3032">
        <w:rPr>
          <w:rFonts w:eastAsia="Times New Roman"/>
          <w:lang w:val="es-CO" w:eastAsia="es-ES"/>
        </w:rPr>
        <w:t>Adicionalmente, la selección de las UPM a partir de los estratos elaborados se hizo con la Técnica de Selección Controlada el cual es un proceso extendido de estratificación que optimiza aún más la selección.</w:t>
      </w:r>
    </w:p>
    <w:p w:rsidR="00BD3032" w:rsidRDefault="00BD3032" w:rsidP="00BD3032">
      <w:pPr>
        <w:rPr>
          <w:rFonts w:eastAsia="Times New Roman"/>
          <w:lang w:val="es-CO" w:eastAsia="es-ES"/>
        </w:rPr>
      </w:pPr>
      <w:r w:rsidRPr="00BD3032">
        <w:rPr>
          <w:rFonts w:eastAsia="Times New Roman"/>
          <w:lang w:val="es-CO" w:eastAsia="es-ES"/>
        </w:rPr>
        <w:t>Las UPM se estratificaron de acuerdo con l</w:t>
      </w:r>
      <w:r>
        <w:rPr>
          <w:rFonts w:eastAsia="Times New Roman"/>
          <w:lang w:val="es-CO" w:eastAsia="es-ES"/>
        </w:rPr>
        <w:t>as siguientes características:</w:t>
      </w:r>
    </w:p>
    <w:p w:rsidR="00BD3032" w:rsidRPr="00BD3032" w:rsidRDefault="00BD3032" w:rsidP="0020708C">
      <w:pPr>
        <w:pStyle w:val="Prrafodelista"/>
        <w:numPr>
          <w:ilvl w:val="0"/>
          <w:numId w:val="26"/>
        </w:numPr>
        <w:ind w:left="714" w:hanging="357"/>
        <w:contextualSpacing w:val="0"/>
        <w:rPr>
          <w:rFonts w:eastAsia="Times New Roman"/>
          <w:lang w:val="es-CO" w:eastAsia="es-ES"/>
        </w:rPr>
      </w:pPr>
      <w:r w:rsidRPr="00BD3032">
        <w:rPr>
          <w:rFonts w:eastAsia="Times New Roman"/>
          <w:lang w:val="es-CO" w:eastAsia="es-ES"/>
        </w:rPr>
        <w:t>Geográficas, a nivel de departamento.</w:t>
      </w:r>
    </w:p>
    <w:p w:rsidR="00BD3032" w:rsidRPr="00BD3032" w:rsidRDefault="00BD3032" w:rsidP="0020708C">
      <w:pPr>
        <w:pStyle w:val="Prrafodelista"/>
        <w:numPr>
          <w:ilvl w:val="0"/>
          <w:numId w:val="26"/>
        </w:numPr>
        <w:ind w:left="714" w:hanging="357"/>
        <w:contextualSpacing w:val="0"/>
        <w:rPr>
          <w:rFonts w:eastAsia="Times New Roman"/>
          <w:lang w:val="es-CO" w:eastAsia="es-ES"/>
        </w:rPr>
      </w:pPr>
      <w:r w:rsidRPr="00BD3032">
        <w:rPr>
          <w:rFonts w:eastAsia="Times New Roman"/>
          <w:lang w:val="es-CO" w:eastAsia="es-ES"/>
        </w:rPr>
        <w:t>Socioeconómicas, a nivel de UPM, con los siguientes indicadores:</w:t>
      </w:r>
    </w:p>
    <w:p w:rsidR="00BD3032" w:rsidRPr="00BD3032" w:rsidRDefault="00BD3032" w:rsidP="0020708C">
      <w:pPr>
        <w:pStyle w:val="Prrafodelista"/>
        <w:numPr>
          <w:ilvl w:val="0"/>
          <w:numId w:val="27"/>
        </w:numPr>
        <w:ind w:left="1134" w:hanging="283"/>
        <w:contextualSpacing w:val="0"/>
        <w:rPr>
          <w:rFonts w:eastAsia="Times New Roman"/>
          <w:lang w:val="es-CO" w:eastAsia="es-ES"/>
        </w:rPr>
      </w:pPr>
      <w:r w:rsidRPr="00BD3032">
        <w:rPr>
          <w:rFonts w:eastAsia="Times New Roman"/>
          <w:lang w:val="es-CO" w:eastAsia="es-ES"/>
        </w:rPr>
        <w:t>Nivel de urbanización, en términos de la cantidad de población de las cabeceras municipales.</w:t>
      </w:r>
    </w:p>
    <w:p w:rsidR="00BD3032" w:rsidRPr="00BD3032" w:rsidRDefault="00BD3032" w:rsidP="0020708C">
      <w:pPr>
        <w:pStyle w:val="Prrafodelista"/>
        <w:numPr>
          <w:ilvl w:val="0"/>
          <w:numId w:val="27"/>
        </w:numPr>
        <w:ind w:left="1134" w:hanging="283"/>
        <w:rPr>
          <w:rFonts w:eastAsia="Times New Roman"/>
          <w:lang w:val="es-CO" w:eastAsia="es-ES"/>
        </w:rPr>
      </w:pPr>
      <w:r w:rsidRPr="00BD3032">
        <w:rPr>
          <w:rFonts w:eastAsia="Times New Roman"/>
          <w:lang w:val="es-CO" w:eastAsia="es-ES"/>
        </w:rPr>
        <w:t>Estructura urbano-rural de la población municipal (% de población en cabecera).</w:t>
      </w:r>
    </w:p>
    <w:p w:rsidR="00BD3032" w:rsidRPr="00BD3032" w:rsidRDefault="00BD3032" w:rsidP="0020708C">
      <w:pPr>
        <w:pStyle w:val="Prrafodelista"/>
        <w:numPr>
          <w:ilvl w:val="0"/>
          <w:numId w:val="27"/>
        </w:numPr>
        <w:ind w:left="1134" w:hanging="283"/>
        <w:rPr>
          <w:rFonts w:eastAsia="Times New Roman"/>
          <w:lang w:val="es-CO" w:eastAsia="es-ES"/>
        </w:rPr>
      </w:pPr>
      <w:r w:rsidRPr="00BD3032">
        <w:rPr>
          <w:rFonts w:eastAsia="Times New Roman"/>
          <w:lang w:val="es-CO" w:eastAsia="es-ES"/>
        </w:rPr>
        <w:t>Proporción de la población con necesidades básicas insatisfechas (NBI),</w:t>
      </w:r>
    </w:p>
    <w:p w:rsidR="00BD3032" w:rsidRPr="00BD3032" w:rsidRDefault="00BD3032" w:rsidP="0020708C">
      <w:pPr>
        <w:pStyle w:val="Prrafodelista"/>
        <w:numPr>
          <w:ilvl w:val="0"/>
          <w:numId w:val="27"/>
        </w:numPr>
        <w:ind w:left="1134" w:hanging="283"/>
        <w:rPr>
          <w:rFonts w:eastAsia="Times New Roman"/>
          <w:lang w:val="es-CO" w:eastAsia="es-ES"/>
        </w:rPr>
      </w:pPr>
      <w:r w:rsidRPr="00BD3032">
        <w:rPr>
          <w:rFonts w:eastAsia="Times New Roman"/>
          <w:lang w:val="es-CO" w:eastAsia="es-ES"/>
        </w:rPr>
        <w:t>Tamaño poblacional.</w:t>
      </w:r>
    </w:p>
    <w:p w:rsidR="00BD3032" w:rsidRPr="00BD3032" w:rsidRDefault="00BD3032" w:rsidP="00BD3032">
      <w:pPr>
        <w:rPr>
          <w:rFonts w:eastAsia="Times New Roman"/>
          <w:lang w:val="es-CO" w:eastAsia="es-ES"/>
        </w:rPr>
      </w:pPr>
      <w:r w:rsidRPr="00BD3032">
        <w:rPr>
          <w:rFonts w:eastAsia="Times New Roman"/>
          <w:lang w:val="es-CO" w:eastAsia="es-ES"/>
        </w:rPr>
        <w:t xml:space="preserve">Las UPM cuyo tamaño era similar al tamaño promedio de los estratos, se constituyeron en UPM de certeza o inclusión forzosa, con probabilidad 1; las demás UPM se agruparon en estratos de no certeza o inclusión probabilística, aplicando las variables de estratificación en el orden de prioridad especificado anteriormente. De cada estrato de no certeza, se seleccionó una UPM con probabilidad proporcional al tamaño de su </w:t>
      </w:r>
      <w:r w:rsidRPr="00BD3032">
        <w:rPr>
          <w:rFonts w:eastAsia="Times New Roman"/>
          <w:lang w:val="es-CO" w:eastAsia="es-ES"/>
        </w:rPr>
        <w:lastRenderedPageBreak/>
        <w:t>población (PPT), utilizando la Técnica de Selección Controlada, para optimizar su composición interdepartamental e interregional.</w:t>
      </w:r>
    </w:p>
    <w:p w:rsidR="00BD3032" w:rsidRPr="00722167" w:rsidRDefault="00BD3032" w:rsidP="0020708C">
      <w:pPr>
        <w:pStyle w:val="Prrafodelista"/>
        <w:numPr>
          <w:ilvl w:val="0"/>
          <w:numId w:val="22"/>
        </w:numPr>
        <w:spacing w:after="240"/>
        <w:ind w:left="714" w:hanging="357"/>
        <w:contextualSpacing w:val="0"/>
        <w:rPr>
          <w:rFonts w:eastAsia="Times New Roman"/>
          <w:b/>
          <w:lang w:val="es-CO" w:eastAsia="es-ES"/>
        </w:rPr>
      </w:pPr>
      <w:r w:rsidRPr="00722167">
        <w:rPr>
          <w:rFonts w:eastAsia="Times New Roman"/>
          <w:b/>
          <w:lang w:val="es-CO" w:eastAsia="es-ES"/>
        </w:rPr>
        <w:t>Criterios de estratificación</w:t>
      </w:r>
    </w:p>
    <w:p w:rsidR="00BD3032" w:rsidRPr="00BD3032" w:rsidRDefault="00BD3032" w:rsidP="00BD3032">
      <w:pPr>
        <w:rPr>
          <w:rFonts w:eastAsia="Times New Roman"/>
          <w:lang w:val="es-CO" w:eastAsia="es-ES"/>
        </w:rPr>
      </w:pPr>
      <w:r w:rsidRPr="00BD3032">
        <w:rPr>
          <w:rFonts w:eastAsia="Times New Roman"/>
          <w:lang w:val="es-CO" w:eastAsia="es-ES"/>
        </w:rPr>
        <w:t>Para la estratificación y selección de la muestra, las áreas geográficas se organizaron según los principios cartográficos establecidos, en sectores, secciones y manzanas con la información del número de viviendas en el nivel de manzana y por estrato socio-económico.</w:t>
      </w:r>
    </w:p>
    <w:p w:rsidR="00BD3032" w:rsidRPr="00BD3032" w:rsidRDefault="00BD3032" w:rsidP="00BD3032">
      <w:pPr>
        <w:rPr>
          <w:rFonts w:eastAsia="Times New Roman"/>
          <w:lang w:val="es-CO" w:eastAsia="es-ES"/>
        </w:rPr>
      </w:pPr>
      <w:r w:rsidRPr="00BD3032">
        <w:rPr>
          <w:rFonts w:eastAsia="Times New Roman"/>
          <w:lang w:val="es-CO" w:eastAsia="es-ES"/>
        </w:rPr>
        <w:t>Cada municipio con 7.000 o más habitantes en su población total se constituyó en UPM. Los de menor población se agruparon con uno vecino para constituirse en UPM.</w:t>
      </w:r>
    </w:p>
    <w:p w:rsidR="00BD3032" w:rsidRPr="00BD3032" w:rsidRDefault="00BD3032" w:rsidP="00BD3032">
      <w:pPr>
        <w:rPr>
          <w:rFonts w:eastAsia="Times New Roman"/>
          <w:lang w:val="es-CO" w:eastAsia="es-ES"/>
        </w:rPr>
      </w:pPr>
      <w:r w:rsidRPr="00BD3032">
        <w:rPr>
          <w:rFonts w:eastAsia="Times New Roman"/>
          <w:lang w:val="es-CO" w:eastAsia="es-ES"/>
        </w:rPr>
        <w:t>Las UPM cuyo tamaño era similar al tamaño promedio de los estratos, se constituyeron en estratos de “certeza”; para efectos probabilísticos tuvieron probabilidad 1. Las demás UPM se agruparon en estratos de “no certeza” aplicando las variables de estratificación, en el orden de prioridad especificado antes.</w:t>
      </w:r>
    </w:p>
    <w:p w:rsidR="00BD3032" w:rsidRPr="00BD3032" w:rsidRDefault="00BD3032" w:rsidP="00BD3032">
      <w:pPr>
        <w:rPr>
          <w:rFonts w:eastAsia="Times New Roman"/>
          <w:lang w:val="es-CO" w:eastAsia="es-ES"/>
        </w:rPr>
      </w:pPr>
      <w:r w:rsidRPr="00BD3032">
        <w:rPr>
          <w:rFonts w:eastAsia="Times New Roman"/>
          <w:lang w:val="es-CO" w:eastAsia="es-ES"/>
        </w:rPr>
        <w:t>Dentro de los estratos de “no certeza” se calculó la probabilidad de selección de las UPM agrupadas dividiendo la población total de cada UPM por la población del estrato.</w:t>
      </w:r>
    </w:p>
    <w:p w:rsidR="002F35D2" w:rsidRDefault="00BD3032" w:rsidP="002F35D2">
      <w:pPr>
        <w:rPr>
          <w:rFonts w:eastAsia="Times New Roman"/>
          <w:lang w:val="es-CO" w:eastAsia="es-ES"/>
        </w:rPr>
      </w:pPr>
      <w:r w:rsidRPr="00BD3032">
        <w:rPr>
          <w:rFonts w:eastAsia="Times New Roman"/>
          <w:lang w:val="es-CO" w:eastAsia="es-ES"/>
        </w:rPr>
        <w:t xml:space="preserve">d) </w:t>
      </w:r>
      <w:proofErr w:type="spellStart"/>
      <w:r w:rsidRPr="00BD3032">
        <w:rPr>
          <w:rFonts w:eastAsia="Times New Roman"/>
          <w:lang w:val="es-CO" w:eastAsia="es-ES"/>
        </w:rPr>
        <w:t>Multietápico</w:t>
      </w:r>
      <w:proofErr w:type="spellEnd"/>
      <w:r w:rsidRPr="00BD3032">
        <w:rPr>
          <w:rFonts w:eastAsia="Times New Roman"/>
          <w:lang w:val="es-CO" w:eastAsia="es-ES"/>
        </w:rPr>
        <w:t>: para lograr la selección de las unidades de observación (viviendas, hogares o personas), se seleccionaron secuencialmente las unidades de muestreo de cada tipo (UPM, USM y UTM), con probabilidades de selección</w:t>
      </w:r>
      <w:r w:rsidR="002F35D2">
        <w:rPr>
          <w:rFonts w:eastAsia="Times New Roman"/>
          <w:lang w:val="es-CO" w:eastAsia="es-ES"/>
        </w:rPr>
        <w:t xml:space="preserve"> </w:t>
      </w:r>
      <w:r w:rsidR="002F35D2" w:rsidRPr="002F35D2">
        <w:rPr>
          <w:rFonts w:eastAsia="Times New Roman"/>
          <w:lang w:val="es-CO" w:eastAsia="es-ES"/>
        </w:rPr>
        <w:t>en función del número de viviendas. La pro</w:t>
      </w:r>
      <w:r w:rsidR="002F35D2">
        <w:rPr>
          <w:rFonts w:eastAsia="Times New Roman"/>
          <w:lang w:val="es-CO" w:eastAsia="es-ES"/>
        </w:rPr>
        <w:t xml:space="preserve">babilidad final de selección de </w:t>
      </w:r>
      <w:r w:rsidR="002F35D2" w:rsidRPr="002F35D2">
        <w:rPr>
          <w:rFonts w:eastAsia="Times New Roman"/>
          <w:lang w:val="es-CO" w:eastAsia="es-ES"/>
        </w:rPr>
        <w:t>viviendas, hogares y personas, es el producto de las probabil</w:t>
      </w:r>
      <w:r w:rsidR="002F35D2">
        <w:rPr>
          <w:rFonts w:eastAsia="Times New Roman"/>
          <w:lang w:val="es-CO" w:eastAsia="es-ES"/>
        </w:rPr>
        <w:t xml:space="preserve">idades de las tres etapas. </w:t>
      </w:r>
    </w:p>
    <w:p w:rsidR="002F35D2" w:rsidRPr="002F35D2" w:rsidRDefault="002F35D2" w:rsidP="0020708C">
      <w:pPr>
        <w:pStyle w:val="Prrafodelista"/>
        <w:numPr>
          <w:ilvl w:val="0"/>
          <w:numId w:val="22"/>
        </w:numPr>
        <w:spacing w:after="240"/>
        <w:ind w:left="714" w:hanging="357"/>
        <w:contextualSpacing w:val="0"/>
        <w:rPr>
          <w:rFonts w:eastAsia="Times New Roman"/>
          <w:b/>
          <w:lang w:val="es-CO" w:eastAsia="es-ES"/>
        </w:rPr>
      </w:pPr>
      <w:r w:rsidRPr="002F35D2">
        <w:rPr>
          <w:rFonts w:eastAsia="Times New Roman"/>
          <w:b/>
          <w:lang w:val="es-CO" w:eastAsia="es-ES"/>
        </w:rPr>
        <w:t xml:space="preserve">Definición tamaño de la muestra </w:t>
      </w:r>
    </w:p>
    <w:p w:rsidR="00722167" w:rsidRDefault="002F35D2" w:rsidP="002F35D2">
      <w:pPr>
        <w:rPr>
          <w:rFonts w:eastAsia="Times New Roman"/>
          <w:lang w:val="es-CO" w:eastAsia="es-ES"/>
        </w:rPr>
      </w:pPr>
      <w:r w:rsidRPr="002F35D2">
        <w:rPr>
          <w:rFonts w:eastAsia="Times New Roman"/>
          <w:lang w:val="es-CO" w:eastAsia="es-ES"/>
        </w:rPr>
        <w:t>Para la determinación del tamaño de mu</w:t>
      </w:r>
      <w:r>
        <w:rPr>
          <w:rFonts w:eastAsia="Times New Roman"/>
          <w:lang w:val="es-CO" w:eastAsia="es-ES"/>
        </w:rPr>
        <w:t xml:space="preserve">estra se tuvieron en cuenta los </w:t>
      </w:r>
      <w:r w:rsidRPr="002F35D2">
        <w:rPr>
          <w:rFonts w:eastAsia="Times New Roman"/>
          <w:lang w:val="es-CO" w:eastAsia="es-ES"/>
        </w:rPr>
        <w:t>parámetros básicos a estimar como son: la p</w:t>
      </w:r>
      <w:r>
        <w:rPr>
          <w:rFonts w:eastAsia="Times New Roman"/>
          <w:lang w:val="es-CO" w:eastAsia="es-ES"/>
        </w:rPr>
        <w:t xml:space="preserve">roporción del 10%, con un error </w:t>
      </w:r>
      <w:r w:rsidRPr="002F35D2">
        <w:rPr>
          <w:rFonts w:eastAsia="Times New Roman"/>
          <w:lang w:val="es-CO" w:eastAsia="es-ES"/>
        </w:rPr>
        <w:t>est</w:t>
      </w:r>
      <w:r>
        <w:rPr>
          <w:rFonts w:eastAsia="Times New Roman"/>
          <w:lang w:val="es-CO" w:eastAsia="es-ES"/>
        </w:rPr>
        <w:t xml:space="preserve">ándar relativo no mayor del 5%. </w:t>
      </w:r>
      <w:r w:rsidRPr="002F35D2">
        <w:rPr>
          <w:rFonts w:eastAsia="Times New Roman"/>
          <w:lang w:val="es-CO" w:eastAsia="es-ES"/>
        </w:rPr>
        <w:t>Los cálculos se hicieron con fórmulas cor</w:t>
      </w:r>
      <w:r>
        <w:rPr>
          <w:rFonts w:eastAsia="Times New Roman"/>
          <w:lang w:val="es-CO" w:eastAsia="es-ES"/>
        </w:rPr>
        <w:t xml:space="preserve">respondientes al tipo de diseño </w:t>
      </w:r>
      <w:r w:rsidRPr="002F35D2">
        <w:rPr>
          <w:rFonts w:eastAsia="Times New Roman"/>
          <w:lang w:val="es-CO" w:eastAsia="es-ES"/>
        </w:rPr>
        <w:t xml:space="preserve">muestral. El efecto de los conglomerados en el </w:t>
      </w:r>
      <w:r>
        <w:rPr>
          <w:rFonts w:eastAsia="Times New Roman"/>
          <w:lang w:val="es-CO" w:eastAsia="es-ES"/>
        </w:rPr>
        <w:t xml:space="preserve">diseño (DEFF), es una relación, </w:t>
      </w:r>
      <w:r w:rsidRPr="002F35D2">
        <w:rPr>
          <w:rFonts w:eastAsia="Times New Roman"/>
          <w:lang w:val="es-CO" w:eastAsia="es-ES"/>
        </w:rPr>
        <w:t>para cada dominio, entre la varianza real de es</w:t>
      </w:r>
      <w:r>
        <w:rPr>
          <w:rFonts w:eastAsia="Times New Roman"/>
          <w:lang w:val="es-CO" w:eastAsia="es-ES"/>
        </w:rPr>
        <w:t xml:space="preserve">te diseño de conglomerados y la </w:t>
      </w:r>
      <w:r w:rsidRPr="002F35D2">
        <w:rPr>
          <w:rFonts w:eastAsia="Times New Roman"/>
          <w:lang w:val="es-CO" w:eastAsia="es-ES"/>
        </w:rPr>
        <w:t>que se obtendría con un diseño aleatorio simple de elementos (MAS)</w:t>
      </w:r>
      <w:r>
        <w:rPr>
          <w:rFonts w:eastAsia="Times New Roman"/>
          <w:lang w:val="es-CO" w:eastAsia="es-ES"/>
        </w:rPr>
        <w:t>.</w:t>
      </w:r>
    </w:p>
    <w:p w:rsidR="002F35D2" w:rsidRPr="002F35D2" w:rsidRDefault="002F35D2" w:rsidP="0020708C">
      <w:pPr>
        <w:pStyle w:val="Prrafodelista"/>
        <w:numPr>
          <w:ilvl w:val="0"/>
          <w:numId w:val="22"/>
        </w:numPr>
        <w:spacing w:after="240"/>
        <w:ind w:left="714" w:hanging="357"/>
        <w:contextualSpacing w:val="0"/>
        <w:rPr>
          <w:rFonts w:eastAsia="Times New Roman"/>
          <w:b/>
          <w:lang w:val="es-CO" w:eastAsia="es-ES"/>
        </w:rPr>
      </w:pPr>
      <w:r w:rsidRPr="002F35D2">
        <w:rPr>
          <w:rFonts w:eastAsia="Times New Roman"/>
          <w:b/>
          <w:lang w:val="es-CO" w:eastAsia="es-ES"/>
        </w:rPr>
        <w:t xml:space="preserve">Fórmulas: </w:t>
      </w:r>
    </w:p>
    <w:p w:rsidR="002F35D2" w:rsidRPr="002F35D2" w:rsidRDefault="002F35D2" w:rsidP="002F35D2">
      <w:pPr>
        <w:autoSpaceDE w:val="0"/>
        <w:autoSpaceDN w:val="0"/>
        <w:adjustRightInd w:val="0"/>
        <w:spacing w:before="0" w:line="240" w:lineRule="auto"/>
        <w:jc w:val="left"/>
        <w:rPr>
          <w:rFonts w:eastAsia="Times New Roman"/>
          <w:lang w:val="es-CO" w:eastAsia="es-ES"/>
        </w:rPr>
      </w:pPr>
      <w:r w:rsidRPr="002F35D2">
        <w:rPr>
          <w:rFonts w:eastAsia="Times New Roman"/>
          <w:lang w:val="es-CO" w:eastAsia="es-ES"/>
        </w:rPr>
        <w:t>Tamaño de muestra:</w:t>
      </w:r>
    </w:p>
    <w:p w:rsidR="002F35D2" w:rsidRPr="002F35D2" w:rsidRDefault="00C94AA3" w:rsidP="002F35D2">
      <w:pPr>
        <w:autoSpaceDE w:val="0"/>
        <w:autoSpaceDN w:val="0"/>
        <w:adjustRightInd w:val="0"/>
        <w:spacing w:before="0" w:line="240" w:lineRule="auto"/>
        <w:jc w:val="left"/>
        <w:rPr>
          <w:rFonts w:eastAsia="Times New Roman"/>
          <w:lang w:val="es-CO" w:eastAsia="es-ES"/>
        </w:rPr>
      </w:pPr>
      <m:oMathPara>
        <m:oMath>
          <m:f>
            <m:fPr>
              <m:ctrlPr>
                <w:rPr>
                  <w:rFonts w:ascii="Cambria Math" w:eastAsia="Times New Roman" w:hAnsi="Cambria Math"/>
                  <w:i/>
                  <w:lang w:val="es-CO" w:eastAsia="es-ES"/>
                </w:rPr>
              </m:ctrlPr>
            </m:fPr>
            <m:num>
              <m:r>
                <w:rPr>
                  <w:rFonts w:ascii="Cambria Math" w:eastAsia="Times New Roman" w:hAnsi="Cambria Math"/>
                  <w:lang w:val="es-CO" w:eastAsia="es-ES"/>
                </w:rPr>
                <m:t>n=NPQdeff</m:t>
              </m:r>
            </m:num>
            <m:den>
              <m:sSup>
                <m:sSupPr>
                  <m:ctrlPr>
                    <w:rPr>
                      <w:rFonts w:ascii="Cambria Math" w:eastAsia="Times New Roman" w:hAnsi="Cambria Math"/>
                      <w:i/>
                      <w:lang w:val="es-CO" w:eastAsia="es-ES"/>
                    </w:rPr>
                  </m:ctrlPr>
                </m:sSupPr>
                <m:e>
                  <m:r>
                    <w:rPr>
                      <w:rFonts w:ascii="Cambria Math" w:eastAsia="Times New Roman" w:hAnsi="Cambria Math"/>
                      <w:lang w:val="es-CO" w:eastAsia="es-ES"/>
                    </w:rPr>
                    <m:t>N(ESrelP)</m:t>
                  </m:r>
                </m:e>
                <m:sup>
                  <m:r>
                    <w:rPr>
                      <w:rFonts w:ascii="Cambria Math" w:eastAsia="Times New Roman" w:hAnsi="Cambria Math"/>
                      <w:lang w:eastAsia="es-ES"/>
                    </w:rPr>
                    <m:t>2</m:t>
                  </m:r>
                </m:sup>
              </m:sSup>
              <m:r>
                <w:rPr>
                  <w:rFonts w:ascii="Cambria Math" w:eastAsia="Times New Roman" w:hAnsi="Cambria Math"/>
                  <w:lang w:val="es-CO" w:eastAsia="es-ES"/>
                </w:rPr>
                <m:t>+PQdeff</m:t>
              </m:r>
            </m:den>
          </m:f>
        </m:oMath>
      </m:oMathPara>
    </w:p>
    <w:p w:rsidR="002F35D2" w:rsidRPr="002F35D2" w:rsidRDefault="002F35D2" w:rsidP="002F35D2">
      <w:pPr>
        <w:autoSpaceDE w:val="0"/>
        <w:autoSpaceDN w:val="0"/>
        <w:adjustRightInd w:val="0"/>
        <w:spacing w:before="0" w:line="240" w:lineRule="auto"/>
        <w:jc w:val="left"/>
        <w:rPr>
          <w:rFonts w:eastAsia="Times New Roman"/>
          <w:lang w:val="es-CO" w:eastAsia="es-ES"/>
        </w:rPr>
      </w:pPr>
    </w:p>
    <w:p w:rsidR="002F35D2" w:rsidRPr="002F35D2" w:rsidRDefault="002F35D2" w:rsidP="002F35D2">
      <w:pPr>
        <w:autoSpaceDE w:val="0"/>
        <w:autoSpaceDN w:val="0"/>
        <w:adjustRightInd w:val="0"/>
        <w:spacing w:before="0" w:line="240" w:lineRule="auto"/>
        <w:jc w:val="left"/>
        <w:rPr>
          <w:rFonts w:eastAsia="Times New Roman"/>
          <w:lang w:val="es-CO" w:eastAsia="es-ES"/>
        </w:rPr>
      </w:pPr>
      <w:r>
        <w:rPr>
          <w:rFonts w:eastAsia="Times New Roman"/>
          <w:lang w:val="es-CO" w:eastAsia="es-ES"/>
        </w:rPr>
        <w:t>D</w:t>
      </w:r>
      <w:r w:rsidRPr="002F35D2">
        <w:rPr>
          <w:rFonts w:eastAsia="Times New Roman"/>
          <w:lang w:val="es-CO" w:eastAsia="es-ES"/>
        </w:rPr>
        <w:t xml:space="preserve">onde, </w:t>
      </w:r>
    </w:p>
    <w:p w:rsidR="002F35D2" w:rsidRDefault="002F35D2" w:rsidP="002F35D2">
      <w:pPr>
        <w:autoSpaceDE w:val="0"/>
        <w:autoSpaceDN w:val="0"/>
        <w:adjustRightInd w:val="0"/>
        <w:spacing w:before="0" w:line="240" w:lineRule="auto"/>
        <w:jc w:val="left"/>
        <w:rPr>
          <w:rFonts w:eastAsia="Times New Roman"/>
          <w:lang w:val="es-CO" w:eastAsia="es-ES"/>
        </w:rPr>
      </w:pPr>
    </w:p>
    <w:p w:rsidR="002F35D2" w:rsidRDefault="002F35D2" w:rsidP="002F35D2">
      <w:pPr>
        <w:autoSpaceDE w:val="0"/>
        <w:autoSpaceDN w:val="0"/>
        <w:adjustRightInd w:val="0"/>
        <w:spacing w:before="0" w:line="240" w:lineRule="auto"/>
        <w:jc w:val="left"/>
        <w:rPr>
          <w:rFonts w:eastAsia="Times New Roman"/>
          <w:lang w:val="es-CO" w:eastAsia="es-ES"/>
        </w:rPr>
      </w:pPr>
      <m:oMathPara>
        <m:oMath>
          <m:r>
            <w:rPr>
              <w:rFonts w:ascii="Cambria Math" w:eastAsia="Times New Roman" w:hAnsi="Cambria Math" w:cs="Cambria Math"/>
              <w:lang w:val="es-CO" w:eastAsia="es-ES"/>
            </w:rPr>
            <m:t>ESrel</m:t>
          </m:r>
          <m:r>
            <m:rPr>
              <m:sty m:val="p"/>
            </m:rPr>
            <w:rPr>
              <w:rFonts w:ascii="Cambria Math" w:eastAsia="Times New Roman" w:hAnsi="Cambria Math" w:cs="Cambria Math"/>
              <w:lang w:val="es-CO" w:eastAsia="es-ES"/>
            </w:rPr>
            <m:t>=</m:t>
          </m:r>
          <m:f>
            <m:fPr>
              <m:ctrlPr>
                <w:rPr>
                  <w:rFonts w:ascii="Cambria Math" w:eastAsia="Times New Roman" w:hAnsi="Cambria Math"/>
                  <w:lang w:val="es-CO" w:eastAsia="es-ES"/>
                </w:rPr>
              </m:ctrlPr>
            </m:fPr>
            <m:num>
              <m:rad>
                <m:radPr>
                  <m:degHide m:val="on"/>
                  <m:ctrlPr>
                    <w:rPr>
                      <w:rFonts w:ascii="Cambria Math" w:eastAsia="Times New Roman" w:hAnsi="Cambria Math"/>
                      <w:lang w:val="es-CO" w:eastAsia="es-ES"/>
                    </w:rPr>
                  </m:ctrlPr>
                </m:radPr>
                <m:deg/>
                <m:e>
                  <m:d>
                    <m:dPr>
                      <m:ctrlPr>
                        <w:rPr>
                          <w:rFonts w:ascii="Cambria Math" w:eastAsia="Times New Roman" w:hAnsi="Cambria Math"/>
                          <w:i/>
                          <w:lang w:val="es-CO" w:eastAsia="es-ES"/>
                        </w:rPr>
                      </m:ctrlPr>
                    </m:dPr>
                    <m:e>
                      <m:r>
                        <w:rPr>
                          <w:rFonts w:ascii="Cambria Math" w:eastAsia="Times New Roman" w:hAnsi="Cambria Math"/>
                          <w:lang w:val="es-CO" w:eastAsia="es-ES"/>
                        </w:rPr>
                        <m:t>1-</m:t>
                      </m:r>
                      <m:f>
                        <m:fPr>
                          <m:ctrlPr>
                            <w:rPr>
                              <w:rFonts w:ascii="Cambria Math" w:eastAsia="Times New Roman" w:hAnsi="Cambria Math"/>
                              <w:i/>
                              <w:lang w:val="es-CO" w:eastAsia="es-ES"/>
                            </w:rPr>
                          </m:ctrlPr>
                        </m:fPr>
                        <m:num>
                          <m:r>
                            <w:rPr>
                              <w:rFonts w:ascii="Cambria Math" w:eastAsia="Times New Roman" w:hAnsi="Cambria Math"/>
                              <w:lang w:val="es-CO" w:eastAsia="es-ES"/>
                            </w:rPr>
                            <m:t>n</m:t>
                          </m:r>
                        </m:num>
                        <m:den>
                          <m:r>
                            <w:rPr>
                              <w:rFonts w:ascii="Cambria Math" w:eastAsia="Times New Roman" w:hAnsi="Cambria Math"/>
                              <w:lang w:val="es-CO" w:eastAsia="es-ES"/>
                            </w:rPr>
                            <m:t>N</m:t>
                          </m:r>
                        </m:den>
                      </m:f>
                    </m:e>
                  </m:d>
                  <m:r>
                    <w:rPr>
                      <w:rFonts w:ascii="Cambria Math" w:eastAsia="Times New Roman" w:hAnsi="Cambria Math"/>
                      <w:lang w:val="es-CO" w:eastAsia="es-ES"/>
                    </w:rPr>
                    <m:t xml:space="preserve"> </m:t>
                  </m:r>
                  <m:f>
                    <m:fPr>
                      <m:ctrlPr>
                        <w:rPr>
                          <w:rFonts w:ascii="Cambria Math" w:eastAsia="Times New Roman" w:hAnsi="Cambria Math"/>
                          <w:i/>
                          <w:lang w:val="es-CO" w:eastAsia="es-ES"/>
                        </w:rPr>
                      </m:ctrlPr>
                    </m:fPr>
                    <m:num>
                      <m:r>
                        <w:rPr>
                          <w:rFonts w:ascii="Cambria Math" w:eastAsia="Times New Roman" w:hAnsi="Cambria Math"/>
                          <w:lang w:val="es-CO" w:eastAsia="es-ES"/>
                        </w:rPr>
                        <m:t>PQ</m:t>
                      </m:r>
                    </m:num>
                    <m:den>
                      <m:r>
                        <w:rPr>
                          <w:rFonts w:ascii="Cambria Math" w:eastAsia="Times New Roman" w:hAnsi="Cambria Math"/>
                          <w:lang w:val="es-CO" w:eastAsia="es-ES"/>
                        </w:rPr>
                        <m:t>n</m:t>
                      </m:r>
                    </m:den>
                  </m:f>
                  <m:r>
                    <w:rPr>
                      <w:rFonts w:ascii="Cambria Math" w:eastAsia="Times New Roman" w:hAnsi="Cambria Math"/>
                      <w:lang w:val="es-CO" w:eastAsia="es-ES"/>
                    </w:rPr>
                    <m:t>deff</m:t>
                  </m:r>
                </m:e>
              </m:rad>
            </m:num>
            <m:den>
              <m:r>
                <w:rPr>
                  <w:rFonts w:ascii="Cambria Math" w:eastAsia="Times New Roman" w:hAnsi="Cambria Math"/>
                  <w:lang w:val="es-CO" w:eastAsia="es-ES"/>
                </w:rPr>
                <m:t>P</m:t>
              </m:r>
            </m:den>
          </m:f>
        </m:oMath>
      </m:oMathPara>
    </w:p>
    <w:p w:rsidR="002F35D2" w:rsidRDefault="002F35D2" w:rsidP="002F35D2">
      <w:pPr>
        <w:autoSpaceDE w:val="0"/>
        <w:autoSpaceDN w:val="0"/>
        <w:adjustRightInd w:val="0"/>
        <w:spacing w:before="0" w:line="240" w:lineRule="auto"/>
        <w:jc w:val="left"/>
        <w:rPr>
          <w:rFonts w:eastAsia="Times New Roman"/>
          <w:lang w:val="es-CO" w:eastAsia="es-ES"/>
        </w:rPr>
      </w:pPr>
    </w:p>
    <w:p w:rsidR="002F35D2" w:rsidRPr="002F35D2" w:rsidRDefault="002F35D2" w:rsidP="002F35D2">
      <w:pPr>
        <w:autoSpaceDE w:val="0"/>
        <w:autoSpaceDN w:val="0"/>
        <w:adjustRightInd w:val="0"/>
        <w:spacing w:before="0" w:line="240" w:lineRule="auto"/>
        <w:jc w:val="left"/>
        <w:rPr>
          <w:rFonts w:eastAsia="Times New Roman"/>
          <w:lang w:val="es-CO" w:eastAsia="es-ES"/>
        </w:rPr>
      </w:pPr>
      <w:r w:rsidRPr="002F35D2">
        <w:rPr>
          <w:rFonts w:eastAsia="Times New Roman"/>
          <w:lang w:val="es-CO" w:eastAsia="es-ES"/>
        </w:rPr>
        <w:t xml:space="preserve">n = tamaño de muestra </w:t>
      </w:r>
    </w:p>
    <w:p w:rsidR="002F35D2" w:rsidRPr="002F35D2" w:rsidRDefault="002F35D2" w:rsidP="002F35D2">
      <w:pPr>
        <w:autoSpaceDE w:val="0"/>
        <w:autoSpaceDN w:val="0"/>
        <w:adjustRightInd w:val="0"/>
        <w:spacing w:before="0" w:line="240" w:lineRule="auto"/>
        <w:jc w:val="left"/>
        <w:rPr>
          <w:rFonts w:eastAsia="Times New Roman"/>
          <w:lang w:val="es-CO" w:eastAsia="es-ES"/>
        </w:rPr>
      </w:pPr>
      <w:r w:rsidRPr="002F35D2">
        <w:rPr>
          <w:rFonts w:eastAsia="Times New Roman"/>
          <w:lang w:val="es-CO" w:eastAsia="es-ES"/>
        </w:rPr>
        <w:t xml:space="preserve">N = tamaño del universo </w:t>
      </w:r>
    </w:p>
    <w:p w:rsidR="002F35D2" w:rsidRPr="002F35D2" w:rsidRDefault="002F35D2" w:rsidP="002F35D2">
      <w:pPr>
        <w:autoSpaceDE w:val="0"/>
        <w:autoSpaceDN w:val="0"/>
        <w:adjustRightInd w:val="0"/>
        <w:spacing w:before="0" w:line="240" w:lineRule="auto"/>
        <w:jc w:val="left"/>
        <w:rPr>
          <w:rFonts w:eastAsia="Times New Roman"/>
          <w:lang w:val="es-CO" w:eastAsia="es-ES"/>
        </w:rPr>
      </w:pPr>
      <w:r w:rsidRPr="002F35D2">
        <w:rPr>
          <w:rFonts w:eastAsia="Times New Roman"/>
          <w:lang w:val="es-CO" w:eastAsia="es-ES"/>
        </w:rPr>
        <w:t xml:space="preserve">P = Probabilidad de ocurrencia del fenómeno estudiado. </w:t>
      </w:r>
    </w:p>
    <w:p w:rsidR="002F35D2" w:rsidRDefault="002F35D2" w:rsidP="002F35D2">
      <w:pPr>
        <w:autoSpaceDE w:val="0"/>
        <w:autoSpaceDN w:val="0"/>
        <w:adjustRightInd w:val="0"/>
        <w:spacing w:before="0" w:line="240" w:lineRule="auto"/>
        <w:jc w:val="left"/>
        <w:rPr>
          <w:rFonts w:eastAsia="Times New Roman"/>
          <w:lang w:val="es-CO" w:eastAsia="es-ES"/>
        </w:rPr>
      </w:pPr>
      <w:r w:rsidRPr="002F35D2">
        <w:rPr>
          <w:rFonts w:eastAsia="Times New Roman"/>
          <w:lang w:val="es-CO" w:eastAsia="es-ES"/>
        </w:rPr>
        <w:t xml:space="preserve">Q = 1 - P, Probabilidad de no ocurrencia </w:t>
      </w:r>
    </w:p>
    <w:p w:rsidR="002F35D2" w:rsidRPr="002F35D2" w:rsidRDefault="002F35D2" w:rsidP="002F35D2">
      <w:pPr>
        <w:autoSpaceDE w:val="0"/>
        <w:autoSpaceDN w:val="0"/>
        <w:adjustRightInd w:val="0"/>
        <w:spacing w:before="0" w:line="240" w:lineRule="auto"/>
        <w:jc w:val="left"/>
        <w:rPr>
          <w:rFonts w:eastAsia="Times New Roman"/>
          <w:lang w:val="es-CO" w:eastAsia="es-ES"/>
        </w:rPr>
      </w:pPr>
    </w:p>
    <w:p w:rsidR="002F35D2" w:rsidRDefault="002F35D2" w:rsidP="002F35D2">
      <w:pPr>
        <w:autoSpaceDE w:val="0"/>
        <w:autoSpaceDN w:val="0"/>
        <w:adjustRightInd w:val="0"/>
        <w:spacing w:before="0" w:line="240" w:lineRule="auto"/>
        <w:jc w:val="center"/>
        <w:rPr>
          <w:rFonts w:eastAsia="Times New Roman"/>
          <w:lang w:val="es-CO" w:eastAsia="es-ES"/>
        </w:rPr>
      </w:pPr>
      <m:oMath>
        <m:r>
          <w:rPr>
            <w:rFonts w:ascii="Cambria Math" w:eastAsia="Times New Roman" w:hAnsi="Cambria Math"/>
            <w:lang w:val="es-CO" w:eastAsia="es-ES"/>
          </w:rPr>
          <m:t xml:space="preserve">deff= </m:t>
        </m:r>
        <m:f>
          <m:fPr>
            <m:ctrlPr>
              <w:rPr>
                <w:rFonts w:ascii="Cambria Math" w:eastAsia="Times New Roman" w:hAnsi="Cambria Math"/>
                <w:i/>
                <w:lang w:val="es-CO" w:eastAsia="es-ES"/>
              </w:rPr>
            </m:ctrlPr>
          </m:fPr>
          <m:num>
            <m:r>
              <w:rPr>
                <w:rFonts w:ascii="Cambria Math" w:eastAsia="Times New Roman" w:hAnsi="Cambria Math"/>
                <w:lang w:val="es-CO" w:eastAsia="es-ES"/>
              </w:rPr>
              <m:t>Var (congl)</m:t>
            </m:r>
          </m:num>
          <m:den>
            <m:r>
              <w:rPr>
                <w:rFonts w:ascii="Cambria Math" w:eastAsia="Times New Roman" w:hAnsi="Cambria Math"/>
                <w:lang w:val="es-CO" w:eastAsia="es-ES"/>
              </w:rPr>
              <m:t>Var (MAS)</m:t>
            </m:r>
          </m:den>
        </m:f>
      </m:oMath>
      <w:r>
        <w:rPr>
          <w:rFonts w:eastAsia="Times New Roman"/>
          <w:lang w:val="es-CO" w:eastAsia="es-ES"/>
        </w:rPr>
        <w:t xml:space="preserve"> </w:t>
      </w:r>
      <w:r>
        <w:rPr>
          <w:rFonts w:eastAsia="Times New Roman"/>
          <w:lang w:val="es-CO" w:eastAsia="es-ES"/>
        </w:rPr>
        <w:tab/>
      </w:r>
      <w:r>
        <w:rPr>
          <w:rFonts w:eastAsia="Times New Roman"/>
          <w:lang w:val="es-CO" w:eastAsia="es-ES"/>
        </w:rPr>
        <w:tab/>
        <w:t>Efecto</w:t>
      </w:r>
      <w:r w:rsidRPr="002F35D2">
        <w:rPr>
          <w:rFonts w:eastAsia="Times New Roman"/>
          <w:lang w:val="es-CO" w:eastAsia="es-ES"/>
        </w:rPr>
        <w:t xml:space="preserve"> de los conglomerados en el diseño.</w:t>
      </w:r>
    </w:p>
    <w:p w:rsidR="002F35D2" w:rsidRDefault="002F35D2" w:rsidP="002F35D2">
      <w:pPr>
        <w:rPr>
          <w:rFonts w:eastAsia="Times New Roman"/>
          <w:lang w:val="es-CO" w:eastAsia="es-ES"/>
        </w:rPr>
      </w:pPr>
      <w:r w:rsidRPr="002F35D2">
        <w:rPr>
          <w:rFonts w:eastAsia="Times New Roman"/>
          <w:lang w:val="es-CO" w:eastAsia="es-ES"/>
        </w:rPr>
        <w:t>Los tamaños de muestra en segmentos, para cada dominio establecido de la ECV 2011 se presentan a continuación:</w:t>
      </w:r>
    </w:p>
    <w:p w:rsidR="003C0814" w:rsidRDefault="003C0814" w:rsidP="003E4FC5">
      <w:pPr>
        <w:pStyle w:val="T-Figura"/>
      </w:pPr>
      <w:r>
        <w:t xml:space="preserve">Tabla </w:t>
      </w:r>
      <w:r w:rsidR="003E4FC5">
        <w:t>A</w:t>
      </w:r>
      <w:r w:rsidR="00932BFD">
        <w:t>5</w:t>
      </w:r>
      <w:r w:rsidR="003E4FC5">
        <w:t>.1 -</w:t>
      </w:r>
      <w:r>
        <w:t xml:space="preserve"> Tamaño esperado de la muestra por regiones y departamentos</w:t>
      </w:r>
    </w:p>
    <w:tbl>
      <w:tblPr>
        <w:tblStyle w:val="Tablaconcuadrcula"/>
        <w:tblW w:w="0" w:type="auto"/>
        <w:tblLook w:val="04A0"/>
      </w:tblPr>
      <w:tblGrid>
        <w:gridCol w:w="2140"/>
        <w:gridCol w:w="1211"/>
        <w:gridCol w:w="1211"/>
        <w:gridCol w:w="1211"/>
      </w:tblGrid>
      <w:tr w:rsidR="003E4FC5" w:rsidRPr="003E4FC5" w:rsidTr="00C33868">
        <w:trPr>
          <w:cnfStyle w:val="100000000000"/>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REGIÓN</w:t>
            </w:r>
          </w:p>
        </w:tc>
        <w:tc>
          <w:tcPr>
            <w:tcW w:w="1211"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CABECERA</w:t>
            </w:r>
          </w:p>
        </w:tc>
        <w:tc>
          <w:tcPr>
            <w:tcW w:w="1211"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RESTO</w:t>
            </w:r>
          </w:p>
        </w:tc>
        <w:tc>
          <w:tcPr>
            <w:tcW w:w="1211"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TOTAL</w:t>
            </w:r>
          </w:p>
        </w:tc>
      </w:tr>
      <w:tr w:rsidR="003E4FC5" w:rsidRPr="003E4FC5" w:rsidTr="00C33868">
        <w:trPr>
          <w:cnfStyle w:val="000000100000"/>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Región Atlántica</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99</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94</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193</w:t>
            </w:r>
          </w:p>
        </w:tc>
      </w:tr>
      <w:tr w:rsidR="003E4FC5" w:rsidRPr="003E4FC5" w:rsidTr="00C33868">
        <w:trPr>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Región Oriental</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96</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92</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188</w:t>
            </w:r>
          </w:p>
        </w:tc>
      </w:tr>
      <w:tr w:rsidR="003E4FC5" w:rsidRPr="003E4FC5" w:rsidTr="00C33868">
        <w:trPr>
          <w:cnfStyle w:val="000000100000"/>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Región Central</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98</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92</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190</w:t>
            </w:r>
          </w:p>
        </w:tc>
      </w:tr>
      <w:tr w:rsidR="003E4FC5" w:rsidRPr="003E4FC5" w:rsidTr="00C33868">
        <w:trPr>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Bogotá</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113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3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116 </w:t>
            </w:r>
          </w:p>
        </w:tc>
      </w:tr>
      <w:tr w:rsidR="003E4FC5" w:rsidRPr="003E4FC5" w:rsidTr="00C33868">
        <w:trPr>
          <w:cnfStyle w:val="000000100000"/>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Antioquia</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119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94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213 </w:t>
            </w:r>
          </w:p>
        </w:tc>
      </w:tr>
      <w:tr w:rsidR="003E4FC5" w:rsidRPr="003E4FC5" w:rsidTr="00C33868">
        <w:trPr>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Córdoba</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101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119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220 </w:t>
            </w:r>
          </w:p>
        </w:tc>
      </w:tr>
      <w:tr w:rsidR="003E4FC5" w:rsidRPr="003E4FC5" w:rsidTr="00C33868">
        <w:trPr>
          <w:cnfStyle w:val="000000100000"/>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La Guajira</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114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92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206 </w:t>
            </w:r>
          </w:p>
        </w:tc>
      </w:tr>
      <w:tr w:rsidR="003E4FC5" w:rsidRPr="003E4FC5" w:rsidTr="00C33868">
        <w:trPr>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Boyacá</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114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102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216 </w:t>
            </w:r>
          </w:p>
        </w:tc>
      </w:tr>
      <w:tr w:rsidR="003E4FC5" w:rsidRPr="003E4FC5" w:rsidTr="00C33868">
        <w:trPr>
          <w:cnfStyle w:val="000000100000"/>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Cauca</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99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115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214 </w:t>
            </w:r>
          </w:p>
        </w:tc>
      </w:tr>
      <w:tr w:rsidR="003E4FC5" w:rsidRPr="003E4FC5" w:rsidTr="00C33868">
        <w:trPr>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Chocó</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100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106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206 </w:t>
            </w:r>
          </w:p>
        </w:tc>
      </w:tr>
      <w:tr w:rsidR="003E4FC5" w:rsidRPr="003E4FC5" w:rsidTr="00C33868">
        <w:trPr>
          <w:cnfStyle w:val="000000100000"/>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Nariño</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104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110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214 </w:t>
            </w:r>
          </w:p>
        </w:tc>
      </w:tr>
      <w:tr w:rsidR="003E4FC5" w:rsidRPr="003E4FC5" w:rsidTr="00C33868">
        <w:trPr>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Valle</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117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91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208 </w:t>
            </w:r>
          </w:p>
        </w:tc>
      </w:tr>
      <w:tr w:rsidR="003E4FC5" w:rsidRPr="003E4FC5" w:rsidTr="00C33868">
        <w:trPr>
          <w:cnfStyle w:val="000000100000"/>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San Andrés</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60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60 </w:t>
            </w:r>
          </w:p>
        </w:tc>
      </w:tr>
      <w:tr w:rsidR="003E4FC5" w:rsidRPr="003E4FC5" w:rsidTr="00C33868">
        <w:trPr>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sz w:val="20"/>
                <w:szCs w:val="20"/>
                <w:lang w:eastAsia="es-ES"/>
              </w:rPr>
            </w:pPr>
            <w:r w:rsidRPr="003E4FC5">
              <w:rPr>
                <w:rFonts w:ascii="Arial Narrow" w:eastAsia="Times New Roman" w:hAnsi="Arial Narrow"/>
                <w:sz w:val="20"/>
                <w:szCs w:val="20"/>
                <w:lang w:eastAsia="es-ES"/>
              </w:rPr>
              <w:t>Orinoquia y Amazonía</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60 </w:t>
            </w: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p>
        </w:tc>
        <w:tc>
          <w:tcPr>
            <w:tcW w:w="1211" w:type="dxa"/>
            <w:noWrap/>
            <w:vAlign w:val="center"/>
            <w:hideMark/>
          </w:tcPr>
          <w:p w:rsidR="003E4FC5" w:rsidRPr="003E4FC5" w:rsidRDefault="003E4FC5" w:rsidP="003E4FC5">
            <w:pPr>
              <w:spacing w:before="0"/>
              <w:jc w:val="right"/>
              <w:rPr>
                <w:rFonts w:ascii="Arial Narrow" w:eastAsia="Times New Roman" w:hAnsi="Arial Narrow"/>
                <w:sz w:val="20"/>
                <w:szCs w:val="20"/>
                <w:lang w:eastAsia="es-ES"/>
              </w:rPr>
            </w:pPr>
            <w:r w:rsidRPr="003E4FC5">
              <w:rPr>
                <w:rFonts w:ascii="Arial Narrow" w:eastAsia="Times New Roman" w:hAnsi="Arial Narrow"/>
                <w:sz w:val="20"/>
                <w:szCs w:val="20"/>
                <w:lang w:eastAsia="es-ES"/>
              </w:rPr>
              <w:t xml:space="preserve">60 </w:t>
            </w:r>
          </w:p>
        </w:tc>
      </w:tr>
      <w:tr w:rsidR="003E4FC5" w:rsidRPr="003E4FC5" w:rsidTr="00C33868">
        <w:trPr>
          <w:cnfStyle w:val="000000100000"/>
          <w:trHeight w:val="227"/>
        </w:trPr>
        <w:tc>
          <w:tcPr>
            <w:tcW w:w="2140" w:type="dxa"/>
            <w:noWrap/>
            <w:vAlign w:val="center"/>
            <w:hideMark/>
          </w:tcPr>
          <w:p w:rsidR="003E4FC5" w:rsidRPr="003E4FC5" w:rsidRDefault="003E4FC5" w:rsidP="003E4FC5">
            <w:pPr>
              <w:spacing w:before="0"/>
              <w:jc w:val="left"/>
              <w:rPr>
                <w:rFonts w:ascii="Arial Narrow" w:eastAsia="Times New Roman" w:hAnsi="Arial Narrow"/>
                <w:b/>
                <w:bCs/>
                <w:sz w:val="20"/>
                <w:szCs w:val="20"/>
                <w:lang w:eastAsia="es-ES"/>
              </w:rPr>
            </w:pPr>
            <w:r w:rsidRPr="003E4FC5">
              <w:rPr>
                <w:rFonts w:ascii="Arial Narrow" w:eastAsia="Times New Roman" w:hAnsi="Arial Narrow"/>
                <w:b/>
                <w:bCs/>
                <w:sz w:val="20"/>
                <w:szCs w:val="20"/>
                <w:lang w:eastAsia="es-ES"/>
              </w:rPr>
              <w:t>TOTAL NACIONAL</w:t>
            </w:r>
          </w:p>
        </w:tc>
        <w:tc>
          <w:tcPr>
            <w:tcW w:w="1211" w:type="dxa"/>
            <w:noWrap/>
            <w:vAlign w:val="center"/>
            <w:hideMark/>
          </w:tcPr>
          <w:p w:rsidR="003E4FC5" w:rsidRPr="003E4FC5" w:rsidRDefault="003E4FC5" w:rsidP="003E4FC5">
            <w:pPr>
              <w:spacing w:before="0"/>
              <w:jc w:val="right"/>
              <w:rPr>
                <w:rFonts w:ascii="Arial Narrow" w:eastAsia="Times New Roman" w:hAnsi="Arial Narrow"/>
                <w:b/>
                <w:bCs/>
                <w:sz w:val="20"/>
                <w:szCs w:val="20"/>
                <w:lang w:eastAsia="es-ES"/>
              </w:rPr>
            </w:pPr>
            <w:r w:rsidRPr="003E4FC5">
              <w:rPr>
                <w:rFonts w:ascii="Arial Narrow" w:eastAsia="Times New Roman" w:hAnsi="Arial Narrow"/>
                <w:b/>
                <w:bCs/>
                <w:sz w:val="20"/>
                <w:szCs w:val="20"/>
                <w:lang w:eastAsia="es-ES"/>
              </w:rPr>
              <w:t xml:space="preserve">1,394 </w:t>
            </w:r>
          </w:p>
        </w:tc>
        <w:tc>
          <w:tcPr>
            <w:tcW w:w="1211" w:type="dxa"/>
            <w:noWrap/>
            <w:vAlign w:val="center"/>
            <w:hideMark/>
          </w:tcPr>
          <w:p w:rsidR="003E4FC5" w:rsidRPr="003E4FC5" w:rsidRDefault="003E4FC5" w:rsidP="003E4FC5">
            <w:pPr>
              <w:spacing w:before="0"/>
              <w:jc w:val="right"/>
              <w:rPr>
                <w:rFonts w:ascii="Arial Narrow" w:eastAsia="Times New Roman" w:hAnsi="Arial Narrow"/>
                <w:b/>
                <w:bCs/>
                <w:sz w:val="20"/>
                <w:szCs w:val="20"/>
                <w:lang w:eastAsia="es-ES"/>
              </w:rPr>
            </w:pPr>
            <w:r w:rsidRPr="003E4FC5">
              <w:rPr>
                <w:rFonts w:ascii="Arial Narrow" w:eastAsia="Times New Roman" w:hAnsi="Arial Narrow"/>
                <w:b/>
                <w:bCs/>
                <w:sz w:val="20"/>
                <w:szCs w:val="20"/>
                <w:lang w:eastAsia="es-ES"/>
              </w:rPr>
              <w:t xml:space="preserve">1,110 </w:t>
            </w:r>
          </w:p>
        </w:tc>
        <w:tc>
          <w:tcPr>
            <w:tcW w:w="1211" w:type="dxa"/>
            <w:noWrap/>
            <w:vAlign w:val="center"/>
            <w:hideMark/>
          </w:tcPr>
          <w:p w:rsidR="003E4FC5" w:rsidRPr="003E4FC5" w:rsidRDefault="003E4FC5" w:rsidP="003E4FC5">
            <w:pPr>
              <w:spacing w:before="0"/>
              <w:jc w:val="right"/>
              <w:rPr>
                <w:rFonts w:ascii="Arial Narrow" w:eastAsia="Times New Roman" w:hAnsi="Arial Narrow"/>
                <w:b/>
                <w:bCs/>
                <w:sz w:val="20"/>
                <w:szCs w:val="20"/>
                <w:lang w:eastAsia="es-ES"/>
              </w:rPr>
            </w:pPr>
            <w:r w:rsidRPr="003E4FC5">
              <w:rPr>
                <w:rFonts w:ascii="Arial Narrow" w:eastAsia="Times New Roman" w:hAnsi="Arial Narrow"/>
                <w:b/>
                <w:bCs/>
                <w:sz w:val="20"/>
                <w:szCs w:val="20"/>
                <w:lang w:eastAsia="es-ES"/>
              </w:rPr>
              <w:t xml:space="preserve">2,504 </w:t>
            </w:r>
          </w:p>
        </w:tc>
      </w:tr>
    </w:tbl>
    <w:p w:rsidR="003E4FC5" w:rsidRPr="00544B68" w:rsidRDefault="003E4FC5" w:rsidP="00C33868">
      <w:pPr>
        <w:jc w:val="center"/>
        <w:rPr>
          <w:rFonts w:ascii="Century Gothic" w:hAnsi="Century Gothic"/>
          <w:color w:val="404040" w:themeColor="text1" w:themeTint="BF"/>
          <w:sz w:val="20"/>
          <w:szCs w:val="18"/>
          <w:lang w:val="es-CO" w:eastAsia="es-CO"/>
        </w:rPr>
      </w:pPr>
      <w:r w:rsidRPr="00544B68">
        <w:rPr>
          <w:rFonts w:ascii="Century Gothic" w:hAnsi="Century Gothic"/>
          <w:color w:val="404040" w:themeColor="text1" w:themeTint="BF"/>
          <w:sz w:val="20"/>
          <w:szCs w:val="18"/>
          <w:lang w:val="es-CO" w:eastAsia="es-CO"/>
        </w:rPr>
        <w:t>Fuente: Elaboración propia.</w:t>
      </w:r>
    </w:p>
    <w:p w:rsidR="00F22D05" w:rsidRDefault="00F22D05" w:rsidP="00C33868">
      <w:pPr>
        <w:jc w:val="center"/>
        <w:rPr>
          <w:rFonts w:ascii="Century Gothic" w:hAnsi="Century Gothic"/>
          <w:color w:val="404040" w:themeColor="text1" w:themeTint="BF"/>
          <w:sz w:val="18"/>
          <w:szCs w:val="18"/>
          <w:lang w:val="es-CO" w:eastAsia="es-CO"/>
        </w:rPr>
      </w:pPr>
    </w:p>
    <w:p w:rsidR="00F22D05" w:rsidRDefault="00F22D05" w:rsidP="00C33868">
      <w:pPr>
        <w:jc w:val="center"/>
        <w:rPr>
          <w:rFonts w:ascii="Century Gothic" w:hAnsi="Century Gothic"/>
          <w:color w:val="404040" w:themeColor="text1" w:themeTint="BF"/>
          <w:sz w:val="18"/>
          <w:szCs w:val="18"/>
          <w:lang w:val="es-CO" w:eastAsia="es-CO"/>
        </w:rPr>
      </w:pPr>
    </w:p>
    <w:p w:rsidR="00F76A19" w:rsidRDefault="00F76A19" w:rsidP="00C33868">
      <w:pPr>
        <w:jc w:val="center"/>
        <w:rPr>
          <w:rFonts w:ascii="Century Gothic" w:hAnsi="Century Gothic"/>
          <w:color w:val="404040" w:themeColor="text1" w:themeTint="BF"/>
          <w:sz w:val="18"/>
          <w:szCs w:val="18"/>
          <w:lang w:val="es-CO" w:eastAsia="es-CO"/>
        </w:rPr>
      </w:pPr>
    </w:p>
    <w:p w:rsidR="00F22D05" w:rsidRDefault="00F22D05" w:rsidP="00C33868">
      <w:pPr>
        <w:jc w:val="center"/>
        <w:rPr>
          <w:rFonts w:ascii="Century Gothic" w:hAnsi="Century Gothic"/>
          <w:color w:val="404040" w:themeColor="text1" w:themeTint="BF"/>
          <w:sz w:val="18"/>
          <w:szCs w:val="18"/>
          <w:lang w:val="es-CO" w:eastAsia="es-CO"/>
        </w:rPr>
      </w:pPr>
    </w:p>
    <w:p w:rsidR="00F76A19" w:rsidRDefault="00F76A19" w:rsidP="00F76A19">
      <w:pPr>
        <w:rPr>
          <w:rFonts w:eastAsia="Times New Roman"/>
          <w:lang w:val="es-CO" w:eastAsia="es-ES"/>
        </w:rPr>
      </w:pPr>
    </w:p>
    <w:p w:rsidR="00580918" w:rsidRPr="006F7E9B" w:rsidRDefault="00580918" w:rsidP="00F76A19">
      <w:pPr>
        <w:pStyle w:val="Titulocaptulo-Econometra"/>
        <w:rPr>
          <w:rFonts w:eastAsia="Times New Roman"/>
          <w:lang w:val="es-CO" w:eastAsia="es-ES"/>
        </w:rPr>
      </w:pPr>
      <w:bookmarkStart w:id="203" w:name="_Toc405992341"/>
      <w:r w:rsidRPr="006F7E9B">
        <w:rPr>
          <w:rFonts w:eastAsia="Times New Roman"/>
          <w:lang w:val="es-CO" w:eastAsia="es-ES"/>
        </w:rPr>
        <w:t>Bibliografía</w:t>
      </w:r>
      <w:bookmarkEnd w:id="203"/>
    </w:p>
    <w:p w:rsidR="00580918" w:rsidRPr="00580918" w:rsidRDefault="00580918" w:rsidP="00580918">
      <w:pPr>
        <w:autoSpaceDE w:val="0"/>
        <w:autoSpaceDN w:val="0"/>
        <w:adjustRightInd w:val="0"/>
        <w:spacing w:before="0" w:line="240" w:lineRule="auto"/>
        <w:jc w:val="center"/>
        <w:rPr>
          <w:rFonts w:eastAsia="Times New Roman" w:cs="Arial"/>
          <w:szCs w:val="24"/>
          <w:lang w:val="es-ES" w:eastAsia="es-ES"/>
        </w:rPr>
      </w:pP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s-ES" w:eastAsia="es-CO"/>
        </w:rPr>
        <w:t xml:space="preserve">Afianza (2011). Informes de Asesoría - </w:t>
      </w:r>
      <w:proofErr w:type="spellStart"/>
      <w:r w:rsidRPr="00580918">
        <w:rPr>
          <w:rFonts w:eastAsia="Calibri" w:cs="Times New Roman"/>
          <w:szCs w:val="22"/>
          <w:lang w:val="es-ES" w:eastAsia="es-CO"/>
        </w:rPr>
        <w:t>Promocion</w:t>
      </w:r>
      <w:proofErr w:type="spellEnd"/>
      <w:r w:rsidRPr="00580918">
        <w:rPr>
          <w:rFonts w:eastAsia="Calibri" w:cs="Times New Roman"/>
          <w:szCs w:val="22"/>
          <w:lang w:val="es-ES" w:eastAsia="es-CO"/>
        </w:rPr>
        <w:t xml:space="preserve">  en  Inversiones  en Conectividad  Internacional y en Infraestructura  de  CDN  y  </w:t>
      </w:r>
      <w:proofErr w:type="spellStart"/>
      <w:r w:rsidRPr="00580918">
        <w:rPr>
          <w:rFonts w:eastAsia="Calibri" w:cs="Times New Roman"/>
          <w:szCs w:val="22"/>
          <w:lang w:val="es-ES" w:eastAsia="es-CO"/>
        </w:rPr>
        <w:t>Hosting</w:t>
      </w:r>
      <w:proofErr w:type="spellEnd"/>
      <w:r w:rsidRPr="00580918">
        <w:rPr>
          <w:rFonts w:eastAsia="Calibri" w:cs="Times New Roman"/>
          <w:szCs w:val="22"/>
          <w:lang w:val="es-ES" w:eastAsia="es-CO"/>
        </w:rPr>
        <w:t xml:space="preserve">  en Colombia. </w:t>
      </w:r>
      <w:proofErr w:type="spellStart"/>
      <w:r w:rsidRPr="00580918">
        <w:rPr>
          <w:rFonts w:eastAsia="Calibri" w:cs="Times New Roman"/>
          <w:szCs w:val="22"/>
          <w:lang w:val="en-US" w:eastAsia="es-CO"/>
        </w:rPr>
        <w:t>Desarrollado</w:t>
      </w:r>
      <w:proofErr w:type="spellEnd"/>
      <w:r w:rsidRPr="00580918">
        <w:rPr>
          <w:rFonts w:eastAsia="Calibri" w:cs="Times New Roman"/>
          <w:szCs w:val="22"/>
          <w:lang w:val="en-US" w:eastAsia="es-CO"/>
        </w:rPr>
        <w:t xml:space="preserve"> </w:t>
      </w:r>
      <w:proofErr w:type="spellStart"/>
      <w:r w:rsidRPr="00580918">
        <w:rPr>
          <w:rFonts w:eastAsia="Calibri" w:cs="Times New Roman"/>
          <w:szCs w:val="22"/>
          <w:lang w:val="en-US" w:eastAsia="es-CO"/>
        </w:rPr>
        <w:t>para</w:t>
      </w:r>
      <w:proofErr w:type="spellEnd"/>
      <w:r w:rsidRPr="00580918">
        <w:rPr>
          <w:rFonts w:eastAsia="Calibri" w:cs="Times New Roman"/>
          <w:szCs w:val="22"/>
          <w:lang w:val="en-US" w:eastAsia="es-CO"/>
        </w:rPr>
        <w:t xml:space="preserve"> ACAC y </w:t>
      </w:r>
      <w:r w:rsidR="006C1C52" w:rsidRPr="00580918">
        <w:rPr>
          <w:rFonts w:eastAsia="Calibri" w:cs="Times New Roman"/>
          <w:szCs w:val="22"/>
          <w:lang w:val="en-US" w:eastAsia="es-CO"/>
        </w:rPr>
        <w:t xml:space="preserve">MINTIC </w:t>
      </w:r>
      <w:r w:rsidRPr="00580918">
        <w:rPr>
          <w:rFonts w:eastAsia="Calibri" w:cs="Times New Roman"/>
          <w:szCs w:val="22"/>
          <w:lang w:val="en-US" w:eastAsia="es-CO"/>
        </w:rPr>
        <w:t>2011-2012</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en-US" w:eastAsia="es-CO"/>
        </w:rPr>
        <w:t>Anttiroiko</w:t>
      </w:r>
      <w:proofErr w:type="spellEnd"/>
      <w:r w:rsidRPr="00580918">
        <w:rPr>
          <w:rFonts w:eastAsia="Calibri" w:cs="Times New Roman"/>
          <w:szCs w:val="22"/>
          <w:lang w:val="en-US" w:eastAsia="es-CO"/>
        </w:rPr>
        <w:t xml:space="preserve">, A.-V. (2013, January). U-cities reshaping our future: reflections on ubiquitous infrastructure as an enabler of smart urban development. AI &amp; Soc, 25th Anniversary Volume </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ANTV (2013). Informe Anual de la Televisión 2012 publicado en junio de 2013. consultado en el sitio web de la entidad en  </w:t>
      </w:r>
      <w:hyperlink r:id="rId108" w:history="1">
        <w:r w:rsidRPr="00580918">
          <w:rPr>
            <w:rFonts w:eastAsia="Calibri" w:cs="Times New Roman"/>
            <w:color w:val="0000FF"/>
            <w:szCs w:val="22"/>
            <w:u w:val="single"/>
            <w:lang w:val="es-ES" w:eastAsia="es-CO"/>
          </w:rPr>
          <w:t>http://antv.gov.co/InfoSectorial/130627_Informe_anual_television_2012.pdf</w:t>
        </w:r>
      </w:hyperlink>
      <w:r w:rsidRPr="00580918">
        <w:rPr>
          <w:rFonts w:eastAsia="Calibri" w:cs="Times New Roman"/>
          <w:szCs w:val="22"/>
          <w:lang w:val="es-ES" w:eastAsia="es-CO"/>
        </w:rPr>
        <w:t xml:space="preserve"> </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n-US" w:eastAsia="es-CO"/>
        </w:rPr>
        <w:t>Barrantes</w:t>
      </w:r>
      <w:proofErr w:type="spellEnd"/>
      <w:r w:rsidRPr="00580918">
        <w:rPr>
          <w:rFonts w:eastAsia="Calibri" w:cs="Times New Roman"/>
          <w:szCs w:val="22"/>
          <w:lang w:val="en-US" w:eastAsia="es-CO"/>
        </w:rPr>
        <w:t>, R. (2007). Analysis of ICT Demand: What Is Digital Poverty and How to Measure It</w:t>
      </w:r>
      <w:proofErr w:type="gramStart"/>
      <w:r w:rsidRPr="00580918">
        <w:rPr>
          <w:rFonts w:eastAsia="Calibri" w:cs="Times New Roman"/>
          <w:szCs w:val="22"/>
          <w:lang w:val="en-US" w:eastAsia="es-CO"/>
        </w:rPr>
        <w:t>?.</w:t>
      </w:r>
      <w:proofErr w:type="gramEnd"/>
      <w:r w:rsidRPr="00580918">
        <w:rPr>
          <w:rFonts w:eastAsia="Calibri" w:cs="Times New Roman"/>
          <w:szCs w:val="22"/>
          <w:lang w:val="en-US" w:eastAsia="es-CO"/>
        </w:rPr>
        <w:t xml:space="preserve"> INSTITUTO DE ESTUDIOS PER</w:t>
      </w:r>
      <w:r w:rsidRPr="00580918">
        <w:rPr>
          <w:rFonts w:eastAsia="Calibri" w:cs="Times New Roman"/>
          <w:szCs w:val="22"/>
          <w:lang w:val="es-ES" w:eastAsia="es-CO"/>
        </w:rPr>
        <w:t>UANOS. publicado en IDRC</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Barja, C., </w:t>
      </w:r>
      <w:proofErr w:type="spellStart"/>
      <w:r w:rsidRPr="00580918">
        <w:rPr>
          <w:rFonts w:eastAsia="Calibri" w:cs="Times New Roman"/>
          <w:szCs w:val="22"/>
          <w:lang w:val="es-ES" w:eastAsia="es-CO"/>
        </w:rPr>
        <w:t>Gigler</w:t>
      </w:r>
      <w:proofErr w:type="spellEnd"/>
      <w:r w:rsidRPr="00580918">
        <w:rPr>
          <w:rFonts w:eastAsia="Calibri" w:cs="Times New Roman"/>
          <w:szCs w:val="22"/>
          <w:lang w:val="es-ES" w:eastAsia="es-CO"/>
        </w:rPr>
        <w:t xml:space="preserve">, B-J. </w:t>
      </w:r>
      <w:r w:rsidRPr="00580918">
        <w:rPr>
          <w:rFonts w:eastAsia="Calibri" w:cs="Times New Roman"/>
          <w:szCs w:val="22"/>
          <w:lang w:val="en-US" w:eastAsia="es-CO"/>
        </w:rPr>
        <w:t xml:space="preserve">(2007) The Concept of Information Poverty and How to Measure it in the Latin American Context. </w:t>
      </w:r>
      <w:r w:rsidRPr="00580918">
        <w:rPr>
          <w:rFonts w:eastAsia="Calibri" w:cs="Times New Roman"/>
          <w:szCs w:val="22"/>
          <w:lang w:val="es-ES" w:eastAsia="es-CO"/>
        </w:rPr>
        <w:t>UNIVERSIDAD CATOLICA BOLIVIANA. LONDON SCHOOL OF ECONOMICS, publicado en IDRC</w:t>
      </w:r>
    </w:p>
    <w:p w:rsidR="007A5119" w:rsidRPr="00657CCD" w:rsidRDefault="00EC1394" w:rsidP="009853D3">
      <w:pPr>
        <w:numPr>
          <w:ilvl w:val="0"/>
          <w:numId w:val="4"/>
        </w:numPr>
        <w:spacing w:before="120" w:after="120"/>
        <w:jc w:val="left"/>
        <w:rPr>
          <w:rFonts w:eastAsia="Calibri" w:cs="Times New Roman"/>
          <w:szCs w:val="22"/>
          <w:lang w:val="es-CO" w:eastAsia="es-CO"/>
        </w:rPr>
      </w:pPr>
      <w:r w:rsidRPr="009853D3">
        <w:rPr>
          <w:rFonts w:eastAsia="Calibri" w:cs="Times New Roman"/>
          <w:szCs w:val="22"/>
          <w:lang w:val="es-ES" w:eastAsia="es-CO"/>
        </w:rPr>
        <w:t>Bernal, R., Peña, X. (</w:t>
      </w:r>
      <w:r w:rsidR="00657CCD" w:rsidRPr="009853D3">
        <w:rPr>
          <w:rFonts w:eastAsia="Calibri" w:cs="Times New Roman"/>
          <w:szCs w:val="22"/>
          <w:lang w:val="es-ES" w:eastAsia="es-CO"/>
        </w:rPr>
        <w:t>201</w:t>
      </w:r>
      <w:r w:rsidR="009853D3" w:rsidRPr="009853D3">
        <w:rPr>
          <w:rFonts w:eastAsia="Calibri" w:cs="Times New Roman"/>
          <w:szCs w:val="22"/>
          <w:lang w:val="es-ES" w:eastAsia="es-CO"/>
        </w:rPr>
        <w:t>2</w:t>
      </w:r>
      <w:r w:rsidRPr="009853D3">
        <w:rPr>
          <w:rFonts w:eastAsia="Calibri" w:cs="Times New Roman"/>
          <w:szCs w:val="22"/>
          <w:lang w:val="es-ES" w:eastAsia="es-CO"/>
        </w:rPr>
        <w:t>)</w:t>
      </w:r>
      <w:r w:rsidR="00657CCD" w:rsidRPr="009853D3">
        <w:rPr>
          <w:rFonts w:eastAsia="Calibri" w:cs="Times New Roman"/>
          <w:szCs w:val="22"/>
          <w:lang w:val="es-ES" w:eastAsia="es-CO"/>
        </w:rPr>
        <w:t xml:space="preserve">. </w:t>
      </w:r>
      <w:r w:rsidR="00657CCD" w:rsidRPr="00657CCD">
        <w:rPr>
          <w:rFonts w:eastAsia="Calibri" w:cs="Times New Roman"/>
          <w:szCs w:val="22"/>
          <w:lang w:val="es-CO" w:eastAsia="es-CO"/>
        </w:rPr>
        <w:t>Guía práctica para la evaluaci</w:t>
      </w:r>
      <w:r w:rsidR="0008130D">
        <w:rPr>
          <w:rFonts w:eastAsia="Calibri" w:cs="Times New Roman"/>
          <w:szCs w:val="22"/>
          <w:lang w:val="es-CO" w:eastAsia="es-CO"/>
        </w:rPr>
        <w:t>ón de impacto.</w:t>
      </w:r>
      <w:r w:rsidR="009853D3">
        <w:rPr>
          <w:rFonts w:eastAsia="Calibri" w:cs="Times New Roman"/>
          <w:szCs w:val="22"/>
          <w:lang w:val="es-CO" w:eastAsia="es-CO"/>
        </w:rPr>
        <w:t xml:space="preserve"> Primera edición. </w:t>
      </w:r>
      <w:r w:rsidR="009853D3" w:rsidRPr="009853D3">
        <w:rPr>
          <w:rFonts w:eastAsia="Calibri" w:cs="Times New Roman"/>
          <w:szCs w:val="22"/>
          <w:lang w:val="es-CO" w:eastAsia="es-CO"/>
        </w:rPr>
        <w:t>ISBN/ISSN: 978-958-695-599-7</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9853D3">
        <w:rPr>
          <w:rFonts w:eastAsia="Calibri" w:cs="Times New Roman"/>
          <w:szCs w:val="22"/>
          <w:lang w:val="es-ES" w:eastAsia="es-CO"/>
        </w:rPr>
        <w:t>Billon</w:t>
      </w:r>
      <w:proofErr w:type="spellEnd"/>
      <w:r w:rsidRPr="009853D3">
        <w:rPr>
          <w:rFonts w:eastAsia="Calibri" w:cs="Times New Roman"/>
          <w:szCs w:val="22"/>
          <w:lang w:val="es-ES" w:eastAsia="es-CO"/>
        </w:rPr>
        <w:t xml:space="preserve">, M. Marco, R. </w:t>
      </w:r>
      <w:proofErr w:type="spellStart"/>
      <w:r w:rsidRPr="009853D3">
        <w:rPr>
          <w:rFonts w:eastAsia="Calibri" w:cs="Times New Roman"/>
          <w:szCs w:val="22"/>
          <w:lang w:val="es-ES" w:eastAsia="es-CO"/>
        </w:rPr>
        <w:t>Lopez</w:t>
      </w:r>
      <w:proofErr w:type="spellEnd"/>
      <w:r w:rsidRPr="009853D3">
        <w:rPr>
          <w:rFonts w:eastAsia="Calibri" w:cs="Times New Roman"/>
          <w:szCs w:val="22"/>
          <w:lang w:val="es-ES" w:eastAsia="es-CO"/>
        </w:rPr>
        <w:t xml:space="preserve">-Lera, F. (2009. </w:t>
      </w:r>
      <w:r w:rsidRPr="00B67D4F">
        <w:rPr>
          <w:rFonts w:eastAsia="Calibri" w:cs="Times New Roman"/>
          <w:szCs w:val="22"/>
          <w:lang w:val="en-US" w:eastAsia="es-CO"/>
        </w:rPr>
        <w:t xml:space="preserve">Disparities in ICT adoption: A multidimensional approach to study the cross-country </w:t>
      </w:r>
      <w:r w:rsidRPr="00580918">
        <w:rPr>
          <w:rFonts w:eastAsia="Calibri" w:cs="Times New Roman"/>
          <w:szCs w:val="22"/>
          <w:lang w:val="en-US" w:eastAsia="es-CO"/>
        </w:rPr>
        <w:t>digital divide. Telecommunications Policy 33 (2009) 596–610</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n-US" w:eastAsia="es-CO"/>
        </w:rPr>
        <w:t xml:space="preserve">Cardona, M. </w:t>
      </w:r>
      <w:proofErr w:type="spellStart"/>
      <w:r w:rsidRPr="00580918">
        <w:rPr>
          <w:rFonts w:eastAsia="Calibri" w:cs="Times New Roman"/>
          <w:szCs w:val="22"/>
          <w:lang w:val="en-US" w:eastAsia="es-CO"/>
        </w:rPr>
        <w:t>Kretschmer</w:t>
      </w:r>
      <w:proofErr w:type="spellEnd"/>
      <w:r w:rsidRPr="00580918">
        <w:rPr>
          <w:rFonts w:eastAsia="Calibri" w:cs="Times New Roman"/>
          <w:szCs w:val="22"/>
          <w:lang w:val="en-US" w:eastAsia="es-CO"/>
        </w:rPr>
        <w:t xml:space="preserve">, T. </w:t>
      </w:r>
      <w:proofErr w:type="spellStart"/>
      <w:r w:rsidRPr="00580918">
        <w:rPr>
          <w:rFonts w:eastAsia="Calibri" w:cs="Times New Roman"/>
          <w:szCs w:val="22"/>
          <w:lang w:val="en-US" w:eastAsia="es-CO"/>
        </w:rPr>
        <w:t>Stroble</w:t>
      </w:r>
      <w:proofErr w:type="spellEnd"/>
      <w:r w:rsidRPr="00580918">
        <w:rPr>
          <w:rFonts w:eastAsia="Calibri" w:cs="Times New Roman"/>
          <w:szCs w:val="22"/>
          <w:lang w:val="en-US" w:eastAsia="es-CO"/>
        </w:rPr>
        <w:t xml:space="preserve">, T. (2013). ICT and productivity: conclusions from the empirical </w:t>
      </w:r>
      <w:proofErr w:type="spellStart"/>
      <w:r w:rsidRPr="00580918">
        <w:rPr>
          <w:rFonts w:eastAsia="Calibri" w:cs="Times New Roman"/>
          <w:szCs w:val="22"/>
          <w:lang w:val="en-US" w:eastAsia="es-CO"/>
        </w:rPr>
        <w:t>literatura</w:t>
      </w:r>
      <w:proofErr w:type="spellEnd"/>
      <w:r w:rsidRPr="00580918">
        <w:rPr>
          <w:rFonts w:eastAsia="Calibri" w:cs="Times New Roman"/>
          <w:szCs w:val="22"/>
          <w:lang w:val="en-US" w:eastAsia="es-CO"/>
        </w:rPr>
        <w:t xml:space="preserve">. </w:t>
      </w:r>
      <w:proofErr w:type="spellStart"/>
      <w:r w:rsidRPr="00580918">
        <w:rPr>
          <w:rFonts w:eastAsia="Calibri" w:cs="Times New Roman"/>
          <w:szCs w:val="22"/>
          <w:lang w:val="es-ES" w:eastAsia="es-CO"/>
        </w:rPr>
        <w:t>Information</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Economics</w:t>
      </w:r>
      <w:proofErr w:type="spellEnd"/>
      <w:r w:rsidRPr="00580918">
        <w:rPr>
          <w:rFonts w:eastAsia="Calibri" w:cs="Times New Roman"/>
          <w:szCs w:val="22"/>
          <w:lang w:val="es-ES" w:eastAsia="es-CO"/>
        </w:rPr>
        <w:t xml:space="preserve"> and </w:t>
      </w:r>
      <w:proofErr w:type="spellStart"/>
      <w:r w:rsidRPr="00580918">
        <w:rPr>
          <w:rFonts w:eastAsia="Calibri" w:cs="Times New Roman"/>
          <w:szCs w:val="22"/>
          <w:lang w:val="es-ES" w:eastAsia="es-CO"/>
        </w:rPr>
        <w:t>Policy</w:t>
      </w:r>
      <w:proofErr w:type="spellEnd"/>
      <w:r w:rsidRPr="00580918">
        <w:rPr>
          <w:rFonts w:eastAsia="Calibri" w:cs="Times New Roman"/>
          <w:szCs w:val="22"/>
          <w:lang w:val="es-ES" w:eastAsia="es-CO"/>
        </w:rPr>
        <w:t xml:space="preserve"> 25 (2013) 109–125.</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CCE – Cámara Colombiana de Comercio Electrónico (2013). Reporte </w:t>
      </w:r>
      <w:proofErr w:type="spellStart"/>
      <w:r w:rsidRPr="00580918">
        <w:rPr>
          <w:rFonts w:eastAsia="Calibri" w:cs="Times New Roman"/>
          <w:szCs w:val="22"/>
          <w:lang w:val="es-ES" w:eastAsia="es-CO"/>
        </w:rPr>
        <w:t>eCommerce</w:t>
      </w:r>
      <w:proofErr w:type="spellEnd"/>
      <w:r w:rsidRPr="00580918">
        <w:rPr>
          <w:rFonts w:eastAsia="Calibri" w:cs="Times New Roman"/>
          <w:szCs w:val="22"/>
          <w:lang w:val="es-ES" w:eastAsia="es-CO"/>
        </w:rPr>
        <w:t xml:space="preserve"> / </w:t>
      </w:r>
      <w:proofErr w:type="spellStart"/>
      <w:r w:rsidRPr="00580918">
        <w:rPr>
          <w:rFonts w:eastAsia="Calibri" w:cs="Times New Roman"/>
          <w:szCs w:val="22"/>
          <w:lang w:val="es-ES" w:eastAsia="es-CO"/>
        </w:rPr>
        <w:t>comScore</w:t>
      </w:r>
      <w:proofErr w:type="spellEnd"/>
      <w:r w:rsidRPr="00580918">
        <w:rPr>
          <w:rFonts w:eastAsia="Calibri" w:cs="Times New Roman"/>
          <w:szCs w:val="22"/>
          <w:lang w:val="es-ES" w:eastAsia="es-CO"/>
        </w:rPr>
        <w:t xml:space="preserve"> - Agosto 2013. Consultado en </w:t>
      </w:r>
      <w:hyperlink r:id="rId109" w:history="1">
        <w:r w:rsidRPr="00580918">
          <w:rPr>
            <w:rFonts w:eastAsia="Calibri" w:cs="Times New Roman"/>
            <w:color w:val="0000FF"/>
            <w:szCs w:val="22"/>
            <w:u w:val="single"/>
            <w:lang w:val="es-ES" w:eastAsia="es-CO"/>
          </w:rPr>
          <w:t>http://www.cce.org.co/noticias/reporte-ecommerce-comscore-agosto-2013</w:t>
        </w:r>
      </w:hyperlink>
      <w:r w:rsidRPr="00580918">
        <w:rPr>
          <w:rFonts w:eastAsia="Calibri" w:cs="Times New Roman"/>
          <w:szCs w:val="22"/>
          <w:lang w:val="es-ES" w:eastAsia="es-CO"/>
        </w:rPr>
        <w:t xml:space="preserve"> </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n-US" w:eastAsia="es-CO"/>
        </w:rPr>
        <w:t>Ceccobelli</w:t>
      </w:r>
      <w:proofErr w:type="spellEnd"/>
      <w:r w:rsidRPr="00580918">
        <w:rPr>
          <w:rFonts w:eastAsia="Calibri" w:cs="Times New Roman"/>
          <w:szCs w:val="22"/>
          <w:lang w:val="en-US" w:eastAsia="es-CO"/>
        </w:rPr>
        <w:t xml:space="preserve">, M. </w:t>
      </w:r>
      <w:proofErr w:type="spellStart"/>
      <w:r w:rsidRPr="00580918">
        <w:rPr>
          <w:rFonts w:eastAsia="Calibri" w:cs="Times New Roman"/>
          <w:szCs w:val="22"/>
          <w:lang w:val="en-US" w:eastAsia="es-CO"/>
        </w:rPr>
        <w:t>Gitto</w:t>
      </w:r>
      <w:proofErr w:type="spellEnd"/>
      <w:r w:rsidRPr="00580918">
        <w:rPr>
          <w:rFonts w:eastAsia="Calibri" w:cs="Times New Roman"/>
          <w:szCs w:val="22"/>
          <w:lang w:val="en-US" w:eastAsia="es-CO"/>
        </w:rPr>
        <w:t xml:space="preserve">, S. Mancuso, P. (2012). ICT capital and </w:t>
      </w:r>
      <w:proofErr w:type="spellStart"/>
      <w:r w:rsidRPr="00580918">
        <w:rPr>
          <w:rFonts w:eastAsia="Calibri" w:cs="Times New Roman"/>
          <w:szCs w:val="22"/>
          <w:lang w:val="en-US" w:eastAsia="es-CO"/>
        </w:rPr>
        <w:t>labour</w:t>
      </w:r>
      <w:proofErr w:type="spellEnd"/>
      <w:r w:rsidRPr="00580918">
        <w:rPr>
          <w:rFonts w:eastAsia="Calibri" w:cs="Times New Roman"/>
          <w:szCs w:val="22"/>
          <w:lang w:val="en-US" w:eastAsia="es-CO"/>
        </w:rPr>
        <w:t xml:space="preserve"> productivity growth: A non-parametric analysis of 14 OECD countries. </w:t>
      </w:r>
      <w:proofErr w:type="spellStart"/>
      <w:r w:rsidRPr="00580918">
        <w:rPr>
          <w:rFonts w:eastAsia="Calibri" w:cs="Times New Roman"/>
          <w:szCs w:val="22"/>
          <w:lang w:val="es-ES" w:eastAsia="es-CO"/>
        </w:rPr>
        <w:t>Telecommunications</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Policy</w:t>
      </w:r>
      <w:proofErr w:type="spellEnd"/>
      <w:r w:rsidRPr="00580918">
        <w:rPr>
          <w:rFonts w:eastAsia="Calibri" w:cs="Times New Roman"/>
          <w:szCs w:val="22"/>
          <w:lang w:val="es-ES" w:eastAsia="es-CO"/>
        </w:rPr>
        <w:t xml:space="preserve"> 36 (2012) 282–292. </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lastRenderedPageBreak/>
        <w:t xml:space="preserve">CNC - Centro Nacional de Consultoría. (2006, Marzo 16). Medición de factores multiplicadores para el cálculo de usuarios de internet en Colombia.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Octubre 16, 2013,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Comisión de Regulación de Comunicaciones - Colombia: http://www.crcom.gov.co/index.php?idcategoria=61733</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en-US" w:eastAsia="es-CO"/>
        </w:rPr>
        <w:t>Charisios</w:t>
      </w:r>
      <w:proofErr w:type="spellEnd"/>
      <w:r w:rsidRPr="00580918">
        <w:rPr>
          <w:rFonts w:eastAsia="Calibri" w:cs="Times New Roman"/>
          <w:szCs w:val="22"/>
          <w:lang w:val="en-US" w:eastAsia="es-CO"/>
        </w:rPr>
        <w:t xml:space="preserve">, C., </w:t>
      </w:r>
      <w:proofErr w:type="spellStart"/>
      <w:r w:rsidRPr="00580918">
        <w:rPr>
          <w:rFonts w:eastAsia="Calibri" w:cs="Times New Roman"/>
          <w:szCs w:val="22"/>
          <w:lang w:val="en-US" w:eastAsia="es-CO"/>
        </w:rPr>
        <w:t>Michalakelis</w:t>
      </w:r>
      <w:proofErr w:type="spellEnd"/>
      <w:r w:rsidRPr="00580918">
        <w:rPr>
          <w:rFonts w:eastAsia="Calibri" w:cs="Times New Roman"/>
          <w:szCs w:val="22"/>
          <w:lang w:val="en-US" w:eastAsia="es-CO"/>
        </w:rPr>
        <w:t xml:space="preserve">, C., &amp; </w:t>
      </w:r>
      <w:proofErr w:type="spellStart"/>
      <w:r w:rsidRPr="00580918">
        <w:rPr>
          <w:rFonts w:eastAsia="Calibri" w:cs="Times New Roman"/>
          <w:szCs w:val="22"/>
          <w:lang w:val="en-US" w:eastAsia="es-CO"/>
        </w:rPr>
        <w:t>Varoutas</w:t>
      </w:r>
      <w:proofErr w:type="spellEnd"/>
      <w:r w:rsidRPr="00580918">
        <w:rPr>
          <w:rFonts w:eastAsia="Calibri" w:cs="Times New Roman"/>
          <w:szCs w:val="22"/>
          <w:lang w:val="en-US" w:eastAsia="es-CO"/>
        </w:rPr>
        <w:t xml:space="preserve">, D. (2010, January 23). Forecasting with limited data: Combining ARIMA and diffusion models. (ELSEVIER, Ed.) Retrieved October 19, 2013, from Technological Forecasting and Social Change an International Journal:  </w:t>
      </w:r>
      <w:hyperlink r:id="rId110" w:history="1">
        <w:r w:rsidRPr="00580918">
          <w:rPr>
            <w:rFonts w:eastAsia="Calibri" w:cs="Times New Roman"/>
            <w:szCs w:val="22"/>
            <w:lang w:val="en-US" w:eastAsia="es-CO"/>
          </w:rPr>
          <w:t>http://www.researchgate.net/...ARIMA.../79e415057140bac31f.pdf</w:t>
        </w:r>
      </w:hyperlink>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s-ES" w:eastAsia="es-CO"/>
        </w:rPr>
        <w:t xml:space="preserve">Chong, Alberto. BID – Banco Interamericano de Desarrollo. Conexiones del Desarrollo – Impacto de las nuevas tecnologías de la Información. </w:t>
      </w:r>
      <w:r w:rsidRPr="00580918">
        <w:rPr>
          <w:rFonts w:eastAsia="Calibri" w:cs="Times New Roman"/>
          <w:szCs w:val="22"/>
          <w:lang w:val="en-US" w:eastAsia="es-CO"/>
        </w:rPr>
        <w:t xml:space="preserve">2011. </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Comisión de Planificación y Coordinación Estratégica del Plan Nacional de Telecomunicación "Argentina Conectada". (</w:t>
      </w:r>
      <w:proofErr w:type="spellStart"/>
      <w:r w:rsidRPr="00580918">
        <w:rPr>
          <w:rFonts w:eastAsia="Calibri" w:cs="Times New Roman"/>
          <w:szCs w:val="22"/>
          <w:lang w:val="es-ES" w:eastAsia="es-CO"/>
        </w:rPr>
        <w:t>n.d.</w:t>
      </w:r>
      <w:proofErr w:type="spellEnd"/>
      <w:r w:rsidRPr="00580918">
        <w:rPr>
          <w:rFonts w:eastAsia="Calibri" w:cs="Times New Roman"/>
          <w:szCs w:val="22"/>
          <w:lang w:val="es-ES" w:eastAsia="es-CO"/>
        </w:rPr>
        <w:t xml:space="preserve">). Plan Nacional de Telecomunicaciones "Argentina Conectada".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Septiembre 28, 2013,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http://www.argentinaconectada.gob.ar/pv_obj_cache/pv_obj_id_661F8D8CA68AC5EE22B6D58AF6CAD93DFE3F1A00/filename/0000025555.pdf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s-ES" w:eastAsia="es-CO"/>
        </w:rPr>
        <w:t xml:space="preserve">Comisión Europea. (2010, Marzo 3). COMUNICACIÓN DE LA COMISIÓN EUROPEA 2020: Una estrategia para un crecimiento inteligente, sostenible e integrador. </w:t>
      </w:r>
      <w:r w:rsidRPr="00580918">
        <w:rPr>
          <w:rFonts w:eastAsia="Calibri" w:cs="Times New Roman"/>
          <w:szCs w:val="22"/>
          <w:lang w:val="en-US" w:eastAsia="es-CO"/>
        </w:rPr>
        <w:t xml:space="preserve">Retrieved </w:t>
      </w:r>
      <w:proofErr w:type="spellStart"/>
      <w:r w:rsidRPr="00580918">
        <w:rPr>
          <w:rFonts w:eastAsia="Calibri" w:cs="Times New Roman"/>
          <w:szCs w:val="22"/>
          <w:lang w:val="en-US" w:eastAsia="es-CO"/>
        </w:rPr>
        <w:t>Octubre</w:t>
      </w:r>
      <w:proofErr w:type="spellEnd"/>
      <w:r w:rsidRPr="00580918">
        <w:rPr>
          <w:rFonts w:eastAsia="Calibri" w:cs="Times New Roman"/>
          <w:szCs w:val="22"/>
          <w:lang w:val="en-US" w:eastAsia="es-CO"/>
        </w:rPr>
        <w:t xml:space="preserve"> 11, 2013, from Europa 2020 : http://ec.europa.eu/europe2020/europe-2020-in-a-nutshell/index_es.htm</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Comisión Europea COM2010 245 final / 2. (2010, </w:t>
      </w:r>
      <w:proofErr w:type="spellStart"/>
      <w:r w:rsidRPr="00580918">
        <w:rPr>
          <w:rFonts w:eastAsia="Calibri" w:cs="Times New Roman"/>
          <w:szCs w:val="22"/>
          <w:lang w:val="es-ES" w:eastAsia="es-CO"/>
        </w:rPr>
        <w:t>August</w:t>
      </w:r>
      <w:proofErr w:type="spellEnd"/>
      <w:r w:rsidRPr="00580918">
        <w:rPr>
          <w:rFonts w:eastAsia="Calibri" w:cs="Times New Roman"/>
          <w:szCs w:val="22"/>
          <w:lang w:val="es-ES" w:eastAsia="es-CO"/>
        </w:rPr>
        <w:t xml:space="preserve"> 26). COMUNICACIÓN DE LA COMISIÓN AL PARLAMENTO EUROPEO, AL CONSEJO, AL COMITÉ ECONÓMICO Y SOCIAL EUROPEO Y AL COMITÉ DE LAS REGIONES: Una Agenda Digital para Europa.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September</w:t>
      </w:r>
      <w:proofErr w:type="spellEnd"/>
      <w:r w:rsidRPr="00580918">
        <w:rPr>
          <w:rFonts w:eastAsia="Calibri" w:cs="Times New Roman"/>
          <w:szCs w:val="22"/>
          <w:lang w:val="es-ES" w:eastAsia="es-CO"/>
        </w:rPr>
        <w:t xml:space="preserve"> 28, 2013,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http://ec.europa.eu/digital-agenda/</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pt-BR" w:eastAsia="es-CO"/>
        </w:rPr>
        <w:t xml:space="preserve">Comitê Gestor do Programa de Inclusão Digital. </w:t>
      </w:r>
      <w:r w:rsidRPr="00580918">
        <w:rPr>
          <w:rFonts w:eastAsia="Calibri" w:cs="Times New Roman"/>
          <w:szCs w:val="22"/>
          <w:lang w:val="es-ES" w:eastAsia="es-CO"/>
        </w:rPr>
        <w:t xml:space="preserve">(2010, Noviembre 30). Brasil conectado - Programa Nacional de Banda Larga. </w:t>
      </w:r>
      <w:r w:rsidRPr="00580918">
        <w:rPr>
          <w:rFonts w:eastAsia="Calibri" w:cs="Times New Roman"/>
          <w:szCs w:val="22"/>
          <w:lang w:val="en-US" w:eastAsia="es-CO"/>
        </w:rPr>
        <w:t xml:space="preserve">Retrieved </w:t>
      </w:r>
      <w:proofErr w:type="spellStart"/>
      <w:r w:rsidRPr="00580918">
        <w:rPr>
          <w:rFonts w:eastAsia="Calibri" w:cs="Times New Roman"/>
          <w:szCs w:val="22"/>
          <w:lang w:val="en-US" w:eastAsia="es-CO"/>
        </w:rPr>
        <w:t>Septiembre</w:t>
      </w:r>
      <w:proofErr w:type="spellEnd"/>
      <w:r w:rsidRPr="00580918">
        <w:rPr>
          <w:rFonts w:eastAsia="Calibri" w:cs="Times New Roman"/>
          <w:szCs w:val="22"/>
          <w:lang w:val="en-US" w:eastAsia="es-CO"/>
        </w:rPr>
        <w:t xml:space="preserve"> 28, 2013, from http://www.broadband.gov/spanish/download-plan/</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Costa Rica, V. d.-M. (2011). ESTRATEGIA NACIONAL DE BANDA ANCHA: MEJORAR VELOCIDAD Y PROMOCIÓN DE CONTENIDOS.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Octuber</w:t>
      </w:r>
      <w:proofErr w:type="spellEnd"/>
      <w:r w:rsidRPr="00580918">
        <w:rPr>
          <w:rFonts w:eastAsia="Calibri" w:cs="Times New Roman"/>
          <w:szCs w:val="22"/>
          <w:lang w:val="es-ES" w:eastAsia="es-CO"/>
        </w:rPr>
        <w:t xml:space="preserve"> 10, 2013,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MICTT-Libro I.-Estrategia Nacional de Banda Ancha: http://www.telecom.go.cr/index.php/estrategia-nacional-de-banda-ancha-2012/telecom/publicaciones/estrategia-nacional-de-banda-ancha-2012/libro-1-estrategia-nacional-de-banda-ancha/detail</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lastRenderedPageBreak/>
        <w:t xml:space="preserve">DANE. (2012 a, Julio). Departamento Administrativo Nacional de Estadística.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Octubre 17, 2012,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Manual de recolección y conceptos básicos, encuesta nacional de calidad de vida ECV 2012: http://190.25.231.249/metadatos/index.php/catalog/313/technicaldocuments</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DANE. (2012). Departamento Nacional de Estadística.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Octubre 17, 2013,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Metodología de la Encuesta Nacional de Calidad de vida 2012: http://190.25.231.249/metadatos/index.php/catalog/313/technicaldocuments</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De León, O. (2010). Panorama de la banda ancha en América Latina, Documento de la CEPAL.</w:t>
      </w:r>
    </w:p>
    <w:p w:rsid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en-US" w:eastAsia="es-CO"/>
        </w:rPr>
        <w:t>Delo</w:t>
      </w:r>
      <w:proofErr w:type="spellEnd"/>
      <w:r w:rsidRPr="00580918">
        <w:rPr>
          <w:rFonts w:eastAsia="Calibri" w:cs="Times New Roman"/>
          <w:szCs w:val="22"/>
          <w:lang w:val="en-US" w:eastAsia="es-CO"/>
        </w:rPr>
        <w:t xml:space="preserve">, C. (2011, September 19). </w:t>
      </w:r>
      <w:proofErr w:type="gramStart"/>
      <w:r w:rsidRPr="00580918">
        <w:rPr>
          <w:rFonts w:eastAsia="Calibri" w:cs="Times New Roman"/>
          <w:szCs w:val="22"/>
          <w:lang w:val="en-US" w:eastAsia="es-CO"/>
        </w:rPr>
        <w:t>Your</w:t>
      </w:r>
      <w:proofErr w:type="gramEnd"/>
      <w:r w:rsidRPr="00580918">
        <w:rPr>
          <w:rFonts w:eastAsia="Calibri" w:cs="Times New Roman"/>
          <w:szCs w:val="22"/>
          <w:lang w:val="en-US" w:eastAsia="es-CO"/>
        </w:rPr>
        <w:t xml:space="preserve"> Guide to Who Measures What in the Online Space. Retrieved October 18, 2013, from Ad Age media news: </w:t>
      </w:r>
      <w:hyperlink r:id="rId111" w:history="1">
        <w:r w:rsidR="00AF752F" w:rsidRPr="00324CB3">
          <w:rPr>
            <w:rStyle w:val="Hipervnculo"/>
            <w:rFonts w:eastAsia="Calibri" w:cs="Times New Roman"/>
            <w:szCs w:val="22"/>
            <w:lang w:val="en-US" w:eastAsia="es-CO"/>
          </w:rPr>
          <w:t>http://adage.com/article/media/guide-measures-online-space/229858/</w:t>
        </w:r>
      </w:hyperlink>
    </w:p>
    <w:p w:rsidR="00AF752F" w:rsidRPr="0004010D" w:rsidRDefault="00AF752F" w:rsidP="00600790">
      <w:pPr>
        <w:numPr>
          <w:ilvl w:val="0"/>
          <w:numId w:val="4"/>
        </w:numPr>
        <w:spacing w:before="120" w:after="120"/>
        <w:jc w:val="left"/>
        <w:rPr>
          <w:rFonts w:eastAsia="Calibri" w:cs="Times New Roman"/>
          <w:szCs w:val="22"/>
          <w:lang w:val="es-CO" w:eastAsia="es-CO"/>
        </w:rPr>
      </w:pPr>
      <w:r w:rsidRPr="0004010D">
        <w:rPr>
          <w:rFonts w:eastAsia="Calibri" w:cs="Times New Roman"/>
          <w:szCs w:val="22"/>
          <w:lang w:val="es-CO" w:eastAsia="es-CO"/>
        </w:rPr>
        <w:t>Departamento Nacional de Planeación</w:t>
      </w:r>
      <w:r w:rsidR="0004010D" w:rsidRPr="0004010D">
        <w:rPr>
          <w:rFonts w:eastAsia="Calibri" w:cs="Times New Roman"/>
          <w:szCs w:val="22"/>
          <w:lang w:val="es-CO" w:eastAsia="es-CO"/>
        </w:rPr>
        <w:t xml:space="preserve">. </w:t>
      </w:r>
      <w:r w:rsidR="001B0A9A">
        <w:rPr>
          <w:rFonts w:eastAsia="Calibri" w:cs="Times New Roman"/>
          <w:szCs w:val="22"/>
          <w:lang w:val="es-CO" w:eastAsia="es-CO"/>
        </w:rPr>
        <w:t xml:space="preserve">(2012). </w:t>
      </w:r>
      <w:r w:rsidR="0004010D" w:rsidRPr="0004010D">
        <w:rPr>
          <w:rFonts w:eastAsia="Calibri" w:cs="Times New Roman"/>
          <w:szCs w:val="22"/>
          <w:lang w:val="es-CO" w:eastAsia="es-CO"/>
        </w:rPr>
        <w:t>Guía para la evaluaci</w:t>
      </w:r>
      <w:r w:rsidR="0004010D">
        <w:rPr>
          <w:rFonts w:eastAsia="Calibri" w:cs="Times New Roman"/>
          <w:szCs w:val="22"/>
          <w:lang w:val="es-CO" w:eastAsia="es-CO"/>
        </w:rPr>
        <w:t>ón de políticas p</w:t>
      </w:r>
      <w:r w:rsidR="001B0A9A">
        <w:rPr>
          <w:rFonts w:eastAsia="Calibri" w:cs="Times New Roman"/>
          <w:szCs w:val="22"/>
          <w:lang w:val="es-CO" w:eastAsia="es-CO"/>
        </w:rPr>
        <w:t>úblicas,</w:t>
      </w:r>
      <w:r w:rsidR="0004010D">
        <w:rPr>
          <w:rFonts w:eastAsia="Calibri" w:cs="Times New Roman"/>
          <w:szCs w:val="22"/>
          <w:lang w:val="es-CO" w:eastAsia="es-CO"/>
        </w:rPr>
        <w:t xml:space="preserve"> </w:t>
      </w:r>
      <w:r w:rsidR="001B0A9A">
        <w:rPr>
          <w:rFonts w:eastAsia="Calibri" w:cs="Times New Roman"/>
          <w:szCs w:val="22"/>
          <w:lang w:val="es-CO" w:eastAsia="es-CO"/>
        </w:rPr>
        <w:t xml:space="preserve">de la colección: </w:t>
      </w:r>
      <w:r w:rsidR="0004010D">
        <w:rPr>
          <w:rFonts w:eastAsia="Calibri" w:cs="Times New Roman"/>
          <w:szCs w:val="22"/>
          <w:lang w:val="es-CO" w:eastAsia="es-CO"/>
        </w:rPr>
        <w:t xml:space="preserve">Guías Metodológicas </w:t>
      </w:r>
      <w:proofErr w:type="spellStart"/>
      <w:r w:rsidR="0004010D">
        <w:rPr>
          <w:rFonts w:eastAsia="Calibri" w:cs="Times New Roman"/>
          <w:szCs w:val="22"/>
          <w:lang w:val="es-CO" w:eastAsia="es-CO"/>
        </w:rPr>
        <w:t>SINERGIA.</w:t>
      </w:r>
      <w:r w:rsidR="001B0A9A">
        <w:rPr>
          <w:rFonts w:eastAsia="Calibri" w:cs="Times New Roman"/>
          <w:szCs w:val="22"/>
          <w:lang w:val="es-CO" w:eastAsia="es-CO"/>
        </w:rPr>
        <w:t>Colombia</w:t>
      </w:r>
      <w:proofErr w:type="spellEnd"/>
      <w:r w:rsidR="001B0A9A">
        <w:rPr>
          <w:rFonts w:eastAsia="Calibri" w:cs="Times New Roman"/>
          <w:szCs w:val="22"/>
          <w:lang w:val="es-CO" w:eastAsia="es-CO"/>
        </w:rPr>
        <w:t>.</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B67D4F">
        <w:rPr>
          <w:rFonts w:eastAsia="Calibri" w:cs="Times New Roman"/>
          <w:szCs w:val="22"/>
          <w:lang w:val="en-US" w:eastAsia="es-CO"/>
        </w:rPr>
        <w:t>Doong</w:t>
      </w:r>
      <w:proofErr w:type="spellEnd"/>
      <w:r w:rsidRPr="00B67D4F">
        <w:rPr>
          <w:rFonts w:eastAsia="Calibri" w:cs="Times New Roman"/>
          <w:szCs w:val="22"/>
          <w:lang w:val="en-US" w:eastAsia="es-CO"/>
        </w:rPr>
        <w:t xml:space="preserve">, S.H. Ho, S. (2012). The impact of ICT development on the global digital divide. </w:t>
      </w:r>
      <w:proofErr w:type="spellStart"/>
      <w:r w:rsidRPr="001B0A9A">
        <w:rPr>
          <w:rFonts w:eastAsia="Calibri" w:cs="Times New Roman"/>
          <w:szCs w:val="22"/>
          <w:lang w:val="es-CO" w:eastAsia="es-CO"/>
        </w:rPr>
        <w:t>Electronic</w:t>
      </w:r>
      <w:proofErr w:type="spellEnd"/>
      <w:r w:rsidRPr="001B0A9A">
        <w:rPr>
          <w:rFonts w:eastAsia="Calibri" w:cs="Times New Roman"/>
          <w:szCs w:val="22"/>
          <w:lang w:val="es-CO" w:eastAsia="es-CO"/>
        </w:rPr>
        <w:t xml:space="preserve"> Commerce </w:t>
      </w:r>
      <w:proofErr w:type="spellStart"/>
      <w:r w:rsidRPr="001B0A9A">
        <w:rPr>
          <w:rFonts w:eastAsia="Calibri" w:cs="Times New Roman"/>
          <w:szCs w:val="22"/>
          <w:lang w:val="es-CO" w:eastAsia="es-CO"/>
        </w:rPr>
        <w:t>Research</w:t>
      </w:r>
      <w:proofErr w:type="spellEnd"/>
      <w:r w:rsidRPr="001B0A9A">
        <w:rPr>
          <w:rFonts w:eastAsia="Calibri" w:cs="Times New Roman"/>
          <w:szCs w:val="22"/>
          <w:lang w:val="es-CO" w:eastAsia="es-CO"/>
        </w:rPr>
        <w:t xml:space="preserve"> and </w:t>
      </w:r>
      <w:proofErr w:type="spellStart"/>
      <w:r w:rsidRPr="001B0A9A">
        <w:rPr>
          <w:rFonts w:eastAsia="Calibri" w:cs="Times New Roman"/>
          <w:szCs w:val="22"/>
          <w:lang w:val="es-CO" w:eastAsia="es-CO"/>
        </w:rPr>
        <w:t>Applica</w:t>
      </w:r>
      <w:r w:rsidRPr="00580918">
        <w:rPr>
          <w:rFonts w:eastAsia="Calibri" w:cs="Times New Roman"/>
          <w:szCs w:val="22"/>
          <w:lang w:val="en-US" w:eastAsia="es-CO"/>
        </w:rPr>
        <w:t>tions</w:t>
      </w:r>
      <w:proofErr w:type="spellEnd"/>
      <w:r w:rsidRPr="00580918">
        <w:rPr>
          <w:rFonts w:eastAsia="Calibri" w:cs="Times New Roman"/>
          <w:szCs w:val="22"/>
          <w:lang w:val="en-US" w:eastAsia="es-CO"/>
        </w:rPr>
        <w:t xml:space="preserve"> 11 (2012)  518–</w:t>
      </w:r>
      <w:r w:rsidRPr="00580918">
        <w:rPr>
          <w:rFonts w:eastAsia="Calibri" w:cs="Times New Roman"/>
          <w:szCs w:val="22"/>
          <w:lang w:val="es-ES" w:eastAsia="es-CO"/>
        </w:rPr>
        <w:t>533.</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s-ES" w:eastAsia="es-CO"/>
        </w:rPr>
        <w:t xml:space="preserve">EUROSTAT. (2012 a, Diciembre 13). </w:t>
      </w:r>
      <w:proofErr w:type="spellStart"/>
      <w:r w:rsidRPr="00580918">
        <w:rPr>
          <w:rFonts w:eastAsia="Calibri" w:cs="Times New Roman"/>
          <w:szCs w:val="22"/>
          <w:lang w:val="es-ES" w:eastAsia="es-CO"/>
        </w:rPr>
        <w:t>European</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Commisioning</w:t>
      </w:r>
      <w:proofErr w:type="spellEnd"/>
      <w:r w:rsidRPr="00580918">
        <w:rPr>
          <w:rFonts w:eastAsia="Calibri" w:cs="Times New Roman"/>
          <w:szCs w:val="22"/>
          <w:lang w:val="es-ES" w:eastAsia="es-CO"/>
        </w:rPr>
        <w:t xml:space="preserve">. </w:t>
      </w:r>
      <w:r w:rsidRPr="00580918">
        <w:rPr>
          <w:rFonts w:eastAsia="Calibri" w:cs="Times New Roman"/>
          <w:szCs w:val="22"/>
          <w:lang w:val="en-US" w:eastAsia="es-CO"/>
        </w:rPr>
        <w:t xml:space="preserve">Retrieved </w:t>
      </w:r>
      <w:proofErr w:type="spellStart"/>
      <w:r w:rsidRPr="00580918">
        <w:rPr>
          <w:rFonts w:eastAsia="Calibri" w:cs="Times New Roman"/>
          <w:szCs w:val="22"/>
          <w:lang w:val="en-US" w:eastAsia="es-CO"/>
        </w:rPr>
        <w:t>Octuber</w:t>
      </w:r>
      <w:proofErr w:type="spellEnd"/>
      <w:r w:rsidRPr="00580918">
        <w:rPr>
          <w:rFonts w:eastAsia="Calibri" w:cs="Times New Roman"/>
          <w:szCs w:val="22"/>
          <w:lang w:val="en-US" w:eastAsia="es-CO"/>
        </w:rPr>
        <w:t xml:space="preserve"> 17, 2013, from Internet use in households and by individuals in 2012: http://epp.eurostat.ec.europa.eu/cache/ITY_OFFPUB/KS-SF-12-050/EN/KS-SF-12-050-EN.PDF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EUROSTAT. (2012, December 11). European </w:t>
      </w:r>
      <w:proofErr w:type="spellStart"/>
      <w:proofErr w:type="gramStart"/>
      <w:r w:rsidRPr="00580918">
        <w:rPr>
          <w:rFonts w:eastAsia="Calibri" w:cs="Times New Roman"/>
          <w:szCs w:val="22"/>
          <w:lang w:val="en-US" w:eastAsia="es-CO"/>
        </w:rPr>
        <w:t>Commisioning</w:t>
      </w:r>
      <w:proofErr w:type="spellEnd"/>
      <w:r w:rsidRPr="00580918">
        <w:rPr>
          <w:rFonts w:eastAsia="Calibri" w:cs="Times New Roman"/>
          <w:szCs w:val="22"/>
          <w:lang w:val="en-US" w:eastAsia="es-CO"/>
        </w:rPr>
        <w:t xml:space="preserve"> .</w:t>
      </w:r>
      <w:proofErr w:type="gramEnd"/>
      <w:r w:rsidRPr="00580918">
        <w:rPr>
          <w:rFonts w:eastAsia="Calibri" w:cs="Times New Roman"/>
          <w:szCs w:val="22"/>
          <w:lang w:val="en-US" w:eastAsia="es-CO"/>
        </w:rPr>
        <w:t xml:space="preserve"> Retrieved </w:t>
      </w:r>
      <w:proofErr w:type="spellStart"/>
      <w:r w:rsidRPr="00580918">
        <w:rPr>
          <w:rFonts w:eastAsia="Calibri" w:cs="Times New Roman"/>
          <w:szCs w:val="22"/>
          <w:lang w:val="en-US" w:eastAsia="es-CO"/>
        </w:rPr>
        <w:t>Octuber</w:t>
      </w:r>
      <w:proofErr w:type="spellEnd"/>
      <w:r w:rsidRPr="00580918">
        <w:rPr>
          <w:rFonts w:eastAsia="Calibri" w:cs="Times New Roman"/>
          <w:szCs w:val="22"/>
          <w:lang w:val="en-US" w:eastAsia="es-CO"/>
        </w:rPr>
        <w:t xml:space="preserve"> 17, 2013, from ICT usage in enterprises in 2012: http://europa.eu/rapid/press-release_STAT-12-177_en.htm</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EUROSTAT. (2013 a, July). European </w:t>
      </w:r>
      <w:proofErr w:type="spellStart"/>
      <w:r w:rsidRPr="00580918">
        <w:rPr>
          <w:rFonts w:eastAsia="Calibri" w:cs="Times New Roman"/>
          <w:szCs w:val="22"/>
          <w:lang w:val="en-US" w:eastAsia="es-CO"/>
        </w:rPr>
        <w:t>Commisioning</w:t>
      </w:r>
      <w:proofErr w:type="spellEnd"/>
      <w:r w:rsidRPr="00580918">
        <w:rPr>
          <w:rFonts w:eastAsia="Calibri" w:cs="Times New Roman"/>
          <w:szCs w:val="22"/>
          <w:lang w:val="en-US" w:eastAsia="es-CO"/>
        </w:rPr>
        <w:t xml:space="preserve">. Retrieved </w:t>
      </w:r>
      <w:proofErr w:type="spellStart"/>
      <w:r w:rsidRPr="00580918">
        <w:rPr>
          <w:rFonts w:eastAsia="Calibri" w:cs="Times New Roman"/>
          <w:szCs w:val="22"/>
          <w:lang w:val="en-US" w:eastAsia="es-CO"/>
        </w:rPr>
        <w:t>Octubre</w:t>
      </w:r>
      <w:proofErr w:type="spellEnd"/>
      <w:r w:rsidRPr="00580918">
        <w:rPr>
          <w:rFonts w:eastAsia="Calibri" w:cs="Times New Roman"/>
          <w:szCs w:val="22"/>
          <w:lang w:val="en-US" w:eastAsia="es-CO"/>
        </w:rPr>
        <w:t xml:space="preserve"> 17, 2013, from Methodological Manual - for statistics on the Information Society: https://circabc.europa.eu/faces/jsp/extension/wai/navigation/container.jspJulio</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EUROSTAT. (2013, </w:t>
      </w:r>
      <w:proofErr w:type="spellStart"/>
      <w:r w:rsidRPr="00580918">
        <w:rPr>
          <w:rFonts w:eastAsia="Calibri" w:cs="Times New Roman"/>
          <w:szCs w:val="22"/>
          <w:lang w:val="en-US" w:eastAsia="es-CO"/>
        </w:rPr>
        <w:t>Octuber</w:t>
      </w:r>
      <w:proofErr w:type="spellEnd"/>
      <w:r w:rsidRPr="00580918">
        <w:rPr>
          <w:rFonts w:eastAsia="Calibri" w:cs="Times New Roman"/>
          <w:szCs w:val="22"/>
          <w:lang w:val="en-US" w:eastAsia="es-CO"/>
        </w:rPr>
        <w:t xml:space="preserve"> 10). European </w:t>
      </w:r>
      <w:proofErr w:type="spellStart"/>
      <w:proofErr w:type="gramStart"/>
      <w:r w:rsidRPr="00580918">
        <w:rPr>
          <w:rFonts w:eastAsia="Calibri" w:cs="Times New Roman"/>
          <w:szCs w:val="22"/>
          <w:lang w:val="en-US" w:eastAsia="es-CO"/>
        </w:rPr>
        <w:t>Commisioning</w:t>
      </w:r>
      <w:proofErr w:type="spellEnd"/>
      <w:r w:rsidRPr="00580918">
        <w:rPr>
          <w:rFonts w:eastAsia="Calibri" w:cs="Times New Roman"/>
          <w:szCs w:val="22"/>
          <w:lang w:val="en-US" w:eastAsia="es-CO"/>
        </w:rPr>
        <w:t xml:space="preserve"> .</w:t>
      </w:r>
      <w:proofErr w:type="gramEnd"/>
      <w:r w:rsidRPr="00580918">
        <w:rPr>
          <w:rFonts w:eastAsia="Calibri" w:cs="Times New Roman"/>
          <w:szCs w:val="22"/>
          <w:lang w:val="en-US" w:eastAsia="es-CO"/>
        </w:rPr>
        <w:t xml:space="preserve"> Retrieved </w:t>
      </w:r>
      <w:proofErr w:type="spellStart"/>
      <w:r w:rsidRPr="00580918">
        <w:rPr>
          <w:rFonts w:eastAsia="Calibri" w:cs="Times New Roman"/>
          <w:szCs w:val="22"/>
          <w:lang w:val="en-US" w:eastAsia="es-CO"/>
        </w:rPr>
        <w:t>Octuber</w:t>
      </w:r>
      <w:proofErr w:type="spellEnd"/>
      <w:r w:rsidRPr="00580918">
        <w:rPr>
          <w:rFonts w:eastAsia="Calibri" w:cs="Times New Roman"/>
          <w:szCs w:val="22"/>
          <w:lang w:val="en-US" w:eastAsia="es-CO"/>
        </w:rPr>
        <w:t xml:space="preserve"> 17, 2013, from Eurostat: http://epp.eurostat.ec.europa.eu/portal/page/portal/information_society/methodology</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s-ES" w:eastAsia="es-CO"/>
        </w:rPr>
        <w:t xml:space="preserve">FCC. (2013). Creando un Estados Unidos conectado: Plan Nacional de Banda Ancha. </w:t>
      </w:r>
      <w:r w:rsidRPr="00580918">
        <w:rPr>
          <w:rFonts w:eastAsia="Calibri" w:cs="Times New Roman"/>
          <w:szCs w:val="22"/>
          <w:lang w:val="en-US" w:eastAsia="es-CO"/>
        </w:rPr>
        <w:t>Retrieved September 28, 2013, from Federal Communications Commission: http://www.broadband.gov/spanish/download-plan/</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n-US" w:eastAsia="es-CO"/>
        </w:rPr>
        <w:lastRenderedPageBreak/>
        <w:t>Fransman</w:t>
      </w:r>
      <w:proofErr w:type="spellEnd"/>
      <w:r w:rsidRPr="00580918">
        <w:rPr>
          <w:rFonts w:eastAsia="Calibri" w:cs="Times New Roman"/>
          <w:szCs w:val="22"/>
          <w:lang w:val="en-US" w:eastAsia="es-CO"/>
        </w:rPr>
        <w:t xml:space="preserve">, Martin. The New ICT Ecosystem. Implications for Policy and Regulation. </w:t>
      </w:r>
      <w:r w:rsidRPr="00580918">
        <w:rPr>
          <w:rFonts w:eastAsia="Calibri" w:cs="Times New Roman"/>
          <w:szCs w:val="22"/>
          <w:lang w:val="es-ES" w:eastAsia="es-CO"/>
        </w:rPr>
        <w:t xml:space="preserve">Cambridge </w:t>
      </w:r>
      <w:proofErr w:type="spellStart"/>
      <w:r w:rsidRPr="00580918">
        <w:rPr>
          <w:rFonts w:eastAsia="Calibri" w:cs="Times New Roman"/>
          <w:szCs w:val="22"/>
          <w:lang w:val="es-ES" w:eastAsia="es-CO"/>
        </w:rPr>
        <w:t>University</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Press</w:t>
      </w:r>
      <w:proofErr w:type="spellEnd"/>
      <w:r w:rsidRPr="00580918">
        <w:rPr>
          <w:rFonts w:eastAsia="Calibri" w:cs="Times New Roman"/>
          <w:szCs w:val="22"/>
          <w:lang w:val="es-ES" w:eastAsia="es-CO"/>
        </w:rPr>
        <w:t>. 2010. ISBN 978-0-521-17120-5</w:t>
      </w:r>
    </w:p>
    <w:p w:rsidR="00580918" w:rsidRDefault="00580918" w:rsidP="00600790">
      <w:pPr>
        <w:numPr>
          <w:ilvl w:val="0"/>
          <w:numId w:val="4"/>
        </w:numPr>
        <w:spacing w:before="120" w:after="120"/>
        <w:jc w:val="left"/>
        <w:rPr>
          <w:rFonts w:eastAsia="Calibri" w:cs="Times New Roman"/>
          <w:szCs w:val="22"/>
          <w:lang w:val="en-US" w:eastAsia="es-CO"/>
        </w:rPr>
      </w:pPr>
      <w:bookmarkStart w:id="204" w:name="_Ref183520163"/>
      <w:r w:rsidRPr="00580918">
        <w:rPr>
          <w:rFonts w:eastAsia="Calibri" w:cs="Times New Roman"/>
          <w:szCs w:val="22"/>
          <w:lang w:val="en-US" w:eastAsia="es-CO"/>
        </w:rPr>
        <w:t xml:space="preserve">Gal, Michal. Competition Policy for Small Market Economies. </w:t>
      </w:r>
      <w:proofErr w:type="spellStart"/>
      <w:r w:rsidRPr="00580918">
        <w:rPr>
          <w:rFonts w:eastAsia="Calibri" w:cs="Times New Roman"/>
          <w:szCs w:val="22"/>
          <w:lang w:val="en-US" w:eastAsia="es-CO"/>
        </w:rPr>
        <w:t>Hardvard</w:t>
      </w:r>
      <w:proofErr w:type="spellEnd"/>
      <w:r w:rsidRPr="00580918">
        <w:rPr>
          <w:rFonts w:eastAsia="Calibri" w:cs="Times New Roman"/>
          <w:szCs w:val="22"/>
          <w:lang w:val="en-US" w:eastAsia="es-CO"/>
        </w:rPr>
        <w:t xml:space="preserve"> University Press (USA). 2003. ISBN 0-674-01049-3</w:t>
      </w:r>
      <w:bookmarkEnd w:id="204"/>
    </w:p>
    <w:p w:rsidR="00B72B7D" w:rsidRPr="00B67D4F" w:rsidRDefault="00B72B7D" w:rsidP="00B67D4F">
      <w:pPr>
        <w:numPr>
          <w:ilvl w:val="0"/>
          <w:numId w:val="4"/>
        </w:numPr>
        <w:spacing w:before="120" w:after="120"/>
        <w:jc w:val="left"/>
        <w:rPr>
          <w:rFonts w:eastAsia="Calibri" w:cs="Times New Roman"/>
          <w:szCs w:val="22"/>
          <w:lang w:val="en-US" w:eastAsia="es-CO"/>
        </w:rPr>
      </w:pPr>
      <w:proofErr w:type="spellStart"/>
      <w:r w:rsidRPr="0006004E">
        <w:rPr>
          <w:rFonts w:eastAsia="Calibri" w:cs="Times New Roman"/>
          <w:szCs w:val="22"/>
          <w:lang w:val="en-US" w:eastAsia="es-CO"/>
        </w:rPr>
        <w:t>Gertler</w:t>
      </w:r>
      <w:proofErr w:type="spellEnd"/>
      <w:r w:rsidRPr="0006004E">
        <w:rPr>
          <w:rFonts w:eastAsia="Calibri" w:cs="Times New Roman"/>
          <w:szCs w:val="22"/>
          <w:lang w:val="en-US" w:eastAsia="es-CO"/>
        </w:rPr>
        <w:t>,</w:t>
      </w:r>
      <w:r w:rsidR="0006004E" w:rsidRPr="0006004E">
        <w:rPr>
          <w:rFonts w:eastAsia="Calibri" w:cs="Times New Roman"/>
          <w:szCs w:val="22"/>
          <w:lang w:val="en-US" w:eastAsia="es-CO"/>
        </w:rPr>
        <w:t xml:space="preserve"> P.,</w:t>
      </w:r>
      <w:r w:rsidRPr="0006004E">
        <w:rPr>
          <w:rFonts w:eastAsia="Calibri" w:cs="Times New Roman"/>
          <w:szCs w:val="22"/>
          <w:lang w:val="en-US" w:eastAsia="es-CO"/>
        </w:rPr>
        <w:t xml:space="preserve"> </w:t>
      </w:r>
      <w:proofErr w:type="spellStart"/>
      <w:r w:rsidRPr="0006004E">
        <w:rPr>
          <w:rFonts w:eastAsia="Calibri" w:cs="Times New Roman"/>
          <w:szCs w:val="22"/>
          <w:lang w:val="en-US" w:eastAsia="es-CO"/>
        </w:rPr>
        <w:t>Martínez</w:t>
      </w:r>
      <w:proofErr w:type="spellEnd"/>
      <w:r w:rsidRPr="0006004E">
        <w:rPr>
          <w:rFonts w:eastAsia="Calibri" w:cs="Times New Roman"/>
          <w:szCs w:val="22"/>
          <w:lang w:val="en-US" w:eastAsia="es-CO"/>
        </w:rPr>
        <w:t>,</w:t>
      </w:r>
      <w:r w:rsidR="0006004E" w:rsidRPr="0006004E">
        <w:rPr>
          <w:rFonts w:eastAsia="Calibri" w:cs="Times New Roman"/>
          <w:szCs w:val="22"/>
          <w:lang w:val="en-US" w:eastAsia="es-CO"/>
        </w:rPr>
        <w:t xml:space="preserve"> S.,</w:t>
      </w:r>
      <w:r w:rsidRPr="0006004E">
        <w:rPr>
          <w:rFonts w:eastAsia="Calibri" w:cs="Times New Roman"/>
          <w:szCs w:val="22"/>
          <w:lang w:val="en-US" w:eastAsia="es-CO"/>
        </w:rPr>
        <w:t xml:space="preserve"> </w:t>
      </w:r>
      <w:proofErr w:type="spellStart"/>
      <w:r w:rsidRPr="0006004E">
        <w:rPr>
          <w:rFonts w:eastAsia="Calibri" w:cs="Times New Roman"/>
          <w:szCs w:val="22"/>
          <w:lang w:val="en-US" w:eastAsia="es-CO"/>
        </w:rPr>
        <w:t>Premand</w:t>
      </w:r>
      <w:proofErr w:type="gramStart"/>
      <w:r w:rsidRPr="0006004E">
        <w:rPr>
          <w:rFonts w:eastAsia="Calibri" w:cs="Times New Roman"/>
          <w:szCs w:val="22"/>
          <w:lang w:val="en-US" w:eastAsia="es-CO"/>
        </w:rPr>
        <w:t>,</w:t>
      </w:r>
      <w:r w:rsidR="0006004E" w:rsidRPr="0006004E">
        <w:rPr>
          <w:rFonts w:eastAsia="Calibri" w:cs="Times New Roman"/>
          <w:szCs w:val="22"/>
          <w:lang w:val="en-US" w:eastAsia="es-CO"/>
        </w:rPr>
        <w:t>P</w:t>
      </w:r>
      <w:proofErr w:type="spellEnd"/>
      <w:proofErr w:type="gramEnd"/>
      <w:r w:rsidR="0006004E" w:rsidRPr="0006004E">
        <w:rPr>
          <w:rFonts w:eastAsia="Calibri" w:cs="Times New Roman"/>
          <w:szCs w:val="22"/>
          <w:lang w:val="en-US" w:eastAsia="es-CO"/>
        </w:rPr>
        <w:t>.,</w:t>
      </w:r>
      <w:r w:rsidRPr="0006004E">
        <w:rPr>
          <w:rFonts w:eastAsia="Calibri" w:cs="Times New Roman"/>
          <w:szCs w:val="22"/>
          <w:lang w:val="en-US" w:eastAsia="es-CO"/>
        </w:rPr>
        <w:t xml:space="preserve"> &amp; </w:t>
      </w:r>
      <w:proofErr w:type="spellStart"/>
      <w:r w:rsidRPr="0006004E">
        <w:rPr>
          <w:rFonts w:eastAsia="Calibri" w:cs="Times New Roman"/>
          <w:szCs w:val="22"/>
          <w:lang w:val="en-US" w:eastAsia="es-CO"/>
        </w:rPr>
        <w:t>Vermeersch</w:t>
      </w:r>
      <w:proofErr w:type="spellEnd"/>
      <w:r w:rsidR="0006004E" w:rsidRPr="0006004E">
        <w:rPr>
          <w:rFonts w:eastAsia="Calibri" w:cs="Times New Roman"/>
          <w:szCs w:val="22"/>
          <w:lang w:val="en-US" w:eastAsia="es-CO"/>
        </w:rPr>
        <w:t>, C.</w:t>
      </w:r>
      <w:r w:rsidRPr="0006004E">
        <w:rPr>
          <w:rFonts w:eastAsia="Calibri" w:cs="Times New Roman"/>
          <w:szCs w:val="22"/>
          <w:lang w:val="en-US" w:eastAsia="es-CO"/>
        </w:rPr>
        <w:t xml:space="preserve"> (2011)</w:t>
      </w:r>
      <w:r w:rsidR="0006004E" w:rsidRPr="0006004E">
        <w:rPr>
          <w:rFonts w:eastAsia="Calibri" w:cs="Times New Roman"/>
          <w:szCs w:val="22"/>
          <w:lang w:val="en-US" w:eastAsia="es-CO"/>
        </w:rPr>
        <w:t>. Impact evaluation in practice.</w:t>
      </w:r>
      <w:r w:rsidR="0006004E">
        <w:rPr>
          <w:rFonts w:eastAsia="Calibri" w:cs="Times New Roman"/>
          <w:szCs w:val="22"/>
          <w:lang w:val="en-US" w:eastAsia="es-CO"/>
        </w:rPr>
        <w:t xml:space="preserve"> </w:t>
      </w:r>
      <w:r w:rsidR="0006004E" w:rsidRPr="00B67D4F">
        <w:rPr>
          <w:rFonts w:eastAsia="Calibri" w:cs="Times New Roman"/>
          <w:szCs w:val="22"/>
          <w:lang w:val="en-US" w:eastAsia="es-CO"/>
        </w:rPr>
        <w:t xml:space="preserve">World Bank. </w:t>
      </w:r>
      <w:r w:rsidR="00B67D4F" w:rsidRPr="00B67D4F">
        <w:rPr>
          <w:rFonts w:eastAsia="Calibri" w:cs="Times New Roman"/>
          <w:szCs w:val="22"/>
          <w:lang w:val="en-US" w:eastAsia="es-CO"/>
        </w:rPr>
        <w:t>http://siteresources.worldbank.org/EXTHDOFFICE/Resources/5485726-1295455628620/Impact_Evaluation_in_Practice.pdf</w:t>
      </w:r>
      <w:r w:rsidR="0006004E" w:rsidRPr="00B67D4F">
        <w:rPr>
          <w:rFonts w:eastAsia="Calibri" w:cs="Times New Roman"/>
          <w:szCs w:val="22"/>
          <w:lang w:val="en-US" w:eastAsia="es-CO"/>
        </w:rPr>
        <w:t xml:space="preserve"> </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s-ES" w:eastAsia="es-CO"/>
        </w:rPr>
        <w:t>Gigli</w:t>
      </w:r>
      <w:proofErr w:type="spellEnd"/>
      <w:r w:rsidRPr="00580918">
        <w:rPr>
          <w:rFonts w:eastAsia="Calibri" w:cs="Times New Roman"/>
          <w:szCs w:val="22"/>
          <w:lang w:val="es-ES" w:eastAsia="es-CO"/>
        </w:rPr>
        <w:t>, Juan. Hacia un modelo de apropiación de Tecnologías de la Información y la Comunicación en ámbitos rurales. Julio de 2005</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Glaser, M. (2007, July 25). The Problem with Web Measurement, Part 1. Retrieved </w:t>
      </w:r>
      <w:proofErr w:type="spellStart"/>
      <w:r w:rsidRPr="00580918">
        <w:rPr>
          <w:rFonts w:eastAsia="Calibri" w:cs="Times New Roman"/>
          <w:szCs w:val="22"/>
          <w:lang w:val="en-US" w:eastAsia="es-CO"/>
        </w:rPr>
        <w:t>Octubre</w:t>
      </w:r>
      <w:proofErr w:type="spellEnd"/>
      <w:r w:rsidRPr="00580918">
        <w:rPr>
          <w:rFonts w:eastAsia="Calibri" w:cs="Times New Roman"/>
          <w:szCs w:val="22"/>
          <w:lang w:val="en-US" w:eastAsia="es-CO"/>
        </w:rPr>
        <w:t xml:space="preserve"> 18, 2013, from </w:t>
      </w:r>
      <w:proofErr w:type="spellStart"/>
      <w:r w:rsidRPr="00580918">
        <w:rPr>
          <w:rFonts w:eastAsia="Calibri" w:cs="Times New Roman"/>
          <w:szCs w:val="22"/>
          <w:lang w:val="en-US" w:eastAsia="es-CO"/>
        </w:rPr>
        <w:t>Mediashift</w:t>
      </w:r>
      <w:proofErr w:type="spellEnd"/>
      <w:r w:rsidRPr="00580918">
        <w:rPr>
          <w:rFonts w:eastAsia="Calibri" w:cs="Times New Roman"/>
          <w:szCs w:val="22"/>
          <w:lang w:val="en-US" w:eastAsia="es-CO"/>
        </w:rPr>
        <w:t>: http://www.pbs.org/mediashift/2007/07/the-problem-with-web-measurement-part-1206/</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s-ES" w:eastAsia="es-CO"/>
        </w:rPr>
        <w:t xml:space="preserve">Gobierno de Chile. (2013). Agenda Digital IMAGINA CHILE 2013 - 2020. </w:t>
      </w:r>
      <w:r w:rsidRPr="00580918">
        <w:rPr>
          <w:rFonts w:eastAsia="Calibri" w:cs="Times New Roman"/>
          <w:szCs w:val="22"/>
          <w:lang w:val="en-US" w:eastAsia="es-CO"/>
        </w:rPr>
        <w:t xml:space="preserve">Retrieved </w:t>
      </w:r>
      <w:proofErr w:type="spellStart"/>
      <w:r w:rsidRPr="00580918">
        <w:rPr>
          <w:rFonts w:eastAsia="Calibri" w:cs="Times New Roman"/>
          <w:szCs w:val="22"/>
          <w:lang w:val="en-US" w:eastAsia="es-CO"/>
        </w:rPr>
        <w:t>Octubre</w:t>
      </w:r>
      <w:proofErr w:type="spellEnd"/>
      <w:r w:rsidRPr="00580918">
        <w:rPr>
          <w:rFonts w:eastAsia="Calibri" w:cs="Times New Roman"/>
          <w:szCs w:val="22"/>
          <w:lang w:val="en-US" w:eastAsia="es-CO"/>
        </w:rPr>
        <w:t xml:space="preserve"> 13, 2013, from http://www.gob.cl/media/2013/05/Agenda-Digital-2013-2020.pdf</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Gobierno del Perú. (2011, Mayo). Plan Nacional para el Desarrollo de la Banda Ancha en el Perú.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Septiembre 28, 2013,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Ministerio de Transportes y Comunicaciones (MTC): http://www.mtc.gob.pe/portal/proyecto_banda_ancha/Plan%20Banda%20Ancha%20vf.pdf</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s-ES" w:eastAsia="es-CO"/>
        </w:rPr>
        <w:t>Gregori</w:t>
      </w:r>
      <w:proofErr w:type="spellEnd"/>
      <w:r w:rsidRPr="00580918">
        <w:rPr>
          <w:rFonts w:eastAsia="Calibri" w:cs="Times New Roman"/>
          <w:szCs w:val="22"/>
          <w:lang w:val="es-ES" w:eastAsia="es-CO"/>
        </w:rPr>
        <w:t>, A. (</w:t>
      </w:r>
      <w:proofErr w:type="spellStart"/>
      <w:r w:rsidRPr="00580918">
        <w:rPr>
          <w:rFonts w:eastAsia="Calibri" w:cs="Times New Roman"/>
          <w:szCs w:val="22"/>
          <w:lang w:val="es-ES" w:eastAsia="es-CO"/>
        </w:rPr>
        <w:t>n.d.</w:t>
      </w:r>
      <w:proofErr w:type="spellEnd"/>
      <w:r w:rsidRPr="00580918">
        <w:rPr>
          <w:rFonts w:eastAsia="Calibri" w:cs="Times New Roman"/>
          <w:szCs w:val="22"/>
          <w:lang w:val="es-ES" w:eastAsia="es-CO"/>
        </w:rPr>
        <w:t xml:space="preserve">). Penetración de Internet Usuarios de Internet como porcentaje de la población - Oct/11.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Octuber</w:t>
      </w:r>
      <w:proofErr w:type="spellEnd"/>
      <w:r w:rsidRPr="00580918">
        <w:rPr>
          <w:rFonts w:eastAsia="Calibri" w:cs="Times New Roman"/>
          <w:szCs w:val="22"/>
          <w:lang w:val="es-ES" w:eastAsia="es-CO"/>
        </w:rPr>
        <w:t xml:space="preserve"> 14, 2013,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Producción de Valor Blog de Alejandro </w:t>
      </w:r>
      <w:proofErr w:type="spellStart"/>
      <w:r w:rsidRPr="00580918">
        <w:rPr>
          <w:rFonts w:eastAsia="Calibri" w:cs="Times New Roman"/>
          <w:szCs w:val="22"/>
          <w:lang w:val="es-ES" w:eastAsia="es-CO"/>
        </w:rPr>
        <w:t>Gregori</w:t>
      </w:r>
      <w:proofErr w:type="spellEnd"/>
      <w:r w:rsidRPr="00580918">
        <w:rPr>
          <w:rFonts w:eastAsia="Calibri" w:cs="Times New Roman"/>
          <w:szCs w:val="22"/>
          <w:lang w:val="es-ES" w:eastAsia="es-CO"/>
        </w:rPr>
        <w:t>: http://www.alejandrogregori.com.ar/2011/11/usuarios-de-internet-en-argentina-por.html</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es-ES" w:eastAsia="es-CO"/>
        </w:rPr>
        <w:t>Hanafizadeh</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M.R.Saghaei</w:t>
      </w:r>
      <w:proofErr w:type="spellEnd"/>
      <w:r w:rsidRPr="00580918">
        <w:rPr>
          <w:rFonts w:eastAsia="Calibri" w:cs="Times New Roman"/>
          <w:szCs w:val="22"/>
          <w:lang w:val="es-ES" w:eastAsia="es-CO"/>
        </w:rPr>
        <w:t xml:space="preserve">, A. </w:t>
      </w:r>
      <w:proofErr w:type="spellStart"/>
      <w:r w:rsidRPr="00580918">
        <w:rPr>
          <w:rFonts w:eastAsia="Calibri" w:cs="Times New Roman"/>
          <w:szCs w:val="22"/>
          <w:lang w:val="es-ES" w:eastAsia="es-CO"/>
        </w:rPr>
        <w:t>Hanafizadeh</w:t>
      </w:r>
      <w:proofErr w:type="spellEnd"/>
      <w:r w:rsidRPr="00580918">
        <w:rPr>
          <w:rFonts w:eastAsia="Calibri" w:cs="Times New Roman"/>
          <w:szCs w:val="22"/>
          <w:lang w:val="es-ES" w:eastAsia="es-CO"/>
        </w:rPr>
        <w:t xml:space="preserve">, P. (2009). </w:t>
      </w:r>
      <w:r w:rsidRPr="00580918">
        <w:rPr>
          <w:rFonts w:eastAsia="Calibri" w:cs="Times New Roman"/>
          <w:szCs w:val="22"/>
          <w:lang w:val="en-US" w:eastAsia="es-CO"/>
        </w:rPr>
        <w:t>An index for cross-country analysis of ICT infrastructure and access. Telecommunications Policy 33 (2009) 385–405</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n-US" w:eastAsia="es-CO"/>
        </w:rPr>
        <w:t xml:space="preserve">Holland, J. (2013). Signals and Boundaries: Building Blocks for Complex Adaptive Systems. </w:t>
      </w:r>
      <w:proofErr w:type="spellStart"/>
      <w:r w:rsidRPr="00580918">
        <w:rPr>
          <w:rFonts w:eastAsia="Calibri" w:cs="Times New Roman"/>
          <w:szCs w:val="22"/>
          <w:lang w:val="es-ES" w:eastAsia="es-CO"/>
        </w:rPr>
        <w:t>The</w:t>
      </w:r>
      <w:proofErr w:type="spellEnd"/>
      <w:r w:rsidRPr="00580918">
        <w:rPr>
          <w:rFonts w:eastAsia="Calibri" w:cs="Times New Roman"/>
          <w:szCs w:val="22"/>
          <w:lang w:val="es-ES" w:eastAsia="es-CO"/>
        </w:rPr>
        <w:t xml:space="preserve"> MIT </w:t>
      </w:r>
      <w:proofErr w:type="spellStart"/>
      <w:r w:rsidRPr="00580918">
        <w:rPr>
          <w:rFonts w:eastAsia="Calibri" w:cs="Times New Roman"/>
          <w:szCs w:val="22"/>
          <w:lang w:val="es-ES" w:eastAsia="es-CO"/>
        </w:rPr>
        <w:t>Press</w:t>
      </w:r>
      <w:proofErr w:type="spellEnd"/>
      <w:r w:rsidRPr="00580918">
        <w:rPr>
          <w:rFonts w:eastAsia="Calibri" w:cs="Times New Roman"/>
          <w:szCs w:val="22"/>
          <w:lang w:val="es-ES" w:eastAsia="es-CO"/>
        </w:rPr>
        <w:t>.</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en-US" w:eastAsia="es-CO"/>
        </w:rPr>
        <w:t>Huarng</w:t>
      </w:r>
      <w:proofErr w:type="spellEnd"/>
      <w:r w:rsidRPr="00580918">
        <w:rPr>
          <w:rFonts w:eastAsia="Calibri" w:cs="Times New Roman"/>
          <w:szCs w:val="22"/>
          <w:lang w:val="en-US" w:eastAsia="es-CO"/>
        </w:rPr>
        <w:t>, K.H</w:t>
      </w:r>
      <w:proofErr w:type="gramStart"/>
      <w:r w:rsidRPr="00580918">
        <w:rPr>
          <w:rFonts w:eastAsia="Calibri" w:cs="Times New Roman"/>
          <w:szCs w:val="22"/>
          <w:lang w:val="en-US" w:eastAsia="es-CO"/>
        </w:rPr>
        <w:t>.(</w:t>
      </w:r>
      <w:proofErr w:type="gramEnd"/>
      <w:r w:rsidRPr="00580918">
        <w:rPr>
          <w:rFonts w:eastAsia="Calibri" w:cs="Times New Roman"/>
          <w:szCs w:val="22"/>
          <w:lang w:val="en-US" w:eastAsia="es-CO"/>
        </w:rPr>
        <w:t>2011)  A comparative study to classify ICT developments by economies. Journal of Business Research 64 (2011) 1174–1177</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lastRenderedPageBreak/>
        <w:t xml:space="preserve">Interactive Advertising Bureau. (2013). Guidelines, Standards &amp; Best Practices. Retrieved 10 18, 2013, from </w:t>
      </w:r>
      <w:proofErr w:type="spellStart"/>
      <w:r w:rsidRPr="00580918">
        <w:rPr>
          <w:rFonts w:eastAsia="Calibri" w:cs="Times New Roman"/>
          <w:szCs w:val="22"/>
          <w:lang w:val="en-US" w:eastAsia="es-CO"/>
        </w:rPr>
        <w:t>iab</w:t>
      </w:r>
      <w:proofErr w:type="spellEnd"/>
      <w:r w:rsidRPr="00580918">
        <w:rPr>
          <w:rFonts w:eastAsia="Calibri" w:cs="Times New Roman"/>
          <w:szCs w:val="22"/>
          <w:lang w:val="en-US" w:eastAsia="es-CO"/>
        </w:rPr>
        <w:t>: http://www.iab.net/guidelines</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ITU. (2013). Measuring the Information Society. Retrieved October 19, 2013, from International Telecommunication Union: http://www.itu.int/en/ITU-D/Statistics/Documents/publications/mis2013/MIS2013_without_Annex_4.pdf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ITU. (2013 a). ICT DATA AND STATISTICS DIVISION. Retrieved October 22, 2013, from International Telecommunication Union - Committed to connecting the world: http://www.itu.int/en/ITU-D/Statistics/Pages/about.aspx</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gramStart"/>
      <w:r w:rsidRPr="00580918">
        <w:rPr>
          <w:rFonts w:eastAsia="Calibri" w:cs="Times New Roman"/>
          <w:szCs w:val="22"/>
          <w:lang w:val="en-US" w:eastAsia="es-CO"/>
        </w:rPr>
        <w:t>ITU .</w:t>
      </w:r>
      <w:proofErr w:type="gramEnd"/>
      <w:r w:rsidRPr="00580918">
        <w:rPr>
          <w:rFonts w:eastAsia="Calibri" w:cs="Times New Roman"/>
          <w:szCs w:val="22"/>
          <w:lang w:val="en-US" w:eastAsia="es-CO"/>
        </w:rPr>
        <w:t xml:space="preserve"> (2013 b). Definitions &amp; standards. Retrieved October 22, 2013, from International </w:t>
      </w:r>
      <w:proofErr w:type="spellStart"/>
      <w:r w:rsidRPr="00580918">
        <w:rPr>
          <w:rFonts w:eastAsia="Calibri" w:cs="Times New Roman"/>
          <w:szCs w:val="22"/>
          <w:lang w:val="en-US" w:eastAsia="es-CO"/>
        </w:rPr>
        <w:t>Telecommiunication</w:t>
      </w:r>
      <w:proofErr w:type="spellEnd"/>
      <w:r w:rsidRPr="00580918">
        <w:rPr>
          <w:rFonts w:eastAsia="Calibri" w:cs="Times New Roman"/>
          <w:szCs w:val="22"/>
          <w:lang w:val="en-US" w:eastAsia="es-CO"/>
        </w:rPr>
        <w:t xml:space="preserve"> Union - committed to connecting the world: http://www.itu.int/en/ITU-D/Statistics/Pages/definitions/default.aspx</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ITU. (2012). International Telecommunication Union. Retrieved October 18, 2013, from Measuring the Information Society: http://www.itu.int/en/ITU-D/Statistics/Documents/publications/mis2012/MIS2012_without_Annex_4.pdf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ITU. (2012 b, May). PARTNERSHIP ON MEASURING. Retrieved October 22, 2013, from International Communication Union: http://www.itu.int/en/ITU-D/Statistics/Documents/intlcoop/partnership/Brochure_partnership_2012.pdf</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ITU. (2011). International </w:t>
      </w:r>
      <w:proofErr w:type="spellStart"/>
      <w:r w:rsidRPr="00580918">
        <w:rPr>
          <w:rFonts w:eastAsia="Calibri" w:cs="Times New Roman"/>
          <w:szCs w:val="22"/>
          <w:lang w:val="es-ES" w:eastAsia="es-CO"/>
        </w:rPr>
        <w:t>Telecommunication</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Union</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October</w:t>
      </w:r>
      <w:proofErr w:type="spellEnd"/>
      <w:r w:rsidRPr="00580918">
        <w:rPr>
          <w:rFonts w:eastAsia="Calibri" w:cs="Times New Roman"/>
          <w:szCs w:val="22"/>
          <w:lang w:val="es-ES" w:eastAsia="es-CO"/>
        </w:rPr>
        <w:t xml:space="preserve"> 18, 2013, MANUAL para la recopilación de datos administrativos de las TELECOMUNICACIONES Y DE LAS TIC: http://www.itu.int/dms_pub/itu-d/opb/ind/D-IND-ITC_IND_HBK-2011-PDF-S.pdf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ITU, (2010), “Measuring the Information Society”</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ITU. (2010 b, November 24). ITU-D WTIM - 8th World Telecommunication/ICT Indicators Meeting (WTIM). Retrieved </w:t>
      </w:r>
      <w:proofErr w:type="spellStart"/>
      <w:r w:rsidRPr="00580918">
        <w:rPr>
          <w:rFonts w:eastAsia="Calibri" w:cs="Times New Roman"/>
          <w:szCs w:val="22"/>
          <w:lang w:val="en-US" w:eastAsia="es-CO"/>
        </w:rPr>
        <w:t>Octuber</w:t>
      </w:r>
      <w:proofErr w:type="spellEnd"/>
      <w:r w:rsidRPr="00580918">
        <w:rPr>
          <w:rFonts w:eastAsia="Calibri" w:cs="Times New Roman"/>
          <w:szCs w:val="22"/>
          <w:lang w:val="en-US" w:eastAsia="es-CO"/>
        </w:rPr>
        <w:t xml:space="preserve"> 19, 2013, from International </w:t>
      </w:r>
      <w:proofErr w:type="spellStart"/>
      <w:r w:rsidRPr="00580918">
        <w:rPr>
          <w:rFonts w:eastAsia="Calibri" w:cs="Times New Roman"/>
          <w:szCs w:val="22"/>
          <w:lang w:val="en-US" w:eastAsia="es-CO"/>
        </w:rPr>
        <w:t>TelecommunicationUnion</w:t>
      </w:r>
      <w:proofErr w:type="spellEnd"/>
      <w:r w:rsidRPr="00580918">
        <w:rPr>
          <w:rFonts w:eastAsia="Calibri" w:cs="Times New Roman"/>
          <w:szCs w:val="22"/>
          <w:lang w:val="en-US" w:eastAsia="es-CO"/>
        </w:rPr>
        <w:t xml:space="preserve">: </w:t>
      </w:r>
      <w:hyperlink r:id="rId112" w:history="1">
        <w:r w:rsidRPr="00580918">
          <w:rPr>
            <w:rFonts w:eastAsia="Calibri" w:cs="Times New Roman"/>
            <w:szCs w:val="22"/>
            <w:lang w:val="en-US" w:eastAsia="es-CO"/>
          </w:rPr>
          <w:t>http://www.itu.int/md/D10-WTIM8-C-0019/en</w:t>
        </w:r>
      </w:hyperlink>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ITU. (2009). International Telecommunication Union. Retrieved </w:t>
      </w:r>
      <w:proofErr w:type="spellStart"/>
      <w:r w:rsidRPr="00580918">
        <w:rPr>
          <w:rFonts w:eastAsia="Calibri" w:cs="Times New Roman"/>
          <w:szCs w:val="22"/>
          <w:lang w:val="en-US" w:eastAsia="es-CO"/>
        </w:rPr>
        <w:t>Octubre</w:t>
      </w:r>
      <w:proofErr w:type="spellEnd"/>
      <w:r w:rsidRPr="00580918">
        <w:rPr>
          <w:rFonts w:eastAsia="Calibri" w:cs="Times New Roman"/>
          <w:szCs w:val="22"/>
          <w:lang w:val="en-US" w:eastAsia="es-CO"/>
        </w:rPr>
        <w:t xml:space="preserve"> 18, 2013, from MANUAL for Measuring ICT Access and Use by Households and </w:t>
      </w:r>
      <w:r w:rsidRPr="00580918">
        <w:rPr>
          <w:rFonts w:eastAsia="Calibri" w:cs="Times New Roman"/>
          <w:szCs w:val="22"/>
          <w:lang w:val="en-US" w:eastAsia="es-CO"/>
        </w:rPr>
        <w:lastRenderedPageBreak/>
        <w:t>Individuals: http://www.itu.int/ITU-D/ict/publications/hhmanual/2009/material/HHManual2009.pdf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ITU. (2009 b). MANUAL for Measuring ICT Access and Use by Households and Individuals. Retrieved October 15, 2013, from International Telecommunication Union: http://www.itu.int/ITU-D/ict/publications/hhmanual/2009/material/HHManual2009.pdf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ITU. (2008, September). International Telecommunication Union. Retrieved October 18, 2013, from WORLD TELECOMMUNICATION/ICT INDICATORS: http://www.itu.int/ITU-D/icteye/Indicators/WTI_Technotes.pdfITU, Broadband Commission and Cisco. (2013). Planning for Progress - Why National Broadband Plans Matter. Retrieved September 28, 2013, from http://www.broadbandcommission.org/documents/reportNBP2013.pdf</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en-US" w:eastAsia="es-CO"/>
        </w:rPr>
        <w:t>Jalava</w:t>
      </w:r>
      <w:proofErr w:type="spellEnd"/>
      <w:r w:rsidRPr="00580918">
        <w:rPr>
          <w:rFonts w:eastAsia="Calibri" w:cs="Times New Roman"/>
          <w:szCs w:val="22"/>
          <w:lang w:val="en-US" w:eastAsia="es-CO"/>
        </w:rPr>
        <w:t xml:space="preserve">, J., </w:t>
      </w:r>
      <w:proofErr w:type="spellStart"/>
      <w:r w:rsidRPr="00580918">
        <w:rPr>
          <w:rFonts w:eastAsia="Calibri" w:cs="Times New Roman"/>
          <w:szCs w:val="22"/>
          <w:lang w:val="en-US" w:eastAsia="es-CO"/>
        </w:rPr>
        <w:t>Pohjola</w:t>
      </w:r>
      <w:proofErr w:type="spellEnd"/>
      <w:r w:rsidRPr="00580918">
        <w:rPr>
          <w:rFonts w:eastAsia="Calibri" w:cs="Times New Roman"/>
          <w:szCs w:val="22"/>
          <w:lang w:val="en-US" w:eastAsia="es-CO"/>
        </w:rPr>
        <w:t>, M. (2008). The roles of electricity and ICT in economic growth: Case Finland. Explorations in Economic History 45 (2008) 270–287</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James, J. (2012). The ICT Development Index and the digital divide: How are they related? Technological Forecasting &amp; Social Change 79 (2012) 587–594</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Jung, H-Y., Nang, K-Y., and Yoon, Ch-H. (2013). </w:t>
      </w:r>
      <w:proofErr w:type="gramStart"/>
      <w:r w:rsidRPr="00580918">
        <w:rPr>
          <w:rFonts w:eastAsia="Calibri" w:cs="Times New Roman"/>
          <w:szCs w:val="22"/>
          <w:lang w:val="en-US" w:eastAsia="es-CO"/>
        </w:rPr>
        <w:t>The</w:t>
      </w:r>
      <w:proofErr w:type="gramEnd"/>
      <w:r w:rsidRPr="00580918">
        <w:rPr>
          <w:rFonts w:eastAsia="Calibri" w:cs="Times New Roman"/>
          <w:szCs w:val="22"/>
          <w:lang w:val="en-US" w:eastAsia="es-CO"/>
        </w:rPr>
        <w:t xml:space="preserve"> role of ICT in Korea’s economic growth: Productivity changes across industries since the 1990s.</w:t>
      </w:r>
      <w:r w:rsidRPr="00580918">
        <w:rPr>
          <w:rFonts w:ascii="Calibri" w:eastAsia="Calibri" w:hAnsi="Calibri" w:cs="Times New Roman"/>
          <w:sz w:val="27"/>
          <w:szCs w:val="27"/>
          <w:lang w:val="en-US" w:eastAsia="es-CO"/>
        </w:rPr>
        <w:t xml:space="preserve"> </w:t>
      </w:r>
      <w:r w:rsidRPr="00580918">
        <w:rPr>
          <w:rFonts w:ascii="Calibri" w:eastAsia="Calibri" w:hAnsi="Calibri" w:cs="Times New Roman"/>
          <w:sz w:val="12"/>
          <w:szCs w:val="12"/>
          <w:lang w:val="en-US" w:eastAsia="es-CO"/>
        </w:rPr>
        <w:t>Telecommunications Policy 37 (2013) 292–310</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Katz, R.L., 2009, “Estimating broadband demand and its economic impact in Latin America”</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Kelly, T., &amp; </w:t>
      </w:r>
      <w:proofErr w:type="spellStart"/>
      <w:r w:rsidRPr="00580918">
        <w:rPr>
          <w:rFonts w:eastAsia="Calibri" w:cs="Times New Roman"/>
          <w:szCs w:val="22"/>
          <w:lang w:val="en-US" w:eastAsia="es-CO"/>
        </w:rPr>
        <w:t>Rossotto</w:t>
      </w:r>
      <w:proofErr w:type="spellEnd"/>
      <w:r w:rsidRPr="00580918">
        <w:rPr>
          <w:rFonts w:eastAsia="Calibri" w:cs="Times New Roman"/>
          <w:szCs w:val="22"/>
          <w:lang w:val="en-US" w:eastAsia="es-CO"/>
        </w:rPr>
        <w:t>, C. (2012). Broadband Strategies Handbook. Retrieved October 2, 2013, from World Bank: https://openknowledge.worldbank.org/handle/10986/6009</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Kim, Y., Kelly, T., &amp; Raja, S. (2010). Building Broadband: Strategies and Policies for the Developing World. Retrieved October 2, 2013, from World Bank: https://openknowledge.worldbank.org/handle/10986/2469</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n-US" w:eastAsia="es-CO"/>
        </w:rPr>
        <w:t xml:space="preserve">Kim, Y. Kelly, T., Raja, S. (2010). Building Broadband. Strategies and policies for the Developing World. </w:t>
      </w:r>
      <w:proofErr w:type="spellStart"/>
      <w:r w:rsidRPr="00580918">
        <w:rPr>
          <w:rFonts w:eastAsia="Calibri" w:cs="Times New Roman"/>
          <w:szCs w:val="22"/>
          <w:lang w:val="es-ES" w:eastAsia="es-CO"/>
        </w:rPr>
        <w:t>World</w:t>
      </w:r>
      <w:proofErr w:type="spellEnd"/>
      <w:r w:rsidRPr="00580918">
        <w:rPr>
          <w:rFonts w:eastAsia="Calibri" w:cs="Times New Roman"/>
          <w:szCs w:val="22"/>
          <w:lang w:val="es-ES" w:eastAsia="es-CO"/>
        </w:rPr>
        <w:t xml:space="preserve"> Bank</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n-US" w:eastAsia="es-CO"/>
        </w:rPr>
        <w:t xml:space="preserve">Lee, S-Y.T., </w:t>
      </w:r>
      <w:proofErr w:type="spellStart"/>
      <w:r w:rsidRPr="00580918">
        <w:rPr>
          <w:rFonts w:eastAsia="Calibri" w:cs="Times New Roman"/>
          <w:szCs w:val="22"/>
          <w:lang w:val="en-US" w:eastAsia="es-CO"/>
        </w:rPr>
        <w:t>Gholami</w:t>
      </w:r>
      <w:proofErr w:type="spellEnd"/>
      <w:r w:rsidRPr="00580918">
        <w:rPr>
          <w:rFonts w:eastAsia="Calibri" w:cs="Times New Roman"/>
          <w:szCs w:val="22"/>
          <w:lang w:val="en-US" w:eastAsia="es-CO"/>
        </w:rPr>
        <w:t xml:space="preserve">, R., Tong, T.Y., (2005). Time series analysis in the assessment of ICT impact at the aggregate level – lessons and implications for the new economy. </w:t>
      </w:r>
      <w:proofErr w:type="spellStart"/>
      <w:r w:rsidRPr="00580918">
        <w:rPr>
          <w:rFonts w:eastAsia="Calibri" w:cs="Times New Roman"/>
          <w:szCs w:val="22"/>
          <w:lang w:val="es-ES" w:eastAsia="es-CO"/>
        </w:rPr>
        <w:t>Information</w:t>
      </w:r>
      <w:proofErr w:type="spellEnd"/>
      <w:r w:rsidRPr="00580918">
        <w:rPr>
          <w:rFonts w:eastAsia="Calibri" w:cs="Times New Roman"/>
          <w:szCs w:val="22"/>
          <w:lang w:val="es-ES" w:eastAsia="es-CO"/>
        </w:rPr>
        <w:t xml:space="preserve"> &amp; Management 42 (2005) 1009–1022</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n-US" w:eastAsia="es-CO"/>
        </w:rPr>
        <w:lastRenderedPageBreak/>
        <w:t>Maryska</w:t>
      </w:r>
      <w:proofErr w:type="spellEnd"/>
      <w:r w:rsidRPr="00580918">
        <w:rPr>
          <w:rFonts w:eastAsia="Calibri" w:cs="Times New Roman"/>
          <w:szCs w:val="22"/>
          <w:lang w:val="en-US" w:eastAsia="es-CO"/>
        </w:rPr>
        <w:t xml:space="preserve">, M., </w:t>
      </w:r>
      <w:proofErr w:type="spellStart"/>
      <w:r w:rsidRPr="00580918">
        <w:rPr>
          <w:rFonts w:eastAsia="Calibri" w:cs="Times New Roman"/>
          <w:szCs w:val="22"/>
          <w:lang w:val="en-US" w:eastAsia="es-CO"/>
        </w:rPr>
        <w:t>Doucek</w:t>
      </w:r>
      <w:proofErr w:type="spellEnd"/>
      <w:r w:rsidRPr="00580918">
        <w:rPr>
          <w:rFonts w:eastAsia="Calibri" w:cs="Times New Roman"/>
          <w:szCs w:val="22"/>
          <w:lang w:val="en-US" w:eastAsia="es-CO"/>
        </w:rPr>
        <w:t xml:space="preserve">, P. &amp; </w:t>
      </w:r>
      <w:proofErr w:type="spellStart"/>
      <w:r w:rsidRPr="00580918">
        <w:rPr>
          <w:rFonts w:eastAsia="Calibri" w:cs="Times New Roman"/>
          <w:szCs w:val="22"/>
          <w:lang w:val="en-US" w:eastAsia="es-CO"/>
        </w:rPr>
        <w:t>Kunstova</w:t>
      </w:r>
      <w:proofErr w:type="spellEnd"/>
      <w:r w:rsidRPr="00580918">
        <w:rPr>
          <w:rFonts w:eastAsia="Calibri" w:cs="Times New Roman"/>
          <w:szCs w:val="22"/>
          <w:lang w:val="en-US" w:eastAsia="es-CO"/>
        </w:rPr>
        <w:t xml:space="preserve">, R. (2012). The Importance of ICT Sector and ICT University Education for the Economic Development. </w:t>
      </w:r>
      <w:proofErr w:type="spellStart"/>
      <w:r w:rsidRPr="00580918">
        <w:rPr>
          <w:rFonts w:eastAsia="Calibri" w:cs="Times New Roman"/>
          <w:szCs w:val="22"/>
          <w:lang w:val="es-ES" w:eastAsia="es-CO"/>
        </w:rPr>
        <w:t>Procedia</w:t>
      </w:r>
      <w:proofErr w:type="spellEnd"/>
      <w:r w:rsidRPr="00580918">
        <w:rPr>
          <w:rFonts w:eastAsia="Calibri" w:cs="Times New Roman"/>
          <w:szCs w:val="22"/>
          <w:lang w:val="es-ES" w:eastAsia="es-CO"/>
        </w:rPr>
        <w:t xml:space="preserve"> - Social and </w:t>
      </w:r>
      <w:proofErr w:type="spellStart"/>
      <w:r w:rsidRPr="00580918">
        <w:rPr>
          <w:rFonts w:eastAsia="Calibri" w:cs="Times New Roman"/>
          <w:szCs w:val="22"/>
          <w:lang w:val="es-ES" w:eastAsia="es-CO"/>
        </w:rPr>
        <w:t>Behavioral</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Sciences</w:t>
      </w:r>
      <w:proofErr w:type="spellEnd"/>
      <w:r w:rsidRPr="00580918">
        <w:rPr>
          <w:rFonts w:eastAsia="Calibri" w:cs="Times New Roman"/>
          <w:szCs w:val="22"/>
          <w:lang w:val="es-ES" w:eastAsia="es-CO"/>
        </w:rPr>
        <w:t xml:space="preserve"> 55 ( 2012 ) 1060 – 1068</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MCI, M. (2012, 12 21). Intelligent Nation 2015 (iN2015</w:t>
      </w:r>
      <w:proofErr w:type="gramStart"/>
      <w:r w:rsidRPr="00580918">
        <w:rPr>
          <w:rFonts w:eastAsia="Calibri" w:cs="Times New Roman"/>
          <w:szCs w:val="22"/>
          <w:lang w:val="en-US" w:eastAsia="es-CO"/>
        </w:rPr>
        <w:t>) .</w:t>
      </w:r>
      <w:proofErr w:type="gramEnd"/>
      <w:r w:rsidRPr="00580918">
        <w:rPr>
          <w:rFonts w:eastAsia="Calibri" w:cs="Times New Roman"/>
          <w:szCs w:val="22"/>
          <w:lang w:val="en-US" w:eastAsia="es-CO"/>
        </w:rPr>
        <w:t xml:space="preserve"> Retrieved October 10, 2013, from </w:t>
      </w:r>
      <w:proofErr w:type="spellStart"/>
      <w:r w:rsidRPr="00580918">
        <w:rPr>
          <w:rFonts w:eastAsia="Calibri" w:cs="Times New Roman"/>
          <w:szCs w:val="22"/>
          <w:lang w:val="en-US" w:eastAsia="es-CO"/>
        </w:rPr>
        <w:t>Infocomm</w:t>
      </w:r>
      <w:proofErr w:type="spellEnd"/>
      <w:r w:rsidRPr="00580918">
        <w:rPr>
          <w:rFonts w:eastAsia="Calibri" w:cs="Times New Roman"/>
          <w:szCs w:val="22"/>
          <w:lang w:val="en-US" w:eastAsia="es-CO"/>
        </w:rPr>
        <w:t>: http://www.mci.gov.sg/content/mci_corp/web/mci/infocomm/developing_infocomm/masterplans/intelligent_nation2015in2015.html</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n-US" w:eastAsia="es-CO"/>
        </w:rPr>
        <w:t>Meng</w:t>
      </w:r>
      <w:proofErr w:type="spellEnd"/>
      <w:r w:rsidRPr="00580918">
        <w:rPr>
          <w:rFonts w:eastAsia="Calibri" w:cs="Times New Roman"/>
          <w:szCs w:val="22"/>
          <w:lang w:val="en-US" w:eastAsia="es-CO"/>
        </w:rPr>
        <w:t xml:space="preserve">, Q. &amp; Li, M. (2002). New Economy and ICT development in China. </w:t>
      </w:r>
      <w:proofErr w:type="spellStart"/>
      <w:r w:rsidRPr="00580918">
        <w:rPr>
          <w:rFonts w:eastAsia="Calibri" w:cs="Times New Roman"/>
          <w:szCs w:val="22"/>
          <w:lang w:val="es-ES" w:eastAsia="es-CO"/>
        </w:rPr>
        <w:t>Information</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Economics</w:t>
      </w:r>
      <w:proofErr w:type="spellEnd"/>
      <w:r w:rsidRPr="00580918">
        <w:rPr>
          <w:rFonts w:eastAsia="Calibri" w:cs="Times New Roman"/>
          <w:szCs w:val="22"/>
          <w:lang w:val="es-ES" w:eastAsia="es-CO"/>
        </w:rPr>
        <w:t xml:space="preserve"> and </w:t>
      </w:r>
      <w:proofErr w:type="spellStart"/>
      <w:r w:rsidRPr="00580918">
        <w:rPr>
          <w:rFonts w:eastAsia="Calibri" w:cs="Times New Roman"/>
          <w:szCs w:val="22"/>
          <w:lang w:val="es-ES" w:eastAsia="es-CO"/>
        </w:rPr>
        <w:t>Policy</w:t>
      </w:r>
      <w:proofErr w:type="spellEnd"/>
      <w:r w:rsidRPr="00580918">
        <w:rPr>
          <w:rFonts w:eastAsia="Calibri" w:cs="Times New Roman"/>
          <w:szCs w:val="22"/>
          <w:lang w:val="es-ES" w:eastAsia="es-CO"/>
        </w:rPr>
        <w:t xml:space="preserve"> 14 (2002) 275–295</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s-ES" w:eastAsia="es-CO"/>
        </w:rPr>
        <w:t xml:space="preserve">MINTEL. (2012, Abril). Ministerio de Telecomunicaciones y de la Sociedad de la Información. </w:t>
      </w:r>
      <w:r w:rsidRPr="00580918">
        <w:rPr>
          <w:rFonts w:eastAsia="Calibri" w:cs="Times New Roman"/>
          <w:szCs w:val="22"/>
          <w:lang w:val="en-US" w:eastAsia="es-CO"/>
        </w:rPr>
        <w:t xml:space="preserve">Retrieved </w:t>
      </w:r>
      <w:proofErr w:type="spellStart"/>
      <w:r w:rsidRPr="00580918">
        <w:rPr>
          <w:rFonts w:eastAsia="Calibri" w:cs="Times New Roman"/>
          <w:szCs w:val="22"/>
          <w:lang w:val="en-US" w:eastAsia="es-CO"/>
        </w:rPr>
        <w:t>Octubre</w:t>
      </w:r>
      <w:proofErr w:type="spellEnd"/>
      <w:r w:rsidRPr="00580918">
        <w:rPr>
          <w:rFonts w:eastAsia="Calibri" w:cs="Times New Roman"/>
          <w:szCs w:val="22"/>
          <w:lang w:val="en-US" w:eastAsia="es-CO"/>
        </w:rPr>
        <w:t xml:space="preserve"> 14, 2013, from International Telecommunication Union -UIT: http://www.itu.int/ITU-D/tech/events/2012/RDF_AMS_Mexico_April12/Session2/3_AnaValdiviezo.pdf</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MINTEL. (2013). Ministerio de Telecomunicaciones y Sociedad de la Información.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Octubre 6, 2013,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Plan Nacional de Desarrollo de Banda Ancha: http://www.telecomunicaciones.gob.ec/plan-nacional-de-desarrollo-de-banda-ancha/</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s-ES" w:eastAsia="es-CO"/>
        </w:rPr>
        <w:t>MINTEL. (</w:t>
      </w:r>
      <w:proofErr w:type="spellStart"/>
      <w:r w:rsidRPr="00580918">
        <w:rPr>
          <w:rFonts w:eastAsia="Calibri" w:cs="Times New Roman"/>
          <w:szCs w:val="22"/>
          <w:lang w:val="es-ES" w:eastAsia="es-CO"/>
        </w:rPr>
        <w:t>n.d.</w:t>
      </w:r>
      <w:proofErr w:type="spellEnd"/>
      <w:r w:rsidRPr="00580918">
        <w:rPr>
          <w:rFonts w:eastAsia="Calibri" w:cs="Times New Roman"/>
          <w:szCs w:val="22"/>
          <w:lang w:val="es-ES" w:eastAsia="es-CO"/>
        </w:rPr>
        <w:t xml:space="preserve">). Ministerio de Telecomunicaciones y de la Sociedad de la Información. </w:t>
      </w:r>
      <w:r w:rsidRPr="00580918">
        <w:rPr>
          <w:rFonts w:eastAsia="Calibri" w:cs="Times New Roman"/>
          <w:szCs w:val="22"/>
          <w:lang w:val="en-US" w:eastAsia="es-CO"/>
        </w:rPr>
        <w:t xml:space="preserve">Retrieved </w:t>
      </w:r>
      <w:proofErr w:type="spellStart"/>
      <w:r w:rsidRPr="00580918">
        <w:rPr>
          <w:rFonts w:eastAsia="Calibri" w:cs="Times New Roman"/>
          <w:szCs w:val="22"/>
          <w:lang w:val="en-US" w:eastAsia="es-CO"/>
        </w:rPr>
        <w:t>Octubre</w:t>
      </w:r>
      <w:proofErr w:type="spellEnd"/>
      <w:r w:rsidRPr="00580918">
        <w:rPr>
          <w:rFonts w:eastAsia="Calibri" w:cs="Times New Roman"/>
          <w:szCs w:val="22"/>
          <w:lang w:val="en-US" w:eastAsia="es-CO"/>
        </w:rPr>
        <w:t xml:space="preserve"> 7, 2013, from CEPAL: http://www.eclac.cl/socinfo/noticias/noticias/4/48124/Augusto_Esp%C3%ADn_MINTEL_P1.pdf</w:t>
      </w:r>
    </w:p>
    <w:p w:rsidR="00580918" w:rsidRPr="00580918" w:rsidRDefault="006C1C52"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MINTIC</w:t>
      </w:r>
      <w:r w:rsidR="00580918" w:rsidRPr="00580918">
        <w:rPr>
          <w:rFonts w:eastAsia="Calibri" w:cs="Times New Roman"/>
          <w:szCs w:val="22"/>
          <w:lang w:val="es-ES" w:eastAsia="es-CO"/>
        </w:rPr>
        <w:t xml:space="preserve">. (2011, Febrero). Ministerio de Tecnologías de la Información y las Comunicaciones República de Colombia. </w:t>
      </w:r>
      <w:proofErr w:type="spellStart"/>
      <w:r w:rsidR="00580918" w:rsidRPr="00580918">
        <w:rPr>
          <w:rFonts w:eastAsia="Calibri" w:cs="Times New Roman"/>
          <w:szCs w:val="22"/>
          <w:lang w:val="es-ES" w:eastAsia="es-CO"/>
        </w:rPr>
        <w:t>Retrieved</w:t>
      </w:r>
      <w:proofErr w:type="spellEnd"/>
      <w:r w:rsidR="00580918" w:rsidRPr="00580918">
        <w:rPr>
          <w:rFonts w:eastAsia="Calibri" w:cs="Times New Roman"/>
          <w:szCs w:val="22"/>
          <w:lang w:val="es-ES" w:eastAsia="es-CO"/>
        </w:rPr>
        <w:t xml:space="preserve"> Septiembre 28, 2013, </w:t>
      </w:r>
      <w:proofErr w:type="spellStart"/>
      <w:r w:rsidR="00580918" w:rsidRPr="00580918">
        <w:rPr>
          <w:rFonts w:eastAsia="Calibri" w:cs="Times New Roman"/>
          <w:szCs w:val="22"/>
          <w:lang w:val="es-ES" w:eastAsia="es-CO"/>
        </w:rPr>
        <w:t>from</w:t>
      </w:r>
      <w:proofErr w:type="spellEnd"/>
      <w:r w:rsidR="00580918" w:rsidRPr="00580918">
        <w:rPr>
          <w:rFonts w:eastAsia="Calibri" w:cs="Times New Roman"/>
          <w:szCs w:val="22"/>
          <w:lang w:val="es-ES" w:eastAsia="es-CO"/>
        </w:rPr>
        <w:t xml:space="preserve"> Vive Digital: http://www.vivedigital.gov.co/files/Vivo_Vive_Digital.pdf</w:t>
      </w:r>
    </w:p>
    <w:p w:rsidR="00580918" w:rsidRPr="00580918" w:rsidRDefault="006C1C52"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MINTIC </w:t>
      </w:r>
      <w:r w:rsidR="00580918" w:rsidRPr="00580918">
        <w:rPr>
          <w:rFonts w:eastAsia="Calibri" w:cs="Times New Roman"/>
          <w:szCs w:val="22"/>
          <w:lang w:val="es-ES" w:eastAsia="es-CO"/>
        </w:rPr>
        <w:t xml:space="preserve">(2013), Presentación avance del Proyecto Nacional de Fibra </w:t>
      </w:r>
      <w:proofErr w:type="spellStart"/>
      <w:r w:rsidR="00580918" w:rsidRPr="00580918">
        <w:rPr>
          <w:rFonts w:eastAsia="Calibri" w:cs="Times New Roman"/>
          <w:szCs w:val="22"/>
          <w:lang w:val="es-ES" w:eastAsia="es-CO"/>
        </w:rPr>
        <w:t>Optica</w:t>
      </w:r>
      <w:proofErr w:type="spellEnd"/>
      <w:r w:rsidR="00580918" w:rsidRPr="00580918">
        <w:rPr>
          <w:rFonts w:eastAsia="Calibri" w:cs="Times New Roman"/>
          <w:szCs w:val="22"/>
          <w:lang w:val="es-ES" w:eastAsia="es-CO"/>
        </w:rPr>
        <w:t>.</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OECD (2013), “Measuring the Internet Economy: A Contribution to the Research Agenda”, OECD Digital Economy Papers, No. 226, OECD Publishing. http://dx.doi.org/10.1787/5k43gjg6r8jf-en</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OECD. (2011). (O. Publishing, Ed.) Retrieved </w:t>
      </w:r>
      <w:proofErr w:type="spellStart"/>
      <w:r w:rsidRPr="00580918">
        <w:rPr>
          <w:rFonts w:eastAsia="Calibri" w:cs="Times New Roman"/>
          <w:szCs w:val="22"/>
          <w:lang w:val="en-US" w:eastAsia="es-CO"/>
        </w:rPr>
        <w:t>Octuber</w:t>
      </w:r>
      <w:proofErr w:type="spellEnd"/>
      <w:r w:rsidRPr="00580918">
        <w:rPr>
          <w:rFonts w:eastAsia="Calibri" w:cs="Times New Roman"/>
          <w:szCs w:val="22"/>
          <w:lang w:val="en-US" w:eastAsia="es-CO"/>
        </w:rPr>
        <w:t xml:space="preserve"> 18, 2013, from OECD Guide to Measuring the Information Society 2011: http://browse.oecdbookshop.org/oecd/pdfs/free/9311021e.pdf</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n-US" w:eastAsia="es-CO"/>
        </w:rPr>
        <w:t>Oulton</w:t>
      </w:r>
      <w:proofErr w:type="spellEnd"/>
      <w:r w:rsidRPr="00580918">
        <w:rPr>
          <w:rFonts w:eastAsia="Calibri" w:cs="Times New Roman"/>
          <w:szCs w:val="22"/>
          <w:lang w:val="en-US" w:eastAsia="es-CO"/>
        </w:rPr>
        <w:t xml:space="preserve"> (2012). Long term implications of the ICT revolution: Applying the lessons of growth theory and growth accounting. </w:t>
      </w:r>
      <w:proofErr w:type="spellStart"/>
      <w:r w:rsidRPr="00580918">
        <w:rPr>
          <w:rFonts w:eastAsia="Calibri" w:cs="Times New Roman"/>
          <w:szCs w:val="22"/>
          <w:lang w:val="es-ES" w:eastAsia="es-CO"/>
        </w:rPr>
        <w:t>Economic</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Modelling</w:t>
      </w:r>
      <w:proofErr w:type="spellEnd"/>
      <w:r w:rsidRPr="00580918">
        <w:rPr>
          <w:rFonts w:eastAsia="Calibri" w:cs="Times New Roman"/>
          <w:szCs w:val="22"/>
          <w:lang w:val="es-ES" w:eastAsia="es-CO"/>
        </w:rPr>
        <w:t xml:space="preserve"> 29 (2012) 1722–1736</w:t>
      </w:r>
    </w:p>
    <w:p w:rsid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lastRenderedPageBreak/>
        <w:t xml:space="preserve">Ovum Consulting Research. (2009, October). Broadband Policy Development in the Republic of Korea. Retrieved September 28, 2013, from Infodev.org: </w:t>
      </w:r>
      <w:hyperlink r:id="rId113" w:history="1">
        <w:r w:rsidR="00F02269" w:rsidRPr="00D23B4D">
          <w:rPr>
            <w:rStyle w:val="Hipervnculo"/>
            <w:rFonts w:eastAsia="Calibri" w:cs="Times New Roman"/>
            <w:szCs w:val="22"/>
            <w:lang w:val="en-US" w:eastAsia="es-CO"/>
          </w:rPr>
          <w:t>http://www.infodev.org/infodev-files/resource/InfodevDocuments_934.pdf</w:t>
        </w:r>
      </w:hyperlink>
    </w:p>
    <w:p w:rsidR="00F02269" w:rsidRPr="00580918" w:rsidRDefault="00F02269" w:rsidP="00F02269">
      <w:pPr>
        <w:numPr>
          <w:ilvl w:val="0"/>
          <w:numId w:val="4"/>
        </w:numPr>
        <w:spacing w:before="120" w:after="120"/>
        <w:rPr>
          <w:rFonts w:eastAsia="Calibri" w:cs="Times New Roman"/>
          <w:szCs w:val="22"/>
          <w:lang w:val="en-US" w:eastAsia="es-CO"/>
        </w:rPr>
      </w:pPr>
      <w:r w:rsidRPr="00E82FE4">
        <w:rPr>
          <w:rFonts w:eastAsia="Calibri" w:cs="Times New Roman"/>
          <w:szCs w:val="22"/>
          <w:lang w:val="en-US" w:eastAsia="es-CO"/>
        </w:rPr>
        <w:t xml:space="preserve"> </w:t>
      </w:r>
      <w:r w:rsidRPr="00F02269">
        <w:rPr>
          <w:rFonts w:eastAsia="Calibri" w:cs="Times New Roman"/>
          <w:szCs w:val="22"/>
          <w:lang w:val="es-CO" w:eastAsia="es-CO"/>
        </w:rPr>
        <w:t xml:space="preserve">Rodríguez C., Sánchez F. y Márquez J. (2011). Universidad de los Andes. Impacto del programa “computadores para educar” en la deserción estudiantil, el logro escolar y el ingreso a la educación superior. </w:t>
      </w:r>
      <w:proofErr w:type="spellStart"/>
      <w:r w:rsidRPr="00F02269">
        <w:rPr>
          <w:rFonts w:eastAsia="Calibri" w:cs="Times New Roman"/>
          <w:szCs w:val="22"/>
          <w:lang w:val="en-US" w:eastAsia="es-CO"/>
        </w:rPr>
        <w:t>Documentos</w:t>
      </w:r>
      <w:proofErr w:type="spellEnd"/>
      <w:r w:rsidRPr="00F02269">
        <w:rPr>
          <w:rFonts w:eastAsia="Calibri" w:cs="Times New Roman"/>
          <w:szCs w:val="22"/>
          <w:lang w:val="en-US" w:eastAsia="es-CO"/>
        </w:rPr>
        <w:t xml:space="preserve"> CEDE. 15</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SPN – MINTIC (2013). Informe Implementación y Capacitación del Código Postal. Preparado por Quintero A.M., para la Subdirección Postal del MINTIC. Septiembre de 2013.</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s-ES" w:eastAsia="es-CO"/>
        </w:rPr>
        <w:t xml:space="preserve">SAI (2012). Caracterización teórica y empírica de la base de la pirámide, con el fin de establecer posibles  elementos relacionados con barreras a la masificación del servicio de Internet en la población de la misma. </w:t>
      </w:r>
      <w:proofErr w:type="spellStart"/>
      <w:r w:rsidRPr="00580918">
        <w:rPr>
          <w:rFonts w:eastAsia="Calibri" w:cs="Times New Roman"/>
          <w:szCs w:val="22"/>
          <w:lang w:val="en-US" w:eastAsia="es-CO"/>
        </w:rPr>
        <w:t>Informes</w:t>
      </w:r>
      <w:proofErr w:type="spellEnd"/>
      <w:r w:rsidRPr="00580918">
        <w:rPr>
          <w:rFonts w:eastAsia="Calibri" w:cs="Times New Roman"/>
          <w:szCs w:val="22"/>
          <w:lang w:val="en-US" w:eastAsia="es-CO"/>
        </w:rPr>
        <w:t xml:space="preserve"> </w:t>
      </w:r>
      <w:proofErr w:type="spellStart"/>
      <w:r w:rsidRPr="00580918">
        <w:rPr>
          <w:rFonts w:eastAsia="Calibri" w:cs="Times New Roman"/>
          <w:szCs w:val="22"/>
          <w:lang w:val="en-US" w:eastAsia="es-CO"/>
        </w:rPr>
        <w:t>asesoría</w:t>
      </w:r>
      <w:proofErr w:type="spellEnd"/>
      <w:r w:rsidRPr="00580918">
        <w:rPr>
          <w:rFonts w:eastAsia="Calibri" w:cs="Times New Roman"/>
          <w:szCs w:val="22"/>
          <w:lang w:val="en-US" w:eastAsia="es-CO"/>
        </w:rPr>
        <w:t xml:space="preserve"> </w:t>
      </w:r>
      <w:proofErr w:type="spellStart"/>
      <w:r w:rsidRPr="00580918">
        <w:rPr>
          <w:rFonts w:eastAsia="Calibri" w:cs="Times New Roman"/>
          <w:szCs w:val="22"/>
          <w:lang w:val="en-US" w:eastAsia="es-CO"/>
        </w:rPr>
        <w:t>desarrollada</w:t>
      </w:r>
      <w:proofErr w:type="spellEnd"/>
      <w:r w:rsidRPr="00580918">
        <w:rPr>
          <w:rFonts w:eastAsia="Calibri" w:cs="Times New Roman"/>
          <w:szCs w:val="22"/>
          <w:lang w:val="en-US" w:eastAsia="es-CO"/>
        </w:rPr>
        <w:t xml:space="preserve"> </w:t>
      </w:r>
      <w:proofErr w:type="spellStart"/>
      <w:r w:rsidRPr="00580918">
        <w:rPr>
          <w:rFonts w:eastAsia="Calibri" w:cs="Times New Roman"/>
          <w:szCs w:val="22"/>
          <w:lang w:val="en-US" w:eastAsia="es-CO"/>
        </w:rPr>
        <w:t>para</w:t>
      </w:r>
      <w:proofErr w:type="spellEnd"/>
      <w:r w:rsidRPr="00580918">
        <w:rPr>
          <w:rFonts w:eastAsia="Calibri" w:cs="Times New Roman"/>
          <w:szCs w:val="22"/>
          <w:lang w:val="en-US" w:eastAsia="es-CO"/>
        </w:rPr>
        <w:t xml:space="preserve"> la CRC</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pt-BR" w:eastAsia="es-CO"/>
        </w:rPr>
        <w:t>Samoilenko</w:t>
      </w:r>
      <w:proofErr w:type="spellEnd"/>
      <w:r w:rsidRPr="00580918">
        <w:rPr>
          <w:rFonts w:eastAsia="Calibri" w:cs="Times New Roman"/>
          <w:szCs w:val="22"/>
          <w:lang w:val="pt-BR" w:eastAsia="es-CO"/>
        </w:rPr>
        <w:t xml:space="preserve">, S., &amp; </w:t>
      </w:r>
      <w:proofErr w:type="spellStart"/>
      <w:r w:rsidRPr="00580918">
        <w:rPr>
          <w:rFonts w:eastAsia="Calibri" w:cs="Times New Roman"/>
          <w:szCs w:val="22"/>
          <w:lang w:val="pt-BR" w:eastAsia="es-CO"/>
        </w:rPr>
        <w:t>Osei-Bryson</w:t>
      </w:r>
      <w:proofErr w:type="spellEnd"/>
      <w:r w:rsidRPr="00580918">
        <w:rPr>
          <w:rFonts w:eastAsia="Calibri" w:cs="Times New Roman"/>
          <w:szCs w:val="22"/>
          <w:lang w:val="pt-BR" w:eastAsia="es-CO"/>
        </w:rPr>
        <w:t xml:space="preserve">, K-M. </w:t>
      </w:r>
      <w:r w:rsidRPr="00580918">
        <w:rPr>
          <w:rFonts w:eastAsia="Calibri" w:cs="Times New Roman"/>
          <w:szCs w:val="22"/>
          <w:lang w:val="en-US" w:eastAsia="es-CO"/>
        </w:rPr>
        <w:t xml:space="preserve">(2008). An exploration of the effects of the interaction between ICT and labor force on economic growth in transition economies. </w:t>
      </w:r>
      <w:proofErr w:type="spellStart"/>
      <w:r w:rsidRPr="00580918">
        <w:rPr>
          <w:rFonts w:eastAsia="Calibri" w:cs="Times New Roman"/>
          <w:szCs w:val="22"/>
          <w:lang w:val="es-ES" w:eastAsia="es-CO"/>
        </w:rPr>
        <w:t>Int</w:t>
      </w:r>
      <w:proofErr w:type="spellEnd"/>
      <w:r w:rsidRPr="00580918">
        <w:rPr>
          <w:rFonts w:eastAsia="Calibri" w:cs="Times New Roman"/>
          <w:szCs w:val="22"/>
          <w:lang w:val="es-ES" w:eastAsia="es-CO"/>
        </w:rPr>
        <w:t xml:space="preserve">. J. </w:t>
      </w:r>
      <w:proofErr w:type="spellStart"/>
      <w:r w:rsidRPr="00580918">
        <w:rPr>
          <w:rFonts w:eastAsia="Calibri" w:cs="Times New Roman"/>
          <w:szCs w:val="22"/>
          <w:lang w:val="es-ES" w:eastAsia="es-CO"/>
        </w:rPr>
        <w:t>Production</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Economics</w:t>
      </w:r>
      <w:proofErr w:type="spellEnd"/>
      <w:r w:rsidRPr="00580918">
        <w:rPr>
          <w:rFonts w:eastAsia="Calibri" w:cs="Times New Roman"/>
          <w:szCs w:val="22"/>
          <w:lang w:val="es-ES" w:eastAsia="es-CO"/>
        </w:rPr>
        <w:t xml:space="preserve"> 115 (2008) 471–481</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n-US" w:eastAsia="es-CO"/>
        </w:rPr>
        <w:t>Sassi</w:t>
      </w:r>
      <w:proofErr w:type="spellEnd"/>
      <w:r w:rsidRPr="00580918">
        <w:rPr>
          <w:rFonts w:eastAsia="Calibri" w:cs="Times New Roman"/>
          <w:szCs w:val="22"/>
          <w:lang w:val="en-US" w:eastAsia="es-CO"/>
        </w:rPr>
        <w:t xml:space="preserve">, S. &amp; </w:t>
      </w:r>
      <w:proofErr w:type="spellStart"/>
      <w:r w:rsidRPr="00580918">
        <w:rPr>
          <w:rFonts w:eastAsia="Calibri" w:cs="Times New Roman"/>
          <w:szCs w:val="22"/>
          <w:lang w:val="en-US" w:eastAsia="es-CO"/>
        </w:rPr>
        <w:t>Goaied</w:t>
      </w:r>
      <w:proofErr w:type="spellEnd"/>
      <w:r w:rsidRPr="00580918">
        <w:rPr>
          <w:rFonts w:eastAsia="Calibri" w:cs="Times New Roman"/>
          <w:szCs w:val="22"/>
          <w:lang w:val="en-US" w:eastAsia="es-CO"/>
        </w:rPr>
        <w:t xml:space="preserve">, M. (2013). Financial development, ICT diffusion and economic growth: Lessons from MENA region. </w:t>
      </w:r>
      <w:proofErr w:type="spellStart"/>
      <w:r w:rsidRPr="00580918">
        <w:rPr>
          <w:rFonts w:eastAsia="Calibri" w:cs="Times New Roman"/>
          <w:szCs w:val="22"/>
          <w:lang w:val="es-ES" w:eastAsia="es-CO"/>
        </w:rPr>
        <w:t>Telecommunications</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Policy</w:t>
      </w:r>
      <w:proofErr w:type="spellEnd"/>
      <w:r w:rsidRPr="00580918">
        <w:rPr>
          <w:rFonts w:eastAsia="Calibri" w:cs="Times New Roman"/>
          <w:szCs w:val="22"/>
          <w:lang w:val="es-ES" w:eastAsia="es-CO"/>
        </w:rPr>
        <w:t xml:space="preserve"> 37 (2013) 252–261</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s-ES" w:eastAsia="es-CO"/>
        </w:rPr>
        <w:t xml:space="preserve">SCT - México. (2012). Acciones para el fortalecimiento de la Banda Ancha y las Tecnologías de la Información y Comunicación. </w:t>
      </w:r>
      <w:proofErr w:type="spellStart"/>
      <w:r w:rsidRPr="00580918">
        <w:rPr>
          <w:rFonts w:eastAsia="Calibri" w:cs="Times New Roman"/>
          <w:szCs w:val="22"/>
          <w:lang w:val="es-ES" w:eastAsia="es-CO"/>
        </w:rPr>
        <w:t>Retrieved</w:t>
      </w:r>
      <w:proofErr w:type="spellEnd"/>
      <w:r w:rsidRPr="00580918">
        <w:rPr>
          <w:rFonts w:eastAsia="Calibri" w:cs="Times New Roman"/>
          <w:szCs w:val="22"/>
          <w:lang w:val="es-ES" w:eastAsia="es-CO"/>
        </w:rPr>
        <w:t xml:space="preserve"> Octubre 14, 2013, </w:t>
      </w:r>
      <w:proofErr w:type="spellStart"/>
      <w:r w:rsidRPr="00580918">
        <w:rPr>
          <w:rFonts w:eastAsia="Calibri" w:cs="Times New Roman"/>
          <w:szCs w:val="22"/>
          <w:lang w:val="es-ES" w:eastAsia="es-CO"/>
        </w:rPr>
        <w:t>from</w:t>
      </w:r>
      <w:proofErr w:type="spellEnd"/>
      <w:r w:rsidRPr="00580918">
        <w:rPr>
          <w:rFonts w:eastAsia="Calibri" w:cs="Times New Roman"/>
          <w:szCs w:val="22"/>
          <w:lang w:val="es-ES" w:eastAsia="es-CO"/>
        </w:rPr>
        <w:t xml:space="preserve"> Secretaría de Comunicaciones y Transportes - México: http://www.sct.gob.mx/uploads/media/AFBAy</w:t>
      </w:r>
      <w:r w:rsidR="00CA2DED">
        <w:rPr>
          <w:rFonts w:eastAsia="Calibri" w:cs="Times New Roman"/>
          <w:szCs w:val="22"/>
          <w:lang w:val="es-ES" w:eastAsia="es-CO"/>
        </w:rPr>
        <w:t>TIC</w:t>
      </w:r>
      <w:r w:rsidRPr="00580918">
        <w:rPr>
          <w:rFonts w:eastAsia="Calibri" w:cs="Times New Roman"/>
          <w:szCs w:val="22"/>
          <w:lang w:val="es-ES" w:eastAsia="es-CO"/>
        </w:rPr>
        <w:t>.pdf</w:t>
      </w:r>
    </w:p>
    <w:p w:rsidR="00580918" w:rsidRPr="00580918" w:rsidRDefault="00580918" w:rsidP="00600790">
      <w:pPr>
        <w:numPr>
          <w:ilvl w:val="0"/>
          <w:numId w:val="4"/>
        </w:numPr>
        <w:spacing w:before="120" w:after="120"/>
        <w:jc w:val="left"/>
        <w:rPr>
          <w:rFonts w:eastAsia="Calibri" w:cs="Times New Roman"/>
          <w:szCs w:val="22"/>
          <w:lang w:val="es-CO" w:eastAsia="es-CO"/>
        </w:rPr>
      </w:pPr>
      <w:r w:rsidRPr="00580918">
        <w:rPr>
          <w:rFonts w:eastAsia="Calibri" w:cs="Times New Roman"/>
          <w:szCs w:val="22"/>
          <w:lang w:val="es-ES" w:eastAsia="es-CO"/>
        </w:rPr>
        <w:t xml:space="preserve">SCT. (2012). Secretaría de Comunicaciones y Transportes - México. </w:t>
      </w:r>
      <w:proofErr w:type="spellStart"/>
      <w:r w:rsidRPr="00580918">
        <w:rPr>
          <w:rFonts w:eastAsia="Calibri" w:cs="Times New Roman"/>
          <w:szCs w:val="22"/>
          <w:lang w:val="es-CO" w:eastAsia="es-CO"/>
        </w:rPr>
        <w:t>Retrieved</w:t>
      </w:r>
      <w:proofErr w:type="spellEnd"/>
      <w:r w:rsidRPr="00580918">
        <w:rPr>
          <w:rFonts w:eastAsia="Calibri" w:cs="Times New Roman"/>
          <w:szCs w:val="22"/>
          <w:lang w:val="es-CO" w:eastAsia="es-CO"/>
        </w:rPr>
        <w:t xml:space="preserve"> Octubre 10, 2013, </w:t>
      </w:r>
      <w:proofErr w:type="spellStart"/>
      <w:r w:rsidRPr="00580918">
        <w:rPr>
          <w:rFonts w:eastAsia="Calibri" w:cs="Times New Roman"/>
          <w:szCs w:val="22"/>
          <w:lang w:val="es-CO" w:eastAsia="es-CO"/>
        </w:rPr>
        <w:t>from</w:t>
      </w:r>
      <w:proofErr w:type="spellEnd"/>
      <w:r w:rsidRPr="00580918">
        <w:rPr>
          <w:rFonts w:eastAsia="Calibri" w:cs="Times New Roman"/>
          <w:szCs w:val="22"/>
          <w:lang w:val="es-CO" w:eastAsia="es-CO"/>
        </w:rPr>
        <w:t xml:space="preserve"> http://www.agendadigital.mx/</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es-CO" w:eastAsia="es-CO"/>
        </w:rPr>
        <w:t>Seoh</w:t>
      </w:r>
      <w:proofErr w:type="spellEnd"/>
      <w:r w:rsidRPr="00580918">
        <w:rPr>
          <w:rFonts w:eastAsia="Calibri" w:cs="Times New Roman"/>
          <w:szCs w:val="22"/>
          <w:lang w:val="es-CO" w:eastAsia="es-CO"/>
        </w:rPr>
        <w:t xml:space="preserve">, H-J., Lee, Y.S., &amp; Oh, J.H. (2009). </w:t>
      </w:r>
      <w:r w:rsidRPr="00580918">
        <w:rPr>
          <w:rFonts w:eastAsia="Calibri" w:cs="Times New Roman"/>
          <w:szCs w:val="22"/>
          <w:lang w:val="en-US" w:eastAsia="es-CO"/>
        </w:rPr>
        <w:t>Does ICT investment widen the growth gap? Telecommunications Policy 33 (2009) 422–431</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en-US" w:eastAsia="es-CO"/>
        </w:rPr>
        <w:t>Shirazi</w:t>
      </w:r>
      <w:proofErr w:type="spellEnd"/>
      <w:r w:rsidRPr="00580918">
        <w:rPr>
          <w:rFonts w:eastAsia="Calibri" w:cs="Times New Roman"/>
          <w:szCs w:val="22"/>
          <w:lang w:val="en-US" w:eastAsia="es-CO"/>
        </w:rPr>
        <w:t xml:space="preserve">, F., </w:t>
      </w:r>
      <w:proofErr w:type="spellStart"/>
      <w:r w:rsidRPr="00580918">
        <w:rPr>
          <w:rFonts w:eastAsia="Calibri" w:cs="Times New Roman"/>
          <w:szCs w:val="22"/>
          <w:lang w:val="en-US" w:eastAsia="es-CO"/>
        </w:rPr>
        <w:t>Gholami</w:t>
      </w:r>
      <w:proofErr w:type="spellEnd"/>
      <w:r w:rsidRPr="00580918">
        <w:rPr>
          <w:rFonts w:eastAsia="Calibri" w:cs="Times New Roman"/>
          <w:szCs w:val="22"/>
          <w:lang w:val="en-US" w:eastAsia="es-CO"/>
        </w:rPr>
        <w:t xml:space="preserve">, R., </w:t>
      </w:r>
      <w:proofErr w:type="spellStart"/>
      <w:r w:rsidRPr="00580918">
        <w:rPr>
          <w:rFonts w:eastAsia="Calibri" w:cs="Times New Roman"/>
          <w:szCs w:val="22"/>
          <w:lang w:val="en-US" w:eastAsia="es-CO"/>
        </w:rPr>
        <w:t>Añón-Higón</w:t>
      </w:r>
      <w:proofErr w:type="spellEnd"/>
      <w:r w:rsidRPr="00580918">
        <w:rPr>
          <w:rFonts w:eastAsia="Calibri" w:cs="Times New Roman"/>
          <w:szCs w:val="22"/>
          <w:lang w:val="en-US" w:eastAsia="es-CO"/>
        </w:rPr>
        <w:t>, D. (2009). The impact of information and communication technology (ICT), education and regulation on economic freedom in Islamic Middle Eastern countries. Information &amp; Management 46 (2009) 426–433</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Singh, </w:t>
      </w:r>
      <w:proofErr w:type="spellStart"/>
      <w:r w:rsidRPr="00580918">
        <w:rPr>
          <w:rFonts w:eastAsia="Calibri" w:cs="Times New Roman"/>
          <w:szCs w:val="22"/>
          <w:lang w:val="en-US" w:eastAsia="es-CO"/>
        </w:rPr>
        <w:t>Rajendra</w:t>
      </w:r>
      <w:proofErr w:type="spellEnd"/>
      <w:r w:rsidRPr="00580918">
        <w:rPr>
          <w:rFonts w:eastAsia="Calibri" w:cs="Times New Roman"/>
          <w:szCs w:val="22"/>
          <w:lang w:val="en-US" w:eastAsia="es-CO"/>
        </w:rPr>
        <w:t xml:space="preserve">. Raja, </w:t>
      </w:r>
      <w:proofErr w:type="spellStart"/>
      <w:r w:rsidRPr="00580918">
        <w:rPr>
          <w:rFonts w:eastAsia="Calibri" w:cs="Times New Roman"/>
          <w:szCs w:val="22"/>
          <w:lang w:val="en-US" w:eastAsia="es-CO"/>
        </w:rPr>
        <w:t>Siddhartra</w:t>
      </w:r>
      <w:proofErr w:type="spellEnd"/>
      <w:r w:rsidRPr="00580918">
        <w:rPr>
          <w:rFonts w:eastAsia="Calibri" w:cs="Times New Roman"/>
          <w:szCs w:val="22"/>
          <w:lang w:val="en-US" w:eastAsia="es-CO"/>
        </w:rPr>
        <w:t>. Convergence in Information and Communication Technology. The World Bank. 2010. ISBN 978-0-8213-8169-4</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pt-BR" w:eastAsia="es-CO"/>
        </w:rPr>
        <w:lastRenderedPageBreak/>
        <w:t>Samarajiva</w:t>
      </w:r>
      <w:proofErr w:type="spellEnd"/>
      <w:r w:rsidRPr="00580918">
        <w:rPr>
          <w:rFonts w:eastAsia="Calibri" w:cs="Times New Roman"/>
          <w:szCs w:val="22"/>
          <w:lang w:val="pt-BR" w:eastAsia="es-CO"/>
        </w:rPr>
        <w:t>, R., &amp; Lucas, R. (</w:t>
      </w:r>
      <w:proofErr w:type="gramStart"/>
      <w:r w:rsidRPr="00580918">
        <w:rPr>
          <w:rFonts w:eastAsia="Calibri" w:cs="Times New Roman"/>
          <w:szCs w:val="22"/>
          <w:lang w:val="pt-BR" w:eastAsia="es-CO"/>
        </w:rPr>
        <w:t xml:space="preserve">2010, </w:t>
      </w:r>
      <w:proofErr w:type="spellStart"/>
      <w:r w:rsidRPr="00580918">
        <w:rPr>
          <w:rFonts w:eastAsia="Calibri" w:cs="Times New Roman"/>
          <w:szCs w:val="22"/>
          <w:lang w:val="pt-BR" w:eastAsia="es-CO"/>
        </w:rPr>
        <w:t>November</w:t>
      </w:r>
      <w:proofErr w:type="spellEnd"/>
      <w:proofErr w:type="gramEnd"/>
      <w:r w:rsidRPr="00580918">
        <w:rPr>
          <w:rFonts w:eastAsia="Calibri" w:cs="Times New Roman"/>
          <w:szCs w:val="22"/>
          <w:lang w:val="pt-BR" w:eastAsia="es-CO"/>
        </w:rPr>
        <w:t xml:space="preserve">). </w:t>
      </w:r>
      <w:proofErr w:type="spellStart"/>
      <w:r w:rsidRPr="00580918">
        <w:rPr>
          <w:rFonts w:eastAsia="Calibri" w:cs="Times New Roman"/>
          <w:szCs w:val="22"/>
          <w:lang w:val="en-US" w:eastAsia="es-CO"/>
        </w:rPr>
        <w:t>LIRNEasia</w:t>
      </w:r>
      <w:proofErr w:type="spellEnd"/>
      <w:r w:rsidRPr="00580918">
        <w:rPr>
          <w:rFonts w:eastAsia="Calibri" w:cs="Times New Roman"/>
          <w:szCs w:val="22"/>
          <w:lang w:val="en-US" w:eastAsia="es-CO"/>
        </w:rPr>
        <w:t>. Retrieved October 18, 2013, from Measuring WSIS target 10: Estimating internet users When only less-than-ideal data is available: http://lirneasia.net/wp-content/uploads/2010/11/Galpaya_2010Nov_ITUindiactorMtg_Final.pdf</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es-ES" w:eastAsia="es-CO"/>
        </w:rPr>
        <w:t>Samarajiva</w:t>
      </w:r>
      <w:proofErr w:type="spellEnd"/>
      <w:r w:rsidRPr="00580918">
        <w:rPr>
          <w:rFonts w:eastAsia="Calibri" w:cs="Times New Roman"/>
          <w:szCs w:val="22"/>
          <w:lang w:val="es-ES" w:eastAsia="es-CO"/>
        </w:rPr>
        <w:t xml:space="preserve">, R., &amp; Lucas, R. (2012). </w:t>
      </w:r>
      <w:proofErr w:type="spellStart"/>
      <w:r w:rsidRPr="00580918">
        <w:rPr>
          <w:rFonts w:eastAsia="Calibri" w:cs="Times New Roman"/>
          <w:szCs w:val="22"/>
          <w:lang w:val="es-ES" w:eastAsia="es-CO"/>
        </w:rPr>
        <w:t>LIRNEasia</w:t>
      </w:r>
      <w:proofErr w:type="spellEnd"/>
      <w:r w:rsidRPr="00580918">
        <w:rPr>
          <w:rFonts w:eastAsia="Calibri" w:cs="Times New Roman"/>
          <w:szCs w:val="22"/>
          <w:lang w:val="es-ES" w:eastAsia="es-CO"/>
        </w:rPr>
        <w:t xml:space="preserve">. </w:t>
      </w:r>
      <w:r w:rsidRPr="00580918">
        <w:rPr>
          <w:rFonts w:eastAsia="Calibri" w:cs="Times New Roman"/>
          <w:szCs w:val="22"/>
          <w:lang w:val="en-US" w:eastAsia="es-CO"/>
        </w:rPr>
        <w:t xml:space="preserve">Retrieved </w:t>
      </w:r>
      <w:proofErr w:type="spellStart"/>
      <w:r w:rsidRPr="00580918">
        <w:rPr>
          <w:rFonts w:eastAsia="Calibri" w:cs="Times New Roman"/>
          <w:szCs w:val="22"/>
          <w:lang w:val="en-US" w:eastAsia="es-CO"/>
        </w:rPr>
        <w:t>Octubre</w:t>
      </w:r>
      <w:proofErr w:type="spellEnd"/>
      <w:r w:rsidRPr="00580918">
        <w:rPr>
          <w:rFonts w:eastAsia="Calibri" w:cs="Times New Roman"/>
          <w:szCs w:val="22"/>
          <w:lang w:val="en-US" w:eastAsia="es-CO"/>
        </w:rPr>
        <w:t xml:space="preserve"> 18, 2013, from Evidence based alternative method of estimating Internet Users in the absence of survey data: using Sri Lanka as a case study: http://nitc.lk/2012nitc/www.nitc.lk/archive2012/images/pdf/9%20Roshanthi.pdf</w:t>
      </w:r>
    </w:p>
    <w:p w:rsidR="00580918" w:rsidRPr="00580918" w:rsidRDefault="00580918" w:rsidP="00600790">
      <w:pPr>
        <w:numPr>
          <w:ilvl w:val="0"/>
          <w:numId w:val="4"/>
        </w:numPr>
        <w:spacing w:before="120" w:after="120"/>
        <w:jc w:val="left"/>
        <w:rPr>
          <w:rFonts w:eastAsia="Calibri" w:cs="Times New Roman"/>
          <w:szCs w:val="22"/>
          <w:lang w:val="en-US" w:eastAsia="es-CO"/>
        </w:rPr>
      </w:pPr>
      <w:proofErr w:type="spellStart"/>
      <w:r w:rsidRPr="00580918">
        <w:rPr>
          <w:rFonts w:eastAsia="Calibri" w:cs="Times New Roman"/>
          <w:szCs w:val="22"/>
          <w:lang w:val="pt-BR" w:eastAsia="es-CO"/>
        </w:rPr>
        <w:t>Stork</w:t>
      </w:r>
      <w:proofErr w:type="spellEnd"/>
      <w:r w:rsidRPr="00580918">
        <w:rPr>
          <w:rFonts w:eastAsia="Calibri" w:cs="Times New Roman"/>
          <w:szCs w:val="22"/>
          <w:lang w:val="pt-BR" w:eastAsia="es-CO"/>
        </w:rPr>
        <w:t>, C., Calandro, E</w:t>
      </w:r>
      <w:proofErr w:type="gramStart"/>
      <w:r w:rsidRPr="00580918">
        <w:rPr>
          <w:rFonts w:eastAsia="Calibri" w:cs="Times New Roman"/>
          <w:szCs w:val="22"/>
          <w:lang w:val="pt-BR" w:eastAsia="es-CO"/>
        </w:rPr>
        <w:t>.,</w:t>
      </w:r>
      <w:proofErr w:type="gramEnd"/>
      <w:r w:rsidRPr="00580918">
        <w:rPr>
          <w:rFonts w:eastAsia="Calibri" w:cs="Times New Roman"/>
          <w:szCs w:val="22"/>
          <w:lang w:val="pt-BR" w:eastAsia="es-CO"/>
        </w:rPr>
        <w:t xml:space="preserve"> &amp; </w:t>
      </w:r>
      <w:proofErr w:type="spellStart"/>
      <w:r w:rsidRPr="00580918">
        <w:rPr>
          <w:rFonts w:eastAsia="Calibri" w:cs="Times New Roman"/>
          <w:szCs w:val="22"/>
          <w:lang w:val="pt-BR" w:eastAsia="es-CO"/>
        </w:rPr>
        <w:t>Gillwa</w:t>
      </w:r>
      <w:proofErr w:type="spellEnd"/>
      <w:r w:rsidRPr="00580918">
        <w:rPr>
          <w:rFonts w:eastAsia="Calibri" w:cs="Times New Roman"/>
          <w:szCs w:val="22"/>
          <w:lang w:val="pt-BR" w:eastAsia="es-CO"/>
        </w:rPr>
        <w:t xml:space="preserve">, A. (2013, August). </w:t>
      </w:r>
      <w:r w:rsidRPr="00580918">
        <w:rPr>
          <w:rFonts w:eastAsia="Calibri" w:cs="Times New Roman"/>
          <w:szCs w:val="22"/>
          <w:lang w:val="es-ES" w:eastAsia="es-CO"/>
        </w:rPr>
        <w:t xml:space="preserve">Academia.edu. (E. G. </w:t>
      </w:r>
      <w:proofErr w:type="spellStart"/>
      <w:r w:rsidRPr="00580918">
        <w:rPr>
          <w:rFonts w:eastAsia="Calibri" w:cs="Times New Roman"/>
          <w:szCs w:val="22"/>
          <w:lang w:val="es-ES" w:eastAsia="es-CO"/>
        </w:rPr>
        <w:t>info</w:t>
      </w:r>
      <w:proofErr w:type="spellEnd"/>
      <w:r w:rsidRPr="00580918">
        <w:rPr>
          <w:rFonts w:eastAsia="Calibri" w:cs="Times New Roman"/>
          <w:szCs w:val="22"/>
          <w:lang w:val="es-ES" w:eastAsia="es-CO"/>
        </w:rPr>
        <w:t xml:space="preserve">, Ed.) </w:t>
      </w:r>
      <w:r w:rsidRPr="00580918">
        <w:rPr>
          <w:rFonts w:eastAsia="Calibri" w:cs="Times New Roman"/>
          <w:szCs w:val="22"/>
          <w:lang w:val="en-US" w:eastAsia="es-CO"/>
        </w:rPr>
        <w:t xml:space="preserve">Retrieved </w:t>
      </w:r>
      <w:proofErr w:type="spellStart"/>
      <w:r w:rsidRPr="00580918">
        <w:rPr>
          <w:rFonts w:eastAsia="Calibri" w:cs="Times New Roman"/>
          <w:szCs w:val="22"/>
          <w:lang w:val="en-US" w:eastAsia="es-CO"/>
        </w:rPr>
        <w:t>Octubre</w:t>
      </w:r>
      <w:proofErr w:type="spellEnd"/>
      <w:r w:rsidRPr="00580918">
        <w:rPr>
          <w:rFonts w:eastAsia="Calibri" w:cs="Times New Roman"/>
          <w:szCs w:val="22"/>
          <w:lang w:val="en-US" w:eastAsia="es-CO"/>
        </w:rPr>
        <w:t xml:space="preserve"> 18, 2013, from Internet going mobile: internet access and use in 11 African countries: http://www.academia.edu/4295208/Internet_going_mobile_internet_access_and_use_in_11_African_countries</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TELECOM REGULATORY AUTHORITY OF INDIA. (2010, December 8). Recommendations on National Broadband Plan. Retrieved September 28, 2013, from http://www.trai.gov.in/WriteReadData/Recommendation/Documents/Rcommendation81210.pdf</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n-US" w:eastAsia="es-CO"/>
        </w:rPr>
        <w:t xml:space="preserve">UNCTAD, United Nations. (2007) INFORMATION ECONOMY REPORT 2007-2008. Science and technology for development: the new paradigm of ICT. </w:t>
      </w:r>
      <w:proofErr w:type="spellStart"/>
      <w:r w:rsidRPr="00580918">
        <w:rPr>
          <w:rFonts w:eastAsia="Calibri" w:cs="Times New Roman"/>
          <w:szCs w:val="22"/>
          <w:lang w:val="es-ES" w:eastAsia="es-CO"/>
        </w:rPr>
        <w:t>Prepared</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by</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the</w:t>
      </w:r>
      <w:proofErr w:type="spellEnd"/>
      <w:r w:rsidRPr="00580918">
        <w:rPr>
          <w:rFonts w:eastAsia="Calibri" w:cs="Times New Roman"/>
          <w:szCs w:val="22"/>
          <w:lang w:val="es-ES" w:eastAsia="es-CO"/>
        </w:rPr>
        <w:t xml:space="preserve"> UNCTAD </w:t>
      </w:r>
      <w:proofErr w:type="spellStart"/>
      <w:r w:rsidRPr="00580918">
        <w:rPr>
          <w:rFonts w:eastAsia="Calibri" w:cs="Times New Roman"/>
          <w:szCs w:val="22"/>
          <w:lang w:val="es-ES" w:eastAsia="es-CO"/>
        </w:rPr>
        <w:t>secretariat</w:t>
      </w:r>
      <w:proofErr w:type="spellEnd"/>
      <w:r w:rsidRPr="00580918">
        <w:rPr>
          <w:rFonts w:eastAsia="Calibri" w:cs="Times New Roman"/>
          <w:szCs w:val="22"/>
          <w:lang w:val="es-ES" w:eastAsia="es-CO"/>
        </w:rPr>
        <w:t>. 2007</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UNCTAD.ORG. (2006). Partnership on Measuring ICT for Development. Retrieved October 18, 2013, from Measuring the information society: http://new.unctad.org/default____600.aspx</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 xml:space="preserve">UN Broadband </w:t>
      </w:r>
      <w:proofErr w:type="spellStart"/>
      <w:r w:rsidRPr="00580918">
        <w:rPr>
          <w:rFonts w:eastAsia="Calibri" w:cs="Times New Roman"/>
          <w:szCs w:val="22"/>
          <w:lang w:val="en-US" w:eastAsia="es-CO"/>
        </w:rPr>
        <w:t>Commision</w:t>
      </w:r>
      <w:proofErr w:type="spellEnd"/>
      <w:r w:rsidRPr="00580918">
        <w:rPr>
          <w:rFonts w:eastAsia="Calibri" w:cs="Times New Roman"/>
          <w:szCs w:val="22"/>
          <w:lang w:val="en-US" w:eastAsia="es-CO"/>
        </w:rPr>
        <w:t>, ITU, UNESCO. The State of Broadband 2013: Universalizing Broadband. (2013, September). Retrieved September 28, 2013, from http://www.broadbandcommission.org/Documents/bb-annualreport2013.pdf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UN Broadband Commission. (2013). Broadband Targets for 2015. Retrieved September 28, 2013, from http://www.broadbandcommission.org/Documents/Broadband_Targets.pdf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United Nations. (</w:t>
      </w:r>
      <w:proofErr w:type="spellStart"/>
      <w:r w:rsidRPr="00580918">
        <w:rPr>
          <w:rFonts w:eastAsia="Calibri" w:cs="Times New Roman"/>
          <w:szCs w:val="22"/>
          <w:lang w:val="en-US" w:eastAsia="es-CO"/>
        </w:rPr>
        <w:t>n.d</w:t>
      </w:r>
      <w:proofErr w:type="spellEnd"/>
      <w:r w:rsidRPr="00580918">
        <w:rPr>
          <w:rFonts w:eastAsia="Calibri" w:cs="Times New Roman"/>
          <w:szCs w:val="22"/>
          <w:lang w:val="en-US" w:eastAsia="es-CO"/>
        </w:rPr>
        <w:t>.). Core ICT Indicators. Retrieved October 22, 2013, from Partnership on Measuring ICT for Development: http://www.itu.int/ITU-D/ict/partnership/material/CoreICTIndicators.pdf</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lastRenderedPageBreak/>
        <w:t>U.S. Census Bureau. (2013, May). Computer and Internet Use in the United States Population Characteristics. Retrieved October 19, 2013, from http://www.census.gov/prod/2013pubs/p20-569.pdf</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n-US" w:eastAsia="es-CO"/>
        </w:rPr>
        <w:t xml:space="preserve">Vu, K.M. (2011). ICT as a source of economic growth in the information age: Empirical evidence from the 1996–2005 </w:t>
      </w:r>
      <w:proofErr w:type="gramStart"/>
      <w:r w:rsidRPr="00580918">
        <w:rPr>
          <w:rFonts w:eastAsia="Calibri" w:cs="Times New Roman"/>
          <w:szCs w:val="22"/>
          <w:lang w:val="en-US" w:eastAsia="es-CO"/>
        </w:rPr>
        <w:t>period</w:t>
      </w:r>
      <w:proofErr w:type="gramEnd"/>
      <w:r w:rsidRPr="00580918">
        <w:rPr>
          <w:rFonts w:eastAsia="Calibri" w:cs="Times New Roman"/>
          <w:szCs w:val="22"/>
          <w:lang w:val="en-US" w:eastAsia="es-CO"/>
        </w:rPr>
        <w:t xml:space="preserve">. </w:t>
      </w:r>
      <w:proofErr w:type="spellStart"/>
      <w:r w:rsidRPr="00580918">
        <w:rPr>
          <w:rFonts w:eastAsia="Calibri" w:cs="Times New Roman"/>
          <w:szCs w:val="22"/>
          <w:lang w:val="es-ES" w:eastAsia="es-CO"/>
        </w:rPr>
        <w:t>Telecommunications</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Policy</w:t>
      </w:r>
      <w:proofErr w:type="spellEnd"/>
      <w:r w:rsidRPr="00580918">
        <w:rPr>
          <w:rFonts w:eastAsia="Calibri" w:cs="Times New Roman"/>
          <w:szCs w:val="22"/>
          <w:lang w:val="es-ES" w:eastAsia="es-CO"/>
        </w:rPr>
        <w:t xml:space="preserve"> 35 (2011) 357–372</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s-ES" w:eastAsia="es-CO"/>
        </w:rPr>
        <w:t>World</w:t>
      </w:r>
      <w:proofErr w:type="spellEnd"/>
      <w:r w:rsidRPr="00580918">
        <w:rPr>
          <w:rFonts w:eastAsia="Calibri" w:cs="Times New Roman"/>
          <w:szCs w:val="22"/>
          <w:lang w:val="es-ES" w:eastAsia="es-CO"/>
        </w:rPr>
        <w:t xml:space="preserve"> Bank, 2012, “Construyendo puentes, creando oportunidades: La banda ancha como catalizador del desarrollo económico y social en los países de América Latina y el Caribe”</w:t>
      </w:r>
    </w:p>
    <w:p w:rsidR="00580918" w:rsidRPr="00580918" w:rsidRDefault="00580918" w:rsidP="00600790">
      <w:pPr>
        <w:numPr>
          <w:ilvl w:val="0"/>
          <w:numId w:val="4"/>
        </w:numPr>
        <w:spacing w:before="120" w:after="120"/>
        <w:jc w:val="left"/>
        <w:rPr>
          <w:rFonts w:eastAsia="Calibri" w:cs="Times New Roman"/>
          <w:szCs w:val="22"/>
          <w:lang w:val="en-US" w:eastAsia="es-CO"/>
        </w:rPr>
      </w:pPr>
      <w:r w:rsidRPr="00580918">
        <w:rPr>
          <w:rFonts w:eastAsia="Calibri" w:cs="Times New Roman"/>
          <w:szCs w:val="22"/>
          <w:lang w:val="en-US" w:eastAsia="es-CO"/>
        </w:rPr>
        <w:t>World Bank, 2009, “Information and Communication for Development: Extending reach and increasing impact”</w:t>
      </w:r>
    </w:p>
    <w:p w:rsidR="00580918" w:rsidRPr="00580918" w:rsidRDefault="00580918" w:rsidP="00600790">
      <w:pPr>
        <w:numPr>
          <w:ilvl w:val="0"/>
          <w:numId w:val="4"/>
        </w:numPr>
        <w:spacing w:before="120" w:after="120"/>
        <w:jc w:val="left"/>
        <w:rPr>
          <w:rFonts w:eastAsia="Calibri" w:cs="Times New Roman"/>
          <w:szCs w:val="22"/>
          <w:lang w:val="es-ES" w:eastAsia="es-CO"/>
        </w:rPr>
      </w:pPr>
      <w:r w:rsidRPr="00580918">
        <w:rPr>
          <w:rFonts w:eastAsia="Calibri" w:cs="Times New Roman"/>
          <w:szCs w:val="22"/>
          <w:lang w:val="en-US" w:eastAsia="es-CO"/>
        </w:rPr>
        <w:t>Yao, X., Watanabe, Ch</w:t>
      </w:r>
      <w:proofErr w:type="gramStart"/>
      <w:r w:rsidRPr="00580918">
        <w:rPr>
          <w:rFonts w:eastAsia="Calibri" w:cs="Times New Roman"/>
          <w:szCs w:val="22"/>
          <w:lang w:val="en-US" w:eastAsia="es-CO"/>
        </w:rPr>
        <w:t>. &amp;</w:t>
      </w:r>
      <w:proofErr w:type="gramEnd"/>
      <w:r w:rsidRPr="00580918">
        <w:rPr>
          <w:rFonts w:eastAsia="Calibri" w:cs="Times New Roman"/>
          <w:szCs w:val="22"/>
          <w:lang w:val="en-US" w:eastAsia="es-CO"/>
        </w:rPr>
        <w:t xml:space="preserve"> Li, Y. (2009). Institutional structure of sustainable development in BRICs: Focusing on ICT utilization. </w:t>
      </w:r>
      <w:proofErr w:type="spellStart"/>
      <w:r w:rsidRPr="00580918">
        <w:rPr>
          <w:rFonts w:eastAsia="Calibri" w:cs="Times New Roman"/>
          <w:szCs w:val="22"/>
          <w:lang w:val="es-ES" w:eastAsia="es-CO"/>
        </w:rPr>
        <w:t>Technology</w:t>
      </w:r>
      <w:proofErr w:type="spellEnd"/>
      <w:r w:rsidRPr="00580918">
        <w:rPr>
          <w:rFonts w:eastAsia="Calibri" w:cs="Times New Roman"/>
          <w:szCs w:val="22"/>
          <w:lang w:val="es-ES" w:eastAsia="es-CO"/>
        </w:rPr>
        <w:t xml:space="preserve"> in </w:t>
      </w:r>
      <w:proofErr w:type="spellStart"/>
      <w:r w:rsidRPr="00580918">
        <w:rPr>
          <w:rFonts w:eastAsia="Calibri" w:cs="Times New Roman"/>
          <w:szCs w:val="22"/>
          <w:lang w:val="es-ES" w:eastAsia="es-CO"/>
        </w:rPr>
        <w:t>Society</w:t>
      </w:r>
      <w:proofErr w:type="spellEnd"/>
      <w:r w:rsidRPr="00580918">
        <w:rPr>
          <w:rFonts w:eastAsia="Calibri" w:cs="Times New Roman"/>
          <w:szCs w:val="22"/>
          <w:lang w:val="es-ES" w:eastAsia="es-CO"/>
        </w:rPr>
        <w:t xml:space="preserve"> 31 (2009) 9–28</w:t>
      </w:r>
    </w:p>
    <w:p w:rsidR="00580918" w:rsidRPr="00580918" w:rsidRDefault="00580918" w:rsidP="00600790">
      <w:pPr>
        <w:numPr>
          <w:ilvl w:val="0"/>
          <w:numId w:val="4"/>
        </w:numPr>
        <w:spacing w:before="120" w:after="120"/>
        <w:jc w:val="left"/>
        <w:rPr>
          <w:rFonts w:eastAsia="Calibri" w:cs="Times New Roman"/>
          <w:szCs w:val="22"/>
          <w:lang w:val="es-ES" w:eastAsia="es-CO"/>
        </w:rPr>
      </w:pPr>
      <w:proofErr w:type="spellStart"/>
      <w:r w:rsidRPr="00580918">
        <w:rPr>
          <w:rFonts w:eastAsia="Calibri" w:cs="Times New Roman"/>
          <w:szCs w:val="22"/>
          <w:lang w:val="en-US" w:eastAsia="es-CO"/>
        </w:rPr>
        <w:t>Zuhdi</w:t>
      </w:r>
      <w:proofErr w:type="spellEnd"/>
      <w:r w:rsidRPr="00580918">
        <w:rPr>
          <w:rFonts w:eastAsia="Calibri" w:cs="Times New Roman"/>
          <w:szCs w:val="22"/>
          <w:lang w:val="en-US" w:eastAsia="es-CO"/>
        </w:rPr>
        <w:t xml:space="preserve">, U., Mori, S. &amp; </w:t>
      </w:r>
      <w:proofErr w:type="spellStart"/>
      <w:r w:rsidRPr="00580918">
        <w:rPr>
          <w:rFonts w:eastAsia="Calibri" w:cs="Times New Roman"/>
          <w:szCs w:val="22"/>
          <w:lang w:val="en-US" w:eastAsia="es-CO"/>
        </w:rPr>
        <w:t>Kamegai</w:t>
      </w:r>
      <w:proofErr w:type="spellEnd"/>
      <w:r w:rsidRPr="00580918">
        <w:rPr>
          <w:rFonts w:eastAsia="Calibri" w:cs="Times New Roman"/>
          <w:szCs w:val="22"/>
          <w:lang w:val="en-US" w:eastAsia="es-CO"/>
        </w:rPr>
        <w:t xml:space="preserve">, K. (2012). Analyzing the role of ICT sector to the national economic structural changes by decomposition analysis: The case of Indonesia and Japan. </w:t>
      </w:r>
      <w:proofErr w:type="spellStart"/>
      <w:r w:rsidRPr="00580918">
        <w:rPr>
          <w:rFonts w:eastAsia="Calibri" w:cs="Times New Roman"/>
          <w:szCs w:val="22"/>
          <w:lang w:val="es-ES" w:eastAsia="es-CO"/>
        </w:rPr>
        <w:t>Procedia</w:t>
      </w:r>
      <w:proofErr w:type="spellEnd"/>
      <w:r w:rsidRPr="00580918">
        <w:rPr>
          <w:rFonts w:eastAsia="Calibri" w:cs="Times New Roman"/>
          <w:szCs w:val="22"/>
          <w:lang w:val="es-ES" w:eastAsia="es-CO"/>
        </w:rPr>
        <w:t xml:space="preserve"> - Social and </w:t>
      </w:r>
      <w:proofErr w:type="spellStart"/>
      <w:r w:rsidRPr="00580918">
        <w:rPr>
          <w:rFonts w:eastAsia="Calibri" w:cs="Times New Roman"/>
          <w:szCs w:val="22"/>
          <w:lang w:val="es-ES" w:eastAsia="es-CO"/>
        </w:rPr>
        <w:t>Behavioral</w:t>
      </w:r>
      <w:proofErr w:type="spellEnd"/>
      <w:r w:rsidRPr="00580918">
        <w:rPr>
          <w:rFonts w:eastAsia="Calibri" w:cs="Times New Roman"/>
          <w:szCs w:val="22"/>
          <w:lang w:val="es-ES" w:eastAsia="es-CO"/>
        </w:rPr>
        <w:t xml:space="preserve"> </w:t>
      </w:r>
      <w:proofErr w:type="spellStart"/>
      <w:r w:rsidRPr="00580918">
        <w:rPr>
          <w:rFonts w:eastAsia="Calibri" w:cs="Times New Roman"/>
          <w:szCs w:val="22"/>
          <w:lang w:val="es-ES" w:eastAsia="es-CO"/>
        </w:rPr>
        <w:t>Sciences</w:t>
      </w:r>
      <w:proofErr w:type="spellEnd"/>
      <w:r w:rsidRPr="00580918">
        <w:rPr>
          <w:rFonts w:eastAsia="Calibri" w:cs="Times New Roman"/>
          <w:szCs w:val="22"/>
          <w:lang w:val="es-ES" w:eastAsia="es-CO"/>
        </w:rPr>
        <w:t xml:space="preserve"> 65 ( 2012 ) 749 – 754</w:t>
      </w:r>
    </w:p>
    <w:p w:rsidR="00580918" w:rsidRPr="00580918" w:rsidRDefault="00580918" w:rsidP="00580918">
      <w:pPr>
        <w:spacing w:before="120" w:after="120"/>
        <w:rPr>
          <w:rFonts w:eastAsia="Calibri" w:cs="Times New Roman"/>
          <w:szCs w:val="22"/>
          <w:lang w:val="en-US" w:eastAsia="es-CO"/>
        </w:rPr>
      </w:pPr>
    </w:p>
    <w:p w:rsidR="007700A9" w:rsidRPr="007700A9" w:rsidRDefault="007700A9" w:rsidP="007700A9">
      <w:pPr>
        <w:spacing w:before="120" w:after="120"/>
        <w:rPr>
          <w:rFonts w:eastAsia="Calibri" w:cs="Times New Roman"/>
          <w:lang w:val="en-US"/>
        </w:rPr>
      </w:pPr>
    </w:p>
    <w:p w:rsidR="007700A9" w:rsidRPr="007700A9" w:rsidRDefault="007700A9" w:rsidP="007700A9">
      <w:pPr>
        <w:spacing w:before="120" w:after="120"/>
        <w:rPr>
          <w:rFonts w:eastAsia="Calibri" w:cs="Times New Roman"/>
        </w:rPr>
      </w:pPr>
    </w:p>
    <w:p w:rsidR="00515D9C" w:rsidRDefault="00515D9C"/>
    <w:sectPr w:rsidR="00515D9C" w:rsidSect="00F63BCD">
      <w:headerReference w:type="default" r:id="rId114"/>
      <w:footerReference w:type="default" r:id="rId115"/>
      <w:type w:val="continuous"/>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5F87" w:rsidRDefault="00845F87" w:rsidP="007700A9">
      <w:pPr>
        <w:spacing w:line="240" w:lineRule="auto"/>
      </w:pPr>
      <w:r>
        <w:separator/>
      </w:r>
    </w:p>
  </w:endnote>
  <w:endnote w:type="continuationSeparator" w:id="0">
    <w:p w:rsidR="00845F87" w:rsidRDefault="00845F87" w:rsidP="007700A9">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MT">
    <w:panose1 w:val="00000000000000000000"/>
    <w:charset w:val="00"/>
    <w:family w:val="swiss"/>
    <w:notTrueType/>
    <w:pitch w:val="default"/>
    <w:sig w:usb0="00000003" w:usb1="00000000" w:usb2="00000000" w:usb3="00000000" w:csb0="00000001" w:csb1="00000000"/>
  </w:font>
  <w:font w:name="Times New Roman Negrita">
    <w:altName w:val="Times New Roman"/>
    <w:panose1 w:val="00000000000000000000"/>
    <w:charset w:val="00"/>
    <w:family w:val="roman"/>
    <w:notTrueType/>
    <w:pitch w:val="default"/>
    <w:sig w:usb0="00000003" w:usb1="00000000" w:usb2="00000000" w:usb3="00000000" w:csb0="00000001" w:csb1="00000000"/>
  </w:font>
  <w:font w:name="Lucida Grande">
    <w:altName w:val="Times New Roman"/>
    <w:charset w:val="00"/>
    <w:family w:val="roman"/>
    <w:pitch w:val="default"/>
    <w:sig w:usb0="00000000" w:usb1="00000000" w:usb2="00000000" w:usb3="00000000" w:csb0="00000000" w:csb1="00000000"/>
  </w:font>
  <w:font w:name="Iskoola Pota">
    <w:panose1 w:val="020B0502040204020203"/>
    <w:charset w:val="00"/>
    <w:family w:val="swiss"/>
    <w:pitch w:val="variable"/>
    <w:sig w:usb0="00000003" w:usb1="00000000" w:usb2="00000200" w:usb3="00000000" w:csb0="00000001" w:csb1="00000000"/>
  </w:font>
  <w:font w:name="Cambria Math">
    <w:panose1 w:val="02040503050406030204"/>
    <w:charset w:val="00"/>
    <w:family w:val="roman"/>
    <w:pitch w:val="variable"/>
    <w:sig w:usb0="E00002FF" w:usb1="420024FF" w:usb2="00000000" w:usb3="00000000" w:csb0="0000019F" w:csb1="00000000"/>
  </w:font>
  <w:font w:name="Impact">
    <w:panose1 w:val="020B0806030902050204"/>
    <w:charset w:val="00"/>
    <w:family w:val="swiss"/>
    <w:pitch w:val="variable"/>
    <w:sig w:usb0="00000287" w:usb1="00000000" w:usb2="00000000" w:usb3="00000000" w:csb0="0000009F" w:csb1="00000000"/>
  </w:font>
  <w:font w:name="CenturyGothic">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F87" w:rsidRDefault="00845F87">
    <w:pPr>
      <w:pStyle w:val="Piedepgina"/>
      <w:jc w:val="center"/>
    </w:pPr>
  </w:p>
  <w:p w:rsidR="00845F87" w:rsidRDefault="00845F87">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F87" w:rsidRPr="003A7D74" w:rsidRDefault="00845F87">
    <w:pPr>
      <w:pStyle w:val="Piedepgina"/>
      <w:jc w:val="center"/>
      <w:rPr>
        <w:rFonts w:ascii="Garamond" w:hAnsi="Garamond"/>
        <w:sz w:val="26"/>
        <w:szCs w:val="26"/>
      </w:rPr>
    </w:pPr>
    <w:r w:rsidRPr="00C94AA3">
      <w:rPr>
        <w:rFonts w:ascii="Garamond" w:hAnsi="Garamond"/>
        <w:sz w:val="26"/>
        <w:szCs w:val="26"/>
        <w:lang w:val="es-CO"/>
      </w:rPr>
      <w:fldChar w:fldCharType="begin"/>
    </w:r>
    <w:r w:rsidRPr="003A7D74">
      <w:rPr>
        <w:rFonts w:ascii="Garamond" w:hAnsi="Garamond"/>
        <w:sz w:val="26"/>
        <w:szCs w:val="26"/>
      </w:rPr>
      <w:instrText>PAGE   \* MERGEFORMAT</w:instrText>
    </w:r>
    <w:r w:rsidRPr="00C94AA3">
      <w:rPr>
        <w:rFonts w:ascii="Garamond" w:hAnsi="Garamond"/>
        <w:sz w:val="26"/>
        <w:szCs w:val="26"/>
        <w:lang w:val="es-CO"/>
      </w:rPr>
      <w:fldChar w:fldCharType="separate"/>
    </w:r>
    <w:r w:rsidRPr="00845F87">
      <w:rPr>
        <w:rFonts w:ascii="Garamond" w:hAnsi="Garamond"/>
        <w:noProof/>
        <w:sz w:val="26"/>
        <w:szCs w:val="26"/>
        <w:lang w:val="es-ES"/>
      </w:rPr>
      <w:t>ii</w:t>
    </w:r>
    <w:r w:rsidRPr="003A7D74">
      <w:rPr>
        <w:rFonts w:ascii="Garamond" w:hAnsi="Garamond"/>
        <w:noProof/>
        <w:sz w:val="26"/>
        <w:szCs w:val="26"/>
        <w:lang w:val="es-ES"/>
      </w:rPr>
      <w:fldChar w:fldCharType="end"/>
    </w:r>
  </w:p>
  <w:p w:rsidR="00845F87" w:rsidRDefault="00845F87">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F87" w:rsidRDefault="00845F87">
    <w:pPr>
      <w:pStyle w:val="Piedepgin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F87" w:rsidRDefault="00845F87">
    <w:pPr>
      <w:pStyle w:val="Piedepgina"/>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F87" w:rsidRDefault="00845F87">
    <w:pPr>
      <w:pStyle w:val="Piedepgina"/>
    </w:pPr>
    <w:r>
      <w:rPr>
        <w:noProof/>
        <w:lang w:val="es-CO" w:eastAsia="es-CO"/>
      </w:rPr>
      <w:pict>
        <v:rect id="Rectángulo 22" o:spid="_x0000_s2049" style="position:absolute;left:0;text-align:left;margin-left:529.5pt;margin-top:512.65pt;width:52.9pt;height:171.9pt;z-index:251660288;visibility:visible;mso-position-horizontal-relative:page;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" o:allowincell="f" filled="f" stroked="f">
          <v:textbox style="layout-flow:vertical;mso-layout-flow-alt:bottom-to-top;mso-fit-shape-to-text:t">
            <w:txbxContent>
              <w:p w:rsidR="00845F87" w:rsidRPr="00896F5C" w:rsidRDefault="00845F87" w:rsidP="003A2765">
                <w:pPr>
                  <w:pStyle w:val="Piedepgina"/>
                  <w:rPr>
                    <w:rFonts w:ascii="Cambria" w:hAnsi="Cambria"/>
                    <w:sz w:val="44"/>
                    <w:szCs w:val="44"/>
                  </w:rPr>
                </w:pPr>
                <w:r w:rsidRPr="006127B0">
                  <w:rPr>
                    <w:rFonts w:ascii="Cambria" w:hAnsi="Cambria"/>
                    <w:sz w:val="22"/>
                    <w:szCs w:val="22"/>
                    <w:lang w:val="es-ES"/>
                  </w:rPr>
                  <w:t>Página</w:t>
                </w:r>
                <w:r w:rsidRPr="00C94AA3">
                  <w:rPr>
                    <w:lang w:val="es-CO"/>
                  </w:rPr>
                  <w:fldChar w:fldCharType="begin"/>
                </w:r>
                <w:r>
                  <w:instrText>PAGE    \* MERGEFORMAT</w:instrText>
                </w:r>
                <w:r w:rsidRPr="00C94AA3">
                  <w:rPr>
                    <w:lang w:val="es-CO"/>
                  </w:rPr>
                  <w:fldChar w:fldCharType="separate"/>
                </w:r>
                <w:r w:rsidR="00052E37" w:rsidRPr="00052E37">
                  <w:rPr>
                    <w:rFonts w:ascii="Cambria" w:hAnsi="Cambria"/>
                    <w:noProof/>
                    <w:sz w:val="44"/>
                    <w:szCs w:val="44"/>
                    <w:lang w:val="es-ES"/>
                  </w:rPr>
                  <w:t>57</w:t>
                </w:r>
                <w:r>
                  <w:rPr>
                    <w:rFonts w:ascii="Cambria" w:hAnsi="Cambria"/>
                    <w:noProof/>
                    <w:sz w:val="44"/>
                    <w:szCs w:val="44"/>
                    <w:lang w:val="es-ES"/>
                  </w:rPr>
                  <w:fldChar w:fldCharType="end"/>
                </w:r>
              </w:p>
            </w:txbxContent>
          </v:textbox>
          <w10:wrap anchorx="page" anchory="margin"/>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5F87" w:rsidRDefault="00845F87" w:rsidP="007700A9">
      <w:pPr>
        <w:spacing w:line="240" w:lineRule="auto"/>
      </w:pPr>
      <w:r>
        <w:separator/>
      </w:r>
    </w:p>
  </w:footnote>
  <w:footnote w:type="continuationSeparator" w:id="0">
    <w:p w:rsidR="00845F87" w:rsidRDefault="00845F87" w:rsidP="007700A9">
      <w:pPr>
        <w:spacing w:line="240" w:lineRule="auto"/>
      </w:pPr>
      <w:r>
        <w:continuationSeparator/>
      </w:r>
    </w:p>
  </w:footnote>
  <w:footnote w:id="1">
    <w:p w:rsidR="00845F87" w:rsidRPr="00415A55" w:rsidRDefault="00845F87" w:rsidP="006127B0">
      <w:pPr>
        <w:pStyle w:val="Textonotapie"/>
        <w:spacing w:before="0"/>
        <w:rPr>
          <w:rFonts w:ascii="Garamond" w:hAnsi="Garamond"/>
          <w:sz w:val="18"/>
          <w:szCs w:val="18"/>
        </w:rPr>
      </w:pPr>
      <w:r w:rsidRPr="00415A55">
        <w:rPr>
          <w:rStyle w:val="Refdenotaalpie"/>
          <w:rFonts w:ascii="Garamond" w:hAnsi="Garamond"/>
          <w:sz w:val="18"/>
          <w:szCs w:val="18"/>
        </w:rPr>
        <w:footnoteRef/>
      </w:r>
      <w:r w:rsidRPr="00415A55">
        <w:rPr>
          <w:rFonts w:ascii="Garamond" w:hAnsi="Garamond"/>
          <w:sz w:val="18"/>
          <w:szCs w:val="18"/>
        </w:rPr>
        <w:t xml:space="preserve"> Debilidades, Oportunidades, Fortalezas y Amenazas</w:t>
      </w:r>
    </w:p>
  </w:footnote>
  <w:footnote w:id="2">
    <w:p w:rsidR="00845F87" w:rsidRPr="00737ACE" w:rsidRDefault="00845F87" w:rsidP="00D11937">
      <w:pPr>
        <w:pStyle w:val="Textonotapie"/>
        <w:spacing w:before="0"/>
        <w:rPr>
          <w:rFonts w:ascii="Garamond" w:hAnsi="Garamond"/>
          <w:sz w:val="18"/>
          <w:szCs w:val="18"/>
        </w:rPr>
      </w:pPr>
      <w:r w:rsidRPr="00737ACE">
        <w:rPr>
          <w:rStyle w:val="Refdenotaalpie"/>
          <w:rFonts w:ascii="Garamond" w:hAnsi="Garamond"/>
          <w:sz w:val="18"/>
          <w:szCs w:val="18"/>
        </w:rPr>
        <w:footnoteRef/>
      </w:r>
      <w:r w:rsidRPr="00737ACE">
        <w:rPr>
          <w:rFonts w:ascii="Garamond" w:hAnsi="Garamond"/>
          <w:sz w:val="18"/>
          <w:szCs w:val="18"/>
        </w:rPr>
        <w:t xml:space="preserve"> Como se mencionó en el informe metodológico, </w:t>
      </w:r>
      <w:r>
        <w:rPr>
          <w:rFonts w:ascii="Garamond" w:hAnsi="Garamond"/>
          <w:sz w:val="18"/>
          <w:szCs w:val="18"/>
        </w:rPr>
        <w:t>e</w:t>
      </w:r>
      <w:r w:rsidRPr="00737ACE">
        <w:rPr>
          <w:rFonts w:ascii="Garamond" w:hAnsi="Garamond"/>
          <w:sz w:val="18"/>
          <w:szCs w:val="18"/>
        </w:rPr>
        <w:t xml:space="preserve">sta es una lista ampliada cuyo análisis y seguimiento está sujeto a modificación de acuerdo con la disponibilidad de información. </w:t>
      </w:r>
    </w:p>
  </w:footnote>
  <w:footnote w:id="3">
    <w:p w:rsidR="00845F87" w:rsidRPr="00733466" w:rsidRDefault="00845F87" w:rsidP="00F2483A">
      <w:pPr>
        <w:pStyle w:val="Textonotapie"/>
        <w:spacing w:before="0"/>
        <w:rPr>
          <w:rFonts w:ascii="Garamond" w:hAnsi="Garamond"/>
          <w:sz w:val="18"/>
          <w:szCs w:val="18"/>
        </w:rPr>
      </w:pPr>
      <w:r w:rsidRPr="00733466">
        <w:rPr>
          <w:rStyle w:val="Refdenotaalpie"/>
          <w:rFonts w:ascii="Garamond" w:hAnsi="Garamond"/>
          <w:sz w:val="18"/>
          <w:szCs w:val="18"/>
        </w:rPr>
        <w:footnoteRef/>
      </w:r>
      <w:r w:rsidRPr="00733466">
        <w:rPr>
          <w:rFonts w:ascii="Garamond" w:hAnsi="Garamond"/>
          <w:sz w:val="18"/>
          <w:szCs w:val="18"/>
        </w:rPr>
        <w:t xml:space="preserve"> Ver </w:t>
      </w:r>
      <w:r>
        <w:rPr>
          <w:rFonts w:ascii="Garamond" w:hAnsi="Garamond"/>
          <w:sz w:val="18"/>
          <w:szCs w:val="18"/>
        </w:rPr>
        <w:t>Capítulo</w:t>
      </w:r>
      <w:r w:rsidRPr="00733466">
        <w:rPr>
          <w:rFonts w:ascii="Garamond" w:hAnsi="Garamond"/>
          <w:sz w:val="18"/>
          <w:szCs w:val="18"/>
        </w:rPr>
        <w:t xml:space="preserve"> 1</w:t>
      </w:r>
    </w:p>
  </w:footnote>
  <w:footnote w:id="4">
    <w:p w:rsidR="00845F87" w:rsidRPr="00C9347A" w:rsidRDefault="00845F87" w:rsidP="00D11937">
      <w:pPr>
        <w:pStyle w:val="Textonotapie"/>
        <w:spacing w:before="0"/>
        <w:rPr>
          <w:rFonts w:ascii="Garamond" w:hAnsi="Garamond"/>
          <w:sz w:val="18"/>
          <w:szCs w:val="18"/>
        </w:rPr>
      </w:pPr>
      <w:r w:rsidRPr="00C9347A">
        <w:rPr>
          <w:rStyle w:val="Refdenotaalpie"/>
          <w:rFonts w:ascii="Garamond" w:hAnsi="Garamond"/>
          <w:sz w:val="18"/>
          <w:szCs w:val="18"/>
        </w:rPr>
        <w:footnoteRef/>
      </w:r>
      <w:r w:rsidRPr="00C9347A">
        <w:rPr>
          <w:rFonts w:ascii="Garamond" w:hAnsi="Garamond"/>
          <w:sz w:val="18"/>
          <w:szCs w:val="18"/>
        </w:rPr>
        <w:t xml:space="preserve"> Se mantiene la numeración de la introducción del capí</w:t>
      </w:r>
      <w:r>
        <w:rPr>
          <w:rFonts w:ascii="Garamond" w:hAnsi="Garamond"/>
          <w:sz w:val="18"/>
          <w:szCs w:val="18"/>
        </w:rPr>
        <w:t>tulo.</w:t>
      </w:r>
    </w:p>
  </w:footnote>
  <w:footnote w:id="5">
    <w:p w:rsidR="00845F87" w:rsidRPr="00C9347A" w:rsidRDefault="00845F87" w:rsidP="00D11937">
      <w:pPr>
        <w:pStyle w:val="Textonotapie"/>
        <w:spacing w:before="0"/>
        <w:rPr>
          <w:rFonts w:ascii="Garamond" w:hAnsi="Garamond"/>
          <w:sz w:val="18"/>
          <w:szCs w:val="18"/>
        </w:rPr>
      </w:pPr>
      <w:r w:rsidRPr="00C9347A">
        <w:rPr>
          <w:rStyle w:val="Refdenotaalpie"/>
          <w:rFonts w:ascii="Garamond" w:hAnsi="Garamond"/>
          <w:sz w:val="18"/>
          <w:szCs w:val="18"/>
        </w:rPr>
        <w:footnoteRef/>
      </w:r>
      <w:r w:rsidRPr="00C9347A">
        <w:rPr>
          <w:rFonts w:ascii="Garamond" w:hAnsi="Garamond"/>
          <w:sz w:val="18"/>
          <w:szCs w:val="18"/>
        </w:rPr>
        <w:t xml:space="preserve"> Capítulo 2, informe 2.</w:t>
      </w:r>
    </w:p>
  </w:footnote>
  <w:footnote w:id="6">
    <w:p w:rsidR="00845F87" w:rsidRPr="008C2479" w:rsidRDefault="00845F87" w:rsidP="00D11937">
      <w:pPr>
        <w:pStyle w:val="Textonotapie"/>
        <w:spacing w:before="0"/>
        <w:rPr>
          <w:rFonts w:ascii="Garamond" w:hAnsi="Garamond"/>
          <w:sz w:val="18"/>
          <w:szCs w:val="18"/>
        </w:rPr>
      </w:pPr>
      <w:r w:rsidRPr="008C2479">
        <w:rPr>
          <w:rStyle w:val="Refdenotaalpie"/>
          <w:rFonts w:ascii="Garamond" w:eastAsia="Calibri" w:hAnsi="Garamond"/>
          <w:sz w:val="18"/>
          <w:szCs w:val="18"/>
        </w:rPr>
        <w:footnoteRef/>
      </w:r>
      <w:r w:rsidRPr="008C2479">
        <w:rPr>
          <w:rFonts w:ascii="Garamond" w:hAnsi="Garamond"/>
          <w:sz w:val="18"/>
          <w:szCs w:val="18"/>
        </w:rPr>
        <w:t xml:space="preserve"> Los cuales consideran accesos fijos de banda ancha y suscripciones móviles de 3G o superiores</w:t>
      </w:r>
    </w:p>
  </w:footnote>
  <w:footnote w:id="7">
    <w:p w:rsidR="00845F87" w:rsidRPr="008C2479" w:rsidRDefault="00845F87" w:rsidP="00D11937">
      <w:pPr>
        <w:pStyle w:val="Textonotapie"/>
        <w:spacing w:before="0"/>
        <w:rPr>
          <w:rFonts w:ascii="Garamond" w:hAnsi="Garamond"/>
          <w:sz w:val="18"/>
          <w:szCs w:val="18"/>
        </w:rPr>
      </w:pPr>
      <w:r w:rsidRPr="008C2479">
        <w:rPr>
          <w:rStyle w:val="Refdenotaalpie"/>
          <w:rFonts w:ascii="Garamond" w:eastAsia="Calibri" w:hAnsi="Garamond"/>
          <w:sz w:val="18"/>
          <w:szCs w:val="18"/>
        </w:rPr>
        <w:footnoteRef/>
      </w:r>
      <w:r w:rsidRPr="008C2479">
        <w:rPr>
          <w:rFonts w:ascii="Garamond" w:hAnsi="Garamond"/>
          <w:sz w:val="18"/>
          <w:szCs w:val="18"/>
        </w:rPr>
        <w:t xml:space="preserve"> Conforme a proyección del DANE para cada año para cada una de estas variables a nivel nacional</w:t>
      </w:r>
    </w:p>
  </w:footnote>
  <w:footnote w:id="8">
    <w:p w:rsidR="00845F87" w:rsidRPr="00035879" w:rsidRDefault="00845F87" w:rsidP="00D11937">
      <w:pPr>
        <w:pStyle w:val="Textonotapie"/>
        <w:spacing w:before="0"/>
        <w:rPr>
          <w:rFonts w:ascii="Garamond" w:hAnsi="Garamond"/>
          <w:sz w:val="18"/>
          <w:szCs w:val="18"/>
          <w:lang w:val="en-US"/>
        </w:rPr>
      </w:pPr>
      <w:r w:rsidRPr="00217C43">
        <w:rPr>
          <w:rStyle w:val="Refdenotaalpie"/>
          <w:rFonts w:ascii="Garamond" w:hAnsi="Garamond"/>
          <w:sz w:val="18"/>
          <w:szCs w:val="18"/>
        </w:rPr>
        <w:footnoteRef/>
      </w:r>
      <w:r w:rsidRPr="00035879">
        <w:rPr>
          <w:rFonts w:ascii="Garamond" w:hAnsi="Garamond"/>
          <w:sz w:val="18"/>
          <w:szCs w:val="18"/>
          <w:lang w:val="en-US"/>
        </w:rPr>
        <w:t xml:space="preserve"> </w:t>
      </w:r>
      <w:proofErr w:type="gramStart"/>
      <w:r w:rsidRPr="00035879">
        <w:rPr>
          <w:rFonts w:ascii="Garamond" w:hAnsi="Garamond"/>
          <w:sz w:val="18"/>
          <w:szCs w:val="18"/>
          <w:lang w:val="en-US"/>
        </w:rPr>
        <w:t>MINTIC.</w:t>
      </w:r>
      <w:proofErr w:type="gramEnd"/>
      <w:r w:rsidRPr="00035879">
        <w:rPr>
          <w:rFonts w:ascii="Garamond" w:hAnsi="Garamond"/>
          <w:sz w:val="18"/>
          <w:szCs w:val="18"/>
          <w:lang w:val="en-US"/>
        </w:rPr>
        <w:t xml:space="preserve"> </w:t>
      </w:r>
      <w:r>
        <w:fldChar w:fldCharType="begin"/>
      </w:r>
      <w:r w:rsidRPr="00845F87">
        <w:rPr>
          <w:lang w:val="en-US"/>
        </w:rPr>
        <w:instrText>HYPERLINK "http://vivedigital.gov.co/participa/"</w:instrText>
      </w:r>
      <w:r>
        <w:fldChar w:fldCharType="separate"/>
      </w:r>
      <w:r w:rsidRPr="00035879">
        <w:rPr>
          <w:rStyle w:val="Hipervnculo"/>
          <w:rFonts w:ascii="Garamond" w:eastAsiaTheme="majorEastAsia" w:hAnsi="Garamond"/>
          <w:sz w:val="18"/>
          <w:szCs w:val="18"/>
          <w:lang w:val="en-US"/>
        </w:rPr>
        <w:t>http://vivedigital.gov.co/participa/</w:t>
      </w:r>
      <w:r>
        <w:fldChar w:fldCharType="end"/>
      </w:r>
    </w:p>
  </w:footnote>
  <w:footnote w:id="9">
    <w:p w:rsidR="00845F87" w:rsidRPr="00566E72" w:rsidRDefault="00845F87" w:rsidP="00CC4175">
      <w:pPr>
        <w:pStyle w:val="Textonotapie"/>
        <w:spacing w:before="0"/>
        <w:rPr>
          <w:rFonts w:ascii="Garamond" w:hAnsi="Garamond"/>
          <w:sz w:val="18"/>
          <w:szCs w:val="18"/>
        </w:rPr>
      </w:pPr>
      <w:r w:rsidRPr="00566E72">
        <w:rPr>
          <w:rStyle w:val="Refdenotaalpie"/>
          <w:rFonts w:ascii="Garamond" w:hAnsi="Garamond"/>
          <w:sz w:val="18"/>
          <w:szCs w:val="18"/>
        </w:rPr>
        <w:footnoteRef/>
      </w:r>
      <w:r w:rsidRPr="00566E72">
        <w:rPr>
          <w:rFonts w:ascii="Garamond" w:hAnsi="Garamond"/>
          <w:sz w:val="18"/>
          <w:szCs w:val="18"/>
        </w:rPr>
        <w:t xml:space="preserve"> </w:t>
      </w:r>
      <w:r>
        <w:rPr>
          <w:rFonts w:ascii="Garamond" w:hAnsi="Garamond"/>
          <w:sz w:val="18"/>
          <w:szCs w:val="18"/>
        </w:rPr>
        <w:t>El análisis de este punto se ampliará en la siguiente etapa de la evaluación, en el desarrollo del levantamiento y análisis de información regional.</w:t>
      </w:r>
    </w:p>
  </w:footnote>
  <w:footnote w:id="10">
    <w:p w:rsidR="00845F87" w:rsidRPr="0097130E" w:rsidRDefault="00845F87" w:rsidP="00D11937">
      <w:pPr>
        <w:spacing w:before="0"/>
        <w:rPr>
          <w:sz w:val="18"/>
          <w:szCs w:val="18"/>
        </w:rPr>
      </w:pPr>
      <w:r w:rsidRPr="00317A8E">
        <w:rPr>
          <w:rStyle w:val="Refdenotaalpie"/>
          <w:sz w:val="18"/>
          <w:szCs w:val="18"/>
        </w:rPr>
        <w:footnoteRef/>
      </w:r>
      <w:r w:rsidRPr="00317A8E">
        <w:rPr>
          <w:sz w:val="18"/>
          <w:szCs w:val="18"/>
        </w:rPr>
        <w:t xml:space="preserve"> </w:t>
      </w:r>
      <w:r>
        <w:rPr>
          <w:sz w:val="18"/>
          <w:szCs w:val="18"/>
        </w:rPr>
        <w:t xml:space="preserve">Rodríguez C., Sánchez F. y Márquez J. (2011). </w:t>
      </w:r>
      <w:r w:rsidRPr="00317A8E">
        <w:rPr>
          <w:sz w:val="18"/>
          <w:szCs w:val="18"/>
        </w:rPr>
        <w:t xml:space="preserve">Universidad de los Andes. Impacto del programa “computadores para educar” en la deserción estudiantil, el logro escolar y el ingreso a la </w:t>
      </w:r>
      <w:r>
        <w:rPr>
          <w:sz w:val="18"/>
          <w:szCs w:val="18"/>
        </w:rPr>
        <w:t>educación superior. Documentos CEDE. 15</w:t>
      </w:r>
    </w:p>
  </w:footnote>
  <w:footnote w:id="11">
    <w:p w:rsidR="00845F87" w:rsidRPr="00513C63" w:rsidRDefault="00845F87" w:rsidP="00D11937">
      <w:pPr>
        <w:pStyle w:val="Textonotapie"/>
        <w:spacing w:before="0"/>
        <w:jc w:val="left"/>
        <w:rPr>
          <w:rFonts w:ascii="Garamond" w:hAnsi="Garamond"/>
          <w:sz w:val="18"/>
          <w:szCs w:val="18"/>
        </w:rPr>
      </w:pPr>
      <w:r w:rsidRPr="00513C63">
        <w:rPr>
          <w:rStyle w:val="Refdenotaalpie"/>
          <w:rFonts w:ascii="Garamond" w:eastAsia="Calibri" w:hAnsi="Garamond"/>
          <w:sz w:val="18"/>
          <w:szCs w:val="18"/>
        </w:rPr>
        <w:footnoteRef/>
      </w:r>
      <w:r w:rsidRPr="00513C63">
        <w:rPr>
          <w:rFonts w:ascii="Garamond" w:hAnsi="Garamond"/>
          <w:sz w:val="18"/>
          <w:szCs w:val="18"/>
        </w:rPr>
        <w:t xml:space="preserve"> Conforme a descripción técnica del código según consulta en http://www.4-72.com.co/index.php?option=com_content&amp;view=article&amp;id=1970&amp;Itemid=393</w:t>
      </w:r>
    </w:p>
  </w:footnote>
  <w:footnote w:id="12">
    <w:p w:rsidR="00845F87" w:rsidRPr="0062594C" w:rsidRDefault="00845F87" w:rsidP="00D11937">
      <w:pPr>
        <w:pStyle w:val="Textonotapie"/>
        <w:spacing w:before="0"/>
        <w:rPr>
          <w:rFonts w:ascii="Garamond" w:hAnsi="Garamond"/>
          <w:sz w:val="18"/>
          <w:szCs w:val="18"/>
        </w:rPr>
      </w:pPr>
      <w:r>
        <w:rPr>
          <w:rStyle w:val="Refdenotaalpie"/>
          <w:rFonts w:eastAsia="Calibri"/>
        </w:rPr>
        <w:footnoteRef/>
      </w:r>
      <w:r>
        <w:t xml:space="preserve"> </w:t>
      </w:r>
      <w:r w:rsidRPr="0062594C">
        <w:rPr>
          <w:rFonts w:ascii="Garamond" w:hAnsi="Garamond"/>
          <w:sz w:val="18"/>
          <w:szCs w:val="18"/>
        </w:rPr>
        <w:t>Metas que coinciden en general con las fijadas a los concesionarios privados</w:t>
      </w:r>
    </w:p>
  </w:footnote>
  <w:footnote w:id="13">
    <w:p w:rsidR="00845F87" w:rsidRPr="00035879" w:rsidRDefault="00845F87" w:rsidP="00D11937">
      <w:pPr>
        <w:pStyle w:val="Textonotapie"/>
        <w:spacing w:before="0"/>
        <w:rPr>
          <w:rFonts w:ascii="Garamond" w:hAnsi="Garamond"/>
          <w:sz w:val="18"/>
          <w:szCs w:val="18"/>
          <w:lang w:val="es-CO"/>
        </w:rPr>
      </w:pPr>
      <w:r w:rsidRPr="00135819">
        <w:rPr>
          <w:rStyle w:val="Refdenotaalpie"/>
          <w:rFonts w:ascii="Garamond" w:hAnsi="Garamond"/>
          <w:sz w:val="18"/>
          <w:szCs w:val="18"/>
        </w:rPr>
        <w:footnoteRef/>
      </w:r>
      <w:r w:rsidRPr="00135819">
        <w:rPr>
          <w:rFonts w:ascii="Garamond" w:hAnsi="Garamond"/>
          <w:sz w:val="18"/>
          <w:szCs w:val="18"/>
          <w:lang w:val="en-US"/>
        </w:rPr>
        <w:t xml:space="preserve"> MINTIC: </w:t>
      </w:r>
      <w:r>
        <w:fldChar w:fldCharType="begin"/>
      </w:r>
      <w:r w:rsidRPr="00845F87">
        <w:rPr>
          <w:lang w:val="en-US"/>
        </w:rPr>
        <w:instrText>HYPERLINK "http://www.mintic.gov.co/index.php/vive-digital-logros/2010-2012"</w:instrText>
      </w:r>
      <w:r>
        <w:fldChar w:fldCharType="separate"/>
      </w:r>
      <w:r w:rsidRPr="00135819">
        <w:rPr>
          <w:rStyle w:val="Hipervnculo"/>
          <w:rFonts w:ascii="Garamond" w:hAnsi="Garamond"/>
          <w:sz w:val="18"/>
          <w:szCs w:val="18"/>
          <w:lang w:val="en-US"/>
        </w:rPr>
        <w:t>http://www.mintic.gov.co/index.php/vive-digital-logros/2010-2012#</w:t>
      </w:r>
      <w:r>
        <w:fldChar w:fldCharType="end"/>
      </w:r>
      <w:r w:rsidRPr="00135819">
        <w:rPr>
          <w:rFonts w:ascii="Garamond" w:hAnsi="Garamond"/>
          <w:sz w:val="18"/>
          <w:szCs w:val="18"/>
          <w:lang w:val="en-US"/>
        </w:rPr>
        <w:t xml:space="preserve">. </w:t>
      </w:r>
      <w:r w:rsidRPr="00507BCB">
        <w:rPr>
          <w:rFonts w:ascii="Garamond" w:hAnsi="Garamond"/>
          <w:sz w:val="18"/>
          <w:szCs w:val="18"/>
          <w:lang w:val="es-CO"/>
        </w:rPr>
        <w:t>Consultado</w:t>
      </w:r>
      <w:r w:rsidRPr="00035879">
        <w:rPr>
          <w:rFonts w:ascii="Garamond" w:hAnsi="Garamond"/>
          <w:sz w:val="18"/>
          <w:szCs w:val="18"/>
          <w:lang w:val="es-CO"/>
        </w:rPr>
        <w:t xml:space="preserve"> el 23/12/2013. </w:t>
      </w:r>
    </w:p>
  </w:footnote>
  <w:footnote w:id="14">
    <w:p w:rsidR="00845F87" w:rsidRPr="008A74F1" w:rsidRDefault="00845F87" w:rsidP="008A74F1">
      <w:pPr>
        <w:pStyle w:val="Textonotapie"/>
        <w:spacing w:before="0"/>
        <w:rPr>
          <w:rFonts w:ascii="Garamond" w:hAnsi="Garamond"/>
          <w:sz w:val="18"/>
          <w:szCs w:val="18"/>
          <w:lang w:val="es-CO"/>
        </w:rPr>
      </w:pPr>
      <w:r w:rsidRPr="008A74F1">
        <w:rPr>
          <w:rStyle w:val="Refdenotaalpie"/>
          <w:rFonts w:ascii="Garamond" w:hAnsi="Garamond"/>
          <w:sz w:val="18"/>
          <w:szCs w:val="18"/>
        </w:rPr>
        <w:footnoteRef/>
      </w:r>
      <w:r w:rsidRPr="008A74F1">
        <w:rPr>
          <w:rFonts w:ascii="Garamond" w:hAnsi="Garamond"/>
          <w:sz w:val="18"/>
          <w:szCs w:val="18"/>
        </w:rPr>
        <w:t xml:space="preserve"> </w:t>
      </w:r>
      <w:r>
        <w:rPr>
          <w:rFonts w:ascii="Garamond" w:hAnsi="Garamond"/>
          <w:sz w:val="18"/>
          <w:szCs w:val="18"/>
        </w:rPr>
        <w:t>En el Anexo 3 se encuentra el detalle de los resultados de los dos (2) talleres Delphos realizados.</w:t>
      </w:r>
    </w:p>
  </w:footnote>
  <w:footnote w:id="15">
    <w:p w:rsidR="00845F87" w:rsidRPr="003B68F6" w:rsidRDefault="00845F87" w:rsidP="003B68F6">
      <w:pPr>
        <w:pStyle w:val="Textonotapie"/>
        <w:spacing w:before="0"/>
        <w:rPr>
          <w:rFonts w:ascii="Garamond" w:hAnsi="Garamond"/>
        </w:rPr>
      </w:pPr>
      <w:r w:rsidRPr="003B68F6">
        <w:rPr>
          <w:rStyle w:val="Refdenotaalpie"/>
          <w:rFonts w:ascii="Garamond" w:hAnsi="Garamond"/>
        </w:rPr>
        <w:footnoteRef/>
      </w:r>
      <w:r w:rsidRPr="003B68F6">
        <w:rPr>
          <w:rFonts w:ascii="Garamond" w:hAnsi="Garamond"/>
        </w:rPr>
        <w:t xml:space="preserve"> </w:t>
      </w:r>
      <w:r w:rsidRPr="008B625C">
        <w:rPr>
          <w:rFonts w:ascii="Garamond" w:hAnsi="Garamond"/>
        </w:rPr>
        <w:t xml:space="preserve">El Anexo A1 presenta la estimación del modelo </w:t>
      </w:r>
      <w:proofErr w:type="spellStart"/>
      <w:r w:rsidRPr="008B625C">
        <w:rPr>
          <w:rFonts w:ascii="Garamond" w:hAnsi="Garamond"/>
        </w:rPr>
        <w:t>Logit</w:t>
      </w:r>
      <w:proofErr w:type="spellEnd"/>
      <w:r w:rsidRPr="008B625C">
        <w:rPr>
          <w:rFonts w:ascii="Garamond" w:hAnsi="Garamond"/>
        </w:rPr>
        <w:t xml:space="preserve"> de demanda por los cuatro productos considerados y los tres dominios territoriales señalados; y el Anexo A</w:t>
      </w:r>
      <w:r>
        <w:rPr>
          <w:rFonts w:ascii="Garamond" w:hAnsi="Garamond"/>
        </w:rPr>
        <w:t>6</w:t>
      </w:r>
      <w:r w:rsidRPr="008B625C">
        <w:rPr>
          <w:rFonts w:ascii="Garamond" w:hAnsi="Garamond"/>
        </w:rPr>
        <w:t xml:space="preserve"> muestra la metodología del diseño muestral de la ECV, usada para este propósito.</w:t>
      </w:r>
    </w:p>
  </w:footnote>
  <w:footnote w:id="16">
    <w:p w:rsidR="00845F87" w:rsidRPr="00F45AF3" w:rsidRDefault="00845F87" w:rsidP="00D61CF1">
      <w:pPr>
        <w:spacing w:before="0" w:line="240" w:lineRule="auto"/>
        <w:rPr>
          <w:sz w:val="18"/>
          <w:szCs w:val="18"/>
        </w:rPr>
      </w:pPr>
      <w:r>
        <w:rPr>
          <w:rStyle w:val="Refdenotaalpie"/>
        </w:rPr>
        <w:footnoteRef/>
      </w:r>
      <w:r>
        <w:t xml:space="preserve"> </w:t>
      </w:r>
      <w:r w:rsidRPr="00F45AF3">
        <w:rPr>
          <w:rFonts w:eastAsia="Calibri" w:cs="Times New Roman"/>
          <w:sz w:val="18"/>
          <w:szCs w:val="18"/>
        </w:rPr>
        <w:t>La muestra de hogares utilizada excluye los hogares con menos de $200.000 mensuales de ingreso, lo cual evita la presencia de hogares con cero ingreso o</w:t>
      </w:r>
      <w:r>
        <w:rPr>
          <w:rFonts w:eastAsia="Calibri" w:cs="Times New Roman"/>
          <w:sz w:val="18"/>
          <w:szCs w:val="18"/>
        </w:rPr>
        <w:t xml:space="preserve"> con</w:t>
      </w:r>
      <w:r w:rsidRPr="00F45AF3">
        <w:rPr>
          <w:rFonts w:eastAsia="Calibri" w:cs="Times New Roman"/>
          <w:sz w:val="18"/>
          <w:szCs w:val="18"/>
        </w:rPr>
        <w:t xml:space="preserve"> ingresos muy bajos que son posiblemente errores de reporte</w:t>
      </w:r>
      <w:r>
        <w:rPr>
          <w:rFonts w:eastAsia="Calibri" w:cs="Times New Roman"/>
          <w:sz w:val="18"/>
          <w:szCs w:val="18"/>
        </w:rPr>
        <w:t>.</w:t>
      </w:r>
    </w:p>
  </w:footnote>
  <w:footnote w:id="17">
    <w:p w:rsidR="00845F87" w:rsidRPr="00334B50" w:rsidRDefault="00845F87" w:rsidP="00334B50">
      <w:pPr>
        <w:pStyle w:val="PiedePagina"/>
      </w:pPr>
      <w:r>
        <w:rPr>
          <w:rStyle w:val="Refdenotaalpie"/>
        </w:rPr>
        <w:footnoteRef/>
      </w:r>
      <w:r>
        <w:t xml:space="preserve"> El modelo no establece una relación de causalidad ya que para ello se debería realizar una evaluación de impacto. En este caso, el modelo, junto con la revisión documental presentada, atribuyen la causalidad entre acceso y uso de las TIC con un mayor ingreso y reducción de pobreza.</w:t>
      </w:r>
    </w:p>
  </w:footnote>
  <w:footnote w:id="18">
    <w:p w:rsidR="00845F87" w:rsidRPr="000A61AD" w:rsidRDefault="00845F87" w:rsidP="004F5D4A">
      <w:pPr>
        <w:pStyle w:val="PiedePagina"/>
        <w:jc w:val="both"/>
      </w:pPr>
      <w:r>
        <w:rPr>
          <w:rStyle w:val="Refdenotaalpie"/>
        </w:rPr>
        <w:footnoteRef/>
      </w:r>
      <w:r>
        <w:t xml:space="preserve"> El análisis presentado en esta sección se basa en l</w:t>
      </w:r>
      <w:r w:rsidRPr="005C2C46">
        <w:t>a estructura de la matriz de Insumo-Producto</w:t>
      </w:r>
      <w:r>
        <w:t xml:space="preserve"> de la economía colombiana para 62 sectores de actividad económica. Dentro de esos 62, el sector de interés en este caso es el de telecomunicaciones y correos que abarca la transmisión de sonidos, imágenes, datos y otro tipo de información por cable, estaciones de difusión, retransmisión, y satélite, las comunicaciones telefónicas, telegráficas, por télex y el mantenimiento de las redes de telecomunicación.</w:t>
      </w:r>
    </w:p>
  </w:footnote>
  <w:footnote w:id="19">
    <w:p w:rsidR="00845F87" w:rsidRPr="002959DE" w:rsidRDefault="00845F87" w:rsidP="00465411">
      <w:pPr>
        <w:pStyle w:val="Textonotapie"/>
        <w:spacing w:before="0"/>
      </w:pPr>
      <w:r>
        <w:rPr>
          <w:rStyle w:val="Refdenotaalpie"/>
        </w:rPr>
        <w:footnoteRef/>
      </w:r>
      <w:r>
        <w:t xml:space="preserve"> </w:t>
      </w:r>
      <w:r w:rsidRPr="0029765A">
        <w:rPr>
          <w:rStyle w:val="PiedePaginaCar"/>
        </w:rPr>
        <w:t xml:space="preserve">Para mayor información sobre los usos del modelo de insumo producto  visitar </w:t>
      </w:r>
      <w:hyperlink r:id="rId1" w:history="1">
        <w:r w:rsidRPr="0029765A">
          <w:rPr>
            <w:rStyle w:val="PiedePaginaCar"/>
          </w:rPr>
          <w:t>http://www.iioa.org/</w:t>
        </w:r>
      </w:hyperlink>
      <w:r w:rsidRPr="0029765A">
        <w:rPr>
          <w:rStyle w:val="PiedePaginaCar"/>
        </w:rPr>
        <w:t xml:space="preserve"> sitio web de la International Input-Output </w:t>
      </w:r>
      <w:proofErr w:type="spellStart"/>
      <w:r w:rsidRPr="0029765A">
        <w:rPr>
          <w:rStyle w:val="PiedePaginaCar"/>
        </w:rPr>
        <w:t>Association</w:t>
      </w:r>
      <w:proofErr w:type="spellEnd"/>
    </w:p>
  </w:footnote>
  <w:footnote w:id="20">
    <w:p w:rsidR="00845F87" w:rsidRPr="000512EA" w:rsidRDefault="00845F87" w:rsidP="00465411">
      <w:pPr>
        <w:pStyle w:val="Textonotapie"/>
        <w:spacing w:before="0"/>
      </w:pPr>
      <w:r>
        <w:rPr>
          <w:rStyle w:val="Refdenotaalpie"/>
        </w:rPr>
        <w:footnoteRef/>
      </w:r>
      <w:r>
        <w:t xml:space="preserve"> </w:t>
      </w:r>
      <w:r w:rsidRPr="002D57BF">
        <w:rPr>
          <w:rStyle w:val="PiedePaginaCar"/>
        </w:rPr>
        <w:t xml:space="preserve">El desarrollo conceptual que se presenta a continuación está basado en </w:t>
      </w:r>
      <w:sdt>
        <w:sdtPr>
          <w:rPr>
            <w:rStyle w:val="PiedePaginaCar"/>
          </w:rPr>
          <w:id w:val="653900382"/>
          <w:citation/>
        </w:sdtPr>
        <w:sdtContent>
          <w:r w:rsidRPr="002D57BF">
            <w:rPr>
              <w:rStyle w:val="PiedePaginaCar"/>
            </w:rPr>
            <w:fldChar w:fldCharType="begin"/>
          </w:r>
          <w:r w:rsidRPr="002D57BF">
            <w:rPr>
              <w:rStyle w:val="PiedePaginaCar"/>
            </w:rPr>
            <w:instrText xml:space="preserve"> CITATION Rod04 \l 9226 </w:instrText>
          </w:r>
          <w:r w:rsidRPr="002D57BF">
            <w:rPr>
              <w:rStyle w:val="PiedePaginaCar"/>
            </w:rPr>
            <w:fldChar w:fldCharType="separate"/>
          </w:r>
          <w:r w:rsidRPr="002D57BF">
            <w:rPr>
              <w:rStyle w:val="PiedePaginaCar"/>
            </w:rPr>
            <w:t>(Rodríguez, 2004)</w:t>
          </w:r>
          <w:r w:rsidRPr="002D57BF">
            <w:rPr>
              <w:rStyle w:val="PiedePaginaCar"/>
            </w:rPr>
            <w:fldChar w:fldCharType="end"/>
          </w:r>
        </w:sdtContent>
      </w:sdt>
    </w:p>
  </w:footnote>
  <w:footnote w:id="21">
    <w:p w:rsidR="00845F87" w:rsidRPr="007D1F7F" w:rsidRDefault="00845F87" w:rsidP="00221EE8">
      <w:pPr>
        <w:pStyle w:val="Textonotapie"/>
        <w:spacing w:before="0"/>
        <w:rPr>
          <w:rFonts w:ascii="Garamond" w:hAnsi="Garamond"/>
          <w:sz w:val="18"/>
          <w:szCs w:val="18"/>
        </w:rPr>
      </w:pPr>
      <w:r w:rsidRPr="007D1F7F">
        <w:rPr>
          <w:rStyle w:val="Refdenotaalpie"/>
          <w:rFonts w:ascii="Garamond" w:hAnsi="Garamond"/>
          <w:sz w:val="18"/>
          <w:szCs w:val="18"/>
        </w:rPr>
        <w:footnoteRef/>
      </w:r>
      <w:r w:rsidRPr="007D1F7F">
        <w:rPr>
          <w:rFonts w:ascii="Garamond" w:hAnsi="Garamond"/>
          <w:sz w:val="18"/>
          <w:szCs w:val="18"/>
        </w:rPr>
        <w:t xml:space="preserve"> Australia, Austria, Canadá, Singapur, Estados Unidos, Irlanda, Corea, Italia, Japón, España, Dinamarca, Finlandia, Francia, India y Reino Unido.</w:t>
      </w:r>
    </w:p>
  </w:footnote>
  <w:footnote w:id="22">
    <w:p w:rsidR="00845F87" w:rsidRPr="007D1F7F" w:rsidRDefault="00845F87" w:rsidP="00221EE8">
      <w:pPr>
        <w:pStyle w:val="Textonotapie"/>
        <w:spacing w:before="0"/>
        <w:rPr>
          <w:rFonts w:ascii="Garamond" w:hAnsi="Garamond"/>
          <w:sz w:val="18"/>
          <w:szCs w:val="18"/>
        </w:rPr>
      </w:pPr>
      <w:r w:rsidRPr="007D1F7F">
        <w:rPr>
          <w:rStyle w:val="Refdenotaalpie"/>
          <w:rFonts w:ascii="Garamond" w:hAnsi="Garamond"/>
          <w:sz w:val="18"/>
          <w:szCs w:val="18"/>
        </w:rPr>
        <w:footnoteRef/>
      </w:r>
      <w:r w:rsidRPr="007D1F7F">
        <w:rPr>
          <w:rFonts w:ascii="Garamond" w:hAnsi="Garamond"/>
          <w:sz w:val="18"/>
          <w:szCs w:val="18"/>
        </w:rPr>
        <w:t xml:space="preserve"> China, Indonesia, Malasia y Filipinas</w:t>
      </w:r>
    </w:p>
  </w:footnote>
  <w:footnote w:id="23">
    <w:p w:rsidR="00845F87" w:rsidRPr="007D1F7F" w:rsidRDefault="00845F87" w:rsidP="00221EE8">
      <w:pPr>
        <w:pStyle w:val="Textonotapie"/>
        <w:spacing w:before="0"/>
        <w:rPr>
          <w:sz w:val="18"/>
          <w:szCs w:val="18"/>
        </w:rPr>
      </w:pPr>
      <w:r w:rsidRPr="007D1F7F">
        <w:rPr>
          <w:rStyle w:val="Refdenotaalpie"/>
          <w:rFonts w:ascii="Garamond" w:hAnsi="Garamond"/>
          <w:sz w:val="18"/>
          <w:szCs w:val="18"/>
        </w:rPr>
        <w:footnoteRef/>
      </w:r>
      <w:r w:rsidRPr="007D1F7F">
        <w:rPr>
          <w:rFonts w:ascii="Garamond" w:hAnsi="Garamond"/>
          <w:sz w:val="18"/>
          <w:szCs w:val="18"/>
        </w:rPr>
        <w:t xml:space="preserve"> Brasil, China, India y Rusia</w:t>
      </w:r>
    </w:p>
  </w:footnote>
  <w:footnote w:id="24">
    <w:p w:rsidR="00845F87" w:rsidRPr="007D1F7F" w:rsidRDefault="00845F87" w:rsidP="00221EE8">
      <w:pPr>
        <w:pStyle w:val="Textonotapie"/>
        <w:spacing w:before="0"/>
        <w:rPr>
          <w:rFonts w:ascii="Garamond" w:hAnsi="Garamond"/>
          <w:sz w:val="18"/>
          <w:szCs w:val="18"/>
        </w:rPr>
      </w:pPr>
      <w:r w:rsidRPr="007D1F7F">
        <w:rPr>
          <w:rStyle w:val="Refdenotaalpie"/>
          <w:rFonts w:ascii="Garamond" w:hAnsi="Garamond"/>
          <w:sz w:val="18"/>
          <w:szCs w:val="18"/>
        </w:rPr>
        <w:footnoteRef/>
      </w:r>
      <w:r w:rsidRPr="007D1F7F">
        <w:rPr>
          <w:rFonts w:ascii="Garamond" w:hAnsi="Garamond"/>
          <w:sz w:val="18"/>
          <w:szCs w:val="18"/>
        </w:rPr>
        <w:t xml:space="preserve"> Ver: </w:t>
      </w:r>
      <w:proofErr w:type="spellStart"/>
      <w:r w:rsidRPr="007D1F7F">
        <w:rPr>
          <w:rFonts w:ascii="Garamond" w:hAnsi="Garamond"/>
          <w:sz w:val="18"/>
          <w:szCs w:val="18"/>
        </w:rPr>
        <w:t>Tetaz</w:t>
      </w:r>
      <w:proofErr w:type="spellEnd"/>
      <w:r w:rsidRPr="007D1F7F">
        <w:rPr>
          <w:rFonts w:ascii="Garamond" w:hAnsi="Garamond"/>
          <w:sz w:val="18"/>
          <w:szCs w:val="18"/>
        </w:rPr>
        <w:t xml:space="preserve">, M (2014) </w:t>
      </w:r>
      <w:proofErr w:type="spellStart"/>
      <w:r w:rsidRPr="007D1F7F">
        <w:rPr>
          <w:rFonts w:ascii="Garamond" w:hAnsi="Garamond"/>
          <w:sz w:val="18"/>
          <w:szCs w:val="18"/>
        </w:rPr>
        <w:t>Psyconomics</w:t>
      </w:r>
      <w:proofErr w:type="spellEnd"/>
      <w:r w:rsidRPr="007D1F7F">
        <w:rPr>
          <w:rFonts w:ascii="Garamond" w:hAnsi="Garamond"/>
          <w:sz w:val="18"/>
          <w:szCs w:val="18"/>
        </w:rPr>
        <w:t>, Ediciones B: ISBN 978-987-627-437-1</w:t>
      </w:r>
    </w:p>
  </w:footnote>
  <w:footnote w:id="25">
    <w:p w:rsidR="00845F87" w:rsidRPr="00D0036B" w:rsidRDefault="00845F87" w:rsidP="0051230C">
      <w:pPr>
        <w:pStyle w:val="Textonotapie"/>
        <w:spacing w:before="0"/>
        <w:rPr>
          <w:rFonts w:ascii="Garamond" w:hAnsi="Garamond"/>
          <w:sz w:val="18"/>
          <w:szCs w:val="18"/>
        </w:rPr>
      </w:pPr>
      <w:r w:rsidRPr="00D0036B">
        <w:rPr>
          <w:rStyle w:val="Refdenotaalpie"/>
          <w:rFonts w:ascii="Garamond" w:hAnsi="Garamond"/>
          <w:sz w:val="18"/>
          <w:szCs w:val="18"/>
        </w:rPr>
        <w:footnoteRef/>
      </w:r>
      <w:r w:rsidRPr="00D0036B">
        <w:rPr>
          <w:rFonts w:ascii="Garamond" w:hAnsi="Garamond"/>
          <w:sz w:val="18"/>
          <w:szCs w:val="18"/>
        </w:rPr>
        <w:t xml:space="preserve"> Conforme al Plan consultado en http://www.mintic.gov.co/index.php/vive-digital-plan/barreras-impiden-masificacion-internet.</w:t>
      </w:r>
    </w:p>
  </w:footnote>
  <w:footnote w:id="26">
    <w:p w:rsidR="00845F87" w:rsidRPr="00D0036B" w:rsidRDefault="00845F87" w:rsidP="0077220D">
      <w:pPr>
        <w:pStyle w:val="Textonotapie"/>
        <w:spacing w:before="0"/>
        <w:rPr>
          <w:rFonts w:ascii="Garamond" w:hAnsi="Garamond"/>
          <w:sz w:val="18"/>
          <w:szCs w:val="18"/>
        </w:rPr>
      </w:pPr>
      <w:r w:rsidRPr="00D0036B">
        <w:rPr>
          <w:rFonts w:ascii="Garamond" w:hAnsi="Garamond"/>
          <w:sz w:val="18"/>
          <w:szCs w:val="18"/>
          <w:vertAlign w:val="superscript"/>
        </w:rPr>
        <w:footnoteRef/>
      </w:r>
      <w:r w:rsidRPr="00D0036B">
        <w:rPr>
          <w:rFonts w:ascii="Garamond" w:hAnsi="Garamond"/>
          <w:sz w:val="18"/>
          <w:szCs w:val="18"/>
          <w:vertAlign w:val="superscript"/>
        </w:rPr>
        <w:t xml:space="preserve"> </w:t>
      </w:r>
      <w:r w:rsidRPr="00D0036B">
        <w:rPr>
          <w:rFonts w:ascii="Garamond" w:hAnsi="Garamond"/>
          <w:sz w:val="18"/>
          <w:szCs w:val="18"/>
        </w:rPr>
        <w:t xml:space="preserve">En el Anexo </w:t>
      </w:r>
      <w:r>
        <w:rPr>
          <w:rFonts w:ascii="Garamond" w:hAnsi="Garamond"/>
          <w:sz w:val="18"/>
          <w:szCs w:val="18"/>
        </w:rPr>
        <w:t>2</w:t>
      </w:r>
      <w:r w:rsidRPr="00D0036B">
        <w:rPr>
          <w:rFonts w:ascii="Garamond" w:hAnsi="Garamond"/>
          <w:sz w:val="18"/>
          <w:szCs w:val="18"/>
        </w:rPr>
        <w:t xml:space="preserve"> se observa que se señala como un cuello de botella en el componente de aplicaciones el tema de las herramientas de productividad pues  se menciona que el desarrollo de aplicaciones se orienta hacia entretenimiento más que hacía usos productivos (taller MINTIC).</w:t>
      </w:r>
    </w:p>
  </w:footnote>
  <w:footnote w:id="27">
    <w:p w:rsidR="00845F87" w:rsidRPr="00D0036B" w:rsidRDefault="00845F87" w:rsidP="00D0036B">
      <w:pPr>
        <w:pStyle w:val="Textonotapie"/>
        <w:spacing w:before="0"/>
        <w:rPr>
          <w:rFonts w:ascii="Garamond" w:hAnsi="Garamond"/>
          <w:sz w:val="18"/>
          <w:szCs w:val="18"/>
        </w:rPr>
      </w:pPr>
      <w:r w:rsidRPr="00D0036B">
        <w:rPr>
          <w:rStyle w:val="Refdenotaalpie"/>
          <w:rFonts w:ascii="Garamond" w:hAnsi="Garamond"/>
          <w:sz w:val="18"/>
          <w:szCs w:val="18"/>
        </w:rPr>
        <w:footnoteRef/>
      </w:r>
      <w:r w:rsidRPr="00D0036B">
        <w:rPr>
          <w:rFonts w:ascii="Garamond" w:hAnsi="Garamond"/>
          <w:sz w:val="18"/>
          <w:szCs w:val="18"/>
        </w:rPr>
        <w:t xml:space="preserve"> </w:t>
      </w:r>
      <w:r>
        <w:rPr>
          <w:rFonts w:ascii="Garamond" w:hAnsi="Garamond"/>
          <w:sz w:val="18"/>
          <w:szCs w:val="18"/>
        </w:rPr>
        <w:t xml:space="preserve">La capacidad de pago es otro cuello de botella identificado para el componente de Usuarios en los talleres Delphos, tanto por los líderes de proyectos como por algunos de los representantes de autoridades del sector. </w:t>
      </w:r>
    </w:p>
  </w:footnote>
  <w:footnote w:id="28">
    <w:p w:rsidR="00845F87" w:rsidRPr="0072752A" w:rsidRDefault="00845F87" w:rsidP="0072752A">
      <w:pPr>
        <w:pStyle w:val="Textonotapie"/>
        <w:spacing w:before="0"/>
        <w:rPr>
          <w:rFonts w:ascii="Garamond" w:hAnsi="Garamond"/>
          <w:sz w:val="18"/>
          <w:szCs w:val="18"/>
        </w:rPr>
      </w:pPr>
      <w:r w:rsidRPr="0072752A">
        <w:rPr>
          <w:rStyle w:val="Refdenotaalpie"/>
          <w:rFonts w:ascii="Garamond" w:hAnsi="Garamond"/>
          <w:sz w:val="18"/>
          <w:szCs w:val="18"/>
        </w:rPr>
        <w:footnoteRef/>
      </w:r>
      <w:r w:rsidRPr="0072752A">
        <w:rPr>
          <w:rFonts w:ascii="Garamond" w:hAnsi="Garamond"/>
          <w:sz w:val="18"/>
          <w:szCs w:val="18"/>
        </w:rPr>
        <w:t xml:space="preserve"> </w:t>
      </w:r>
      <w:r>
        <w:rPr>
          <w:rFonts w:ascii="Garamond" w:hAnsi="Garamond"/>
          <w:sz w:val="18"/>
          <w:szCs w:val="18"/>
        </w:rPr>
        <w:t>Una de las preguntas en el taller Delphos de los líderes del MINTIC fue precisamente: “</w:t>
      </w:r>
      <w:r w:rsidRPr="0072752A">
        <w:rPr>
          <w:rFonts w:ascii="Garamond" w:hAnsi="Garamond"/>
          <w:sz w:val="18"/>
          <w:szCs w:val="18"/>
        </w:rPr>
        <w:t>¿En los procesos de contratación y/o selección de proyectos del Plan Vive Digital, cuál de los siguientes aspectos cree usted que representa el mayor obstáculo?</w:t>
      </w:r>
      <w:r>
        <w:rPr>
          <w:rFonts w:ascii="Garamond" w:hAnsi="Garamond"/>
          <w:sz w:val="18"/>
          <w:szCs w:val="18"/>
        </w:rPr>
        <w:t xml:space="preserve">”, el 78% de los asistentes, es decir, once de los catorce, eligió la “Duración de los procesos de contratación”.  </w:t>
      </w:r>
    </w:p>
  </w:footnote>
  <w:footnote w:id="29">
    <w:p w:rsidR="00845F87" w:rsidRPr="00BA1ABC" w:rsidRDefault="00845F87" w:rsidP="00BA1ABC">
      <w:pPr>
        <w:pStyle w:val="Textonotapie"/>
        <w:spacing w:before="0"/>
        <w:rPr>
          <w:rFonts w:ascii="Garamond" w:hAnsi="Garamond"/>
          <w:sz w:val="18"/>
          <w:szCs w:val="18"/>
        </w:rPr>
      </w:pPr>
      <w:r w:rsidRPr="00BA1ABC">
        <w:rPr>
          <w:rStyle w:val="Refdenotaalpie"/>
          <w:rFonts w:ascii="Garamond" w:hAnsi="Garamond"/>
          <w:sz w:val="18"/>
          <w:szCs w:val="18"/>
        </w:rPr>
        <w:footnoteRef/>
      </w:r>
      <w:r w:rsidRPr="00BA1ABC">
        <w:rPr>
          <w:rFonts w:ascii="Garamond" w:hAnsi="Garamond"/>
          <w:sz w:val="18"/>
          <w:szCs w:val="18"/>
        </w:rPr>
        <w:t xml:space="preserve"> Ver Anexo </w:t>
      </w:r>
      <w:r>
        <w:rPr>
          <w:rFonts w:ascii="Garamond" w:hAnsi="Garamond"/>
          <w:sz w:val="18"/>
          <w:szCs w:val="18"/>
        </w:rPr>
        <w:t>3.</w:t>
      </w:r>
    </w:p>
  </w:footnote>
  <w:footnote w:id="30">
    <w:p w:rsidR="00845F87" w:rsidRPr="0051230C" w:rsidRDefault="00845F87" w:rsidP="0051230C">
      <w:pPr>
        <w:pStyle w:val="Textonotapie"/>
        <w:spacing w:before="0"/>
        <w:rPr>
          <w:rFonts w:ascii="Garamond" w:hAnsi="Garamond"/>
          <w:sz w:val="18"/>
          <w:szCs w:val="18"/>
        </w:rPr>
      </w:pPr>
      <w:r w:rsidRPr="0051230C">
        <w:rPr>
          <w:rStyle w:val="Refdenotaalpie"/>
          <w:rFonts w:ascii="Garamond" w:hAnsi="Garamond"/>
          <w:sz w:val="18"/>
          <w:szCs w:val="18"/>
        </w:rPr>
        <w:footnoteRef/>
      </w:r>
      <w:r w:rsidRPr="0051230C">
        <w:rPr>
          <w:rFonts w:ascii="Garamond" w:hAnsi="Garamond"/>
          <w:sz w:val="18"/>
          <w:szCs w:val="18"/>
        </w:rPr>
        <w:t xml:space="preserve"> Esto es una alta disponibilidad de recurso respecto de la demanda por el mismo.</w:t>
      </w:r>
    </w:p>
  </w:footnote>
  <w:footnote w:id="31">
    <w:p w:rsidR="00845F87" w:rsidRPr="0051230C" w:rsidRDefault="00845F87" w:rsidP="0051230C">
      <w:pPr>
        <w:pStyle w:val="Textonotapie"/>
        <w:spacing w:before="0"/>
        <w:rPr>
          <w:rFonts w:ascii="Garamond" w:hAnsi="Garamond"/>
          <w:sz w:val="18"/>
          <w:szCs w:val="18"/>
        </w:rPr>
      </w:pPr>
      <w:r w:rsidRPr="0051230C">
        <w:rPr>
          <w:rStyle w:val="Refdenotaalpie"/>
          <w:rFonts w:ascii="Garamond" w:hAnsi="Garamond"/>
          <w:sz w:val="18"/>
          <w:szCs w:val="18"/>
        </w:rPr>
        <w:footnoteRef/>
      </w:r>
      <w:r w:rsidRPr="0051230C">
        <w:rPr>
          <w:rFonts w:ascii="Garamond" w:hAnsi="Garamond"/>
          <w:sz w:val="18"/>
          <w:szCs w:val="18"/>
        </w:rPr>
        <w:t xml:space="preserve"> Asignaciones de espectro IMT para servicios 3G y en especial 4G, avances en la planificación de espectro para el despliegue definitivo de las redes de televisión digital terrestre. Se presentan demoras solo en cuanto a la evidencia sobre los estudios de factibilidad de implementar radio digital.</w:t>
      </w:r>
    </w:p>
  </w:footnote>
  <w:footnote w:id="32">
    <w:p w:rsidR="00845F87" w:rsidRPr="00EC21AA" w:rsidRDefault="00845F87" w:rsidP="00EC21AA">
      <w:pPr>
        <w:pStyle w:val="Textonotapie"/>
        <w:spacing w:before="0"/>
        <w:rPr>
          <w:rFonts w:ascii="Garamond" w:hAnsi="Garamond"/>
        </w:rPr>
      </w:pPr>
      <w:r w:rsidRPr="00EC21AA">
        <w:rPr>
          <w:rStyle w:val="Refdenotaalpie"/>
          <w:rFonts w:ascii="Garamond" w:hAnsi="Garamond"/>
        </w:rPr>
        <w:footnoteRef/>
      </w:r>
      <w:r w:rsidRPr="00EC21AA">
        <w:rPr>
          <w:rFonts w:ascii="Garamond" w:hAnsi="Garamond"/>
        </w:rPr>
        <w:t xml:space="preserve"> </w:t>
      </w:r>
      <w:r>
        <w:rPr>
          <w:rFonts w:ascii="Garamond" w:hAnsi="Garamond"/>
        </w:rPr>
        <w:t>Las acciones del Plan Vive Digital influyen de manera positiva, no obstante, hay otras que también tienen efecto (diferentes a las variables de origen familiar) y se reflejan en el 17.8% mencionado.  En el anexo 1 se encuentra el detalle del desarrollo metodológico.</w:t>
      </w:r>
    </w:p>
  </w:footnote>
  <w:footnote w:id="33">
    <w:p w:rsidR="00845F87" w:rsidRPr="00535C4E" w:rsidRDefault="00845F87" w:rsidP="00535C4E">
      <w:pPr>
        <w:pStyle w:val="PiedePagina"/>
      </w:pPr>
      <w:r>
        <w:rPr>
          <w:rStyle w:val="Refdenotaalpie"/>
        </w:rPr>
        <w:footnoteRef/>
      </w:r>
      <w:r>
        <w:t xml:space="preserve"> DNP (2012). Guía para la evaluación de políticas públicas. Serie de Guías Metodológicas Sinergia. p.14. </w:t>
      </w:r>
    </w:p>
  </w:footnote>
  <w:footnote w:id="34">
    <w:p w:rsidR="00845F87" w:rsidRPr="002927E0" w:rsidRDefault="00845F87" w:rsidP="002927E0">
      <w:pPr>
        <w:pStyle w:val="PiedePagina"/>
      </w:pPr>
      <w:r>
        <w:rPr>
          <w:rStyle w:val="Refdenotaalpie"/>
        </w:rPr>
        <w:footnoteRef/>
      </w:r>
      <w:r>
        <w:t xml:space="preserve"> Ibíd. </w:t>
      </w:r>
    </w:p>
  </w:footnote>
  <w:footnote w:id="35">
    <w:p w:rsidR="00845F87" w:rsidRPr="00A91FDF" w:rsidRDefault="00845F87" w:rsidP="00A91FDF">
      <w:pPr>
        <w:pStyle w:val="PiedePagina"/>
      </w:pPr>
      <w:r>
        <w:rPr>
          <w:rStyle w:val="Refdenotaalpie"/>
        </w:rPr>
        <w:footnoteRef/>
      </w:r>
      <w:r>
        <w:t xml:space="preserve"> Ibíd. p. 21.</w:t>
      </w:r>
    </w:p>
  </w:footnote>
  <w:footnote w:id="36">
    <w:p w:rsidR="00845F87" w:rsidRPr="00375149" w:rsidRDefault="00845F87" w:rsidP="00375149">
      <w:pPr>
        <w:pStyle w:val="Textonotapie"/>
        <w:spacing w:before="0"/>
        <w:rPr>
          <w:rFonts w:ascii="Garamond" w:hAnsi="Garamond"/>
          <w:sz w:val="18"/>
          <w:szCs w:val="18"/>
        </w:rPr>
      </w:pPr>
      <w:r w:rsidRPr="00375149">
        <w:rPr>
          <w:rStyle w:val="Refdenotaalpie"/>
          <w:rFonts w:ascii="Garamond" w:hAnsi="Garamond"/>
          <w:sz w:val="18"/>
          <w:szCs w:val="18"/>
        </w:rPr>
        <w:footnoteRef/>
      </w:r>
      <w:r w:rsidRPr="00375149">
        <w:rPr>
          <w:rFonts w:ascii="Garamond" w:hAnsi="Garamond"/>
          <w:sz w:val="18"/>
          <w:szCs w:val="18"/>
        </w:rPr>
        <w:t xml:space="preserve"> </w:t>
      </w:r>
      <w:r>
        <w:rPr>
          <w:rFonts w:ascii="Garamond" w:hAnsi="Garamond"/>
          <w:sz w:val="18"/>
          <w:szCs w:val="18"/>
        </w:rPr>
        <w:t xml:space="preserve">T </w:t>
      </w:r>
      <w:r w:rsidRPr="00375149">
        <w:rPr>
          <w:rFonts w:ascii="Garamond" w:hAnsi="Garamond"/>
          <w:sz w:val="18"/>
          <w:szCs w:val="18"/>
        </w:rPr>
        <w:t>permite medir el efecto de otras variables que han influido en este período sobre la demanda de bienes y servicios del sector, no consideradas como atributos de los hogares demandantes, pero que influyen sobre su consumo</w:t>
      </w:r>
    </w:p>
  </w:footnote>
  <w:footnote w:id="37">
    <w:p w:rsidR="00845F87" w:rsidRPr="00975D84" w:rsidRDefault="00845F87" w:rsidP="00975D84">
      <w:pPr>
        <w:pStyle w:val="PiedePagina"/>
      </w:pPr>
      <w:r>
        <w:rPr>
          <w:rStyle w:val="Refdenotaalpie"/>
        </w:rPr>
        <w:footnoteRef/>
      </w:r>
      <w:r>
        <w:t xml:space="preserve"> El contenido de este apartado es genérico y ha sido elaborado por Econometría a partir de diferentes fuentes y de la experiencia de la firma en este tipo de evaluaciones.</w:t>
      </w:r>
    </w:p>
  </w:footnote>
  <w:footnote w:id="38">
    <w:p w:rsidR="00845F87" w:rsidRPr="00AB5217" w:rsidRDefault="00845F87" w:rsidP="00EC21AA">
      <w:pPr>
        <w:pStyle w:val="Textonotapie"/>
        <w:spacing w:before="0"/>
        <w:rPr>
          <w:rFonts w:ascii="Garamond" w:hAnsi="Garamond"/>
          <w:sz w:val="18"/>
          <w:szCs w:val="18"/>
        </w:rPr>
      </w:pPr>
      <w:r w:rsidRPr="00AB5217">
        <w:rPr>
          <w:rStyle w:val="Refdenotaalpie"/>
          <w:rFonts w:ascii="Garamond" w:hAnsi="Garamond"/>
          <w:sz w:val="18"/>
          <w:szCs w:val="18"/>
        </w:rPr>
        <w:footnoteRef/>
      </w:r>
      <w:r w:rsidRPr="00AB5217">
        <w:rPr>
          <w:rFonts w:ascii="Garamond" w:hAnsi="Garamond"/>
          <w:sz w:val="18"/>
          <w:szCs w:val="18"/>
        </w:rPr>
        <w:t xml:space="preserve"> Consultado en http://cce.org.co/sites/default/files/biblioteca/reporte_comscore_-_agosto_2013_3.pdf</w:t>
      </w:r>
    </w:p>
  </w:footnote>
  <w:footnote w:id="39">
    <w:p w:rsidR="00845F87" w:rsidRPr="00AB5217" w:rsidRDefault="00845F87" w:rsidP="000270FF">
      <w:pPr>
        <w:pStyle w:val="Textonotapie"/>
        <w:spacing w:before="0"/>
        <w:rPr>
          <w:rFonts w:ascii="Garamond" w:hAnsi="Garamond"/>
          <w:sz w:val="18"/>
          <w:szCs w:val="18"/>
        </w:rPr>
      </w:pPr>
      <w:r w:rsidRPr="00AB5217">
        <w:rPr>
          <w:rStyle w:val="Refdenotaalpie"/>
          <w:rFonts w:ascii="Garamond" w:hAnsi="Garamond"/>
          <w:sz w:val="18"/>
          <w:szCs w:val="18"/>
        </w:rPr>
        <w:footnoteRef/>
      </w:r>
      <w:r w:rsidRPr="00AB5217">
        <w:rPr>
          <w:rFonts w:ascii="Garamond" w:hAnsi="Garamond"/>
          <w:sz w:val="18"/>
          <w:szCs w:val="18"/>
        </w:rPr>
        <w:t xml:space="preserve"> Consultado en http://cce.org.co/sites/default/files/biblioteca/reporte_comscore_-_agosto_2013_3.pdf</w:t>
      </w:r>
    </w:p>
  </w:footnote>
  <w:footnote w:id="40">
    <w:p w:rsidR="00845F87" w:rsidRPr="00AB5217" w:rsidRDefault="00845F87" w:rsidP="000270FF">
      <w:pPr>
        <w:pStyle w:val="Textonotapie"/>
        <w:spacing w:before="0"/>
        <w:rPr>
          <w:rFonts w:ascii="Garamond" w:hAnsi="Garamond"/>
          <w:sz w:val="18"/>
          <w:szCs w:val="18"/>
        </w:rPr>
      </w:pPr>
      <w:r w:rsidRPr="00AB5217">
        <w:rPr>
          <w:rStyle w:val="Refdenotaalpie"/>
          <w:rFonts w:ascii="Garamond" w:hAnsi="Garamond"/>
          <w:sz w:val="18"/>
          <w:szCs w:val="18"/>
        </w:rPr>
        <w:footnoteRef/>
      </w:r>
      <w:r w:rsidRPr="00AB5217">
        <w:rPr>
          <w:rFonts w:ascii="Garamond" w:hAnsi="Garamond"/>
          <w:sz w:val="18"/>
          <w:szCs w:val="18"/>
        </w:rPr>
        <w:t xml:space="preserve"> Punto detectado en talleres Delphos</w:t>
      </w:r>
      <w:r>
        <w:rPr>
          <w:rFonts w:ascii="Garamond" w:hAnsi="Garamond"/>
          <w:sz w:val="18"/>
          <w:szCs w:val="18"/>
        </w:rPr>
        <w:t>. Anexo 3</w:t>
      </w:r>
    </w:p>
  </w:footnote>
  <w:footnote w:id="41">
    <w:p w:rsidR="00845F87" w:rsidRPr="002D4742" w:rsidRDefault="00845F87" w:rsidP="00F90EAB">
      <w:pPr>
        <w:pStyle w:val="Textonotapie"/>
        <w:spacing w:before="0"/>
        <w:rPr>
          <w:rFonts w:ascii="Garamond" w:hAnsi="Garamond"/>
          <w:sz w:val="18"/>
          <w:szCs w:val="18"/>
        </w:rPr>
      </w:pPr>
      <w:r w:rsidRPr="002D4742">
        <w:rPr>
          <w:rStyle w:val="Refdenotaalpie"/>
          <w:rFonts w:ascii="Garamond" w:hAnsi="Garamond"/>
        </w:rPr>
        <w:footnoteRef/>
      </w:r>
      <w:r w:rsidRPr="002D4742">
        <w:rPr>
          <w:rFonts w:ascii="Garamond" w:hAnsi="Garamond"/>
        </w:rPr>
        <w:t xml:space="preserve"> </w:t>
      </w:r>
      <w:r w:rsidRPr="002D4742">
        <w:rPr>
          <w:rFonts w:ascii="Garamond" w:hAnsi="Garamond"/>
          <w:sz w:val="18"/>
          <w:szCs w:val="18"/>
        </w:rPr>
        <w:t xml:space="preserve">Como se estableció en el informe 2, la metodología de obtención de muestras representativas a través de encuestas es el mecanismo estándar utilizado por la UIT (ITU, 2009 b), la Unión Europea (EUROSTAT, 2013) y Estados Unidos (U.S. </w:t>
      </w:r>
      <w:proofErr w:type="spellStart"/>
      <w:r w:rsidRPr="002D4742">
        <w:rPr>
          <w:rFonts w:ascii="Garamond" w:hAnsi="Garamond"/>
          <w:sz w:val="18"/>
          <w:szCs w:val="18"/>
        </w:rPr>
        <w:t>Census</w:t>
      </w:r>
      <w:proofErr w:type="spellEnd"/>
      <w:r w:rsidRPr="002D4742">
        <w:rPr>
          <w:rFonts w:ascii="Garamond" w:hAnsi="Garamond"/>
          <w:sz w:val="18"/>
          <w:szCs w:val="18"/>
        </w:rPr>
        <w:t xml:space="preserve"> Bureau, 2013) entre otros.</w:t>
      </w:r>
    </w:p>
  </w:footnote>
  <w:footnote w:id="42">
    <w:p w:rsidR="00845F87" w:rsidRDefault="00845F87" w:rsidP="00F90EAB">
      <w:pPr>
        <w:pStyle w:val="Textonotapie"/>
        <w:spacing w:before="0"/>
      </w:pPr>
      <w:r w:rsidRPr="002F513B">
        <w:rPr>
          <w:rStyle w:val="Refdenotaalpie"/>
          <w:rFonts w:ascii="Garamond" w:hAnsi="Garamond"/>
          <w:sz w:val="18"/>
          <w:szCs w:val="18"/>
        </w:rPr>
        <w:footnoteRef/>
      </w:r>
      <w:r w:rsidRPr="002F513B">
        <w:rPr>
          <w:rFonts w:ascii="Garamond" w:hAnsi="Garamond"/>
          <w:sz w:val="18"/>
          <w:szCs w:val="18"/>
        </w:rPr>
        <w:t xml:space="preserve"> Si bien podría considerarse que es una muestra más cercana al cierre del tercer trimestre del año y por tanto requerir extrapolarse un trimestre hacia delante para tener un dato que comprenda los avances completos del cuarto trimestre de cada año.</w:t>
      </w:r>
    </w:p>
  </w:footnote>
  <w:footnote w:id="43">
    <w:p w:rsidR="00845F87" w:rsidRPr="00600790" w:rsidRDefault="00845F87" w:rsidP="00F90EAB">
      <w:pPr>
        <w:pStyle w:val="Textonotapie"/>
        <w:spacing w:before="0"/>
        <w:rPr>
          <w:sz w:val="18"/>
          <w:szCs w:val="18"/>
        </w:rPr>
      </w:pPr>
      <w:r w:rsidRPr="00600790">
        <w:rPr>
          <w:rStyle w:val="Refdenotaalpie"/>
          <w:rFonts w:ascii="Garamond" w:hAnsi="Garamond"/>
          <w:sz w:val="18"/>
          <w:szCs w:val="18"/>
        </w:rPr>
        <w:footnoteRef/>
      </w:r>
      <w:r w:rsidRPr="00600790">
        <w:rPr>
          <w:rFonts w:ascii="Garamond" w:hAnsi="Garamond"/>
          <w:sz w:val="18"/>
          <w:szCs w:val="18"/>
        </w:rPr>
        <w:t xml:space="preserve"> Debe considerarse que para el efecto, como lo sugiere la metodología de </w:t>
      </w:r>
      <w:proofErr w:type="spellStart"/>
      <w:r w:rsidRPr="00600790">
        <w:rPr>
          <w:rFonts w:ascii="Garamond" w:hAnsi="Garamond"/>
          <w:sz w:val="18"/>
          <w:szCs w:val="18"/>
        </w:rPr>
        <w:t>Samarajiva</w:t>
      </w:r>
      <w:proofErr w:type="spellEnd"/>
      <w:r w:rsidRPr="00600790">
        <w:rPr>
          <w:rFonts w:ascii="Garamond" w:hAnsi="Garamond"/>
          <w:sz w:val="18"/>
          <w:szCs w:val="18"/>
        </w:rPr>
        <w:t xml:space="preserve"> &amp; Lucas, presentada en el informe 2 (</w:t>
      </w:r>
      <w:proofErr w:type="spellStart"/>
      <w:r w:rsidRPr="00600790">
        <w:rPr>
          <w:rFonts w:ascii="Garamond" w:hAnsi="Garamond"/>
          <w:sz w:val="18"/>
          <w:szCs w:val="18"/>
        </w:rPr>
        <w:t>Samarajiva</w:t>
      </w:r>
      <w:proofErr w:type="spellEnd"/>
      <w:r w:rsidRPr="00600790">
        <w:rPr>
          <w:rFonts w:ascii="Garamond" w:hAnsi="Garamond"/>
          <w:sz w:val="18"/>
          <w:szCs w:val="18"/>
        </w:rPr>
        <w:t xml:space="preserve"> &amp; Lucas, </w:t>
      </w:r>
      <w:proofErr w:type="spellStart"/>
      <w:r w:rsidRPr="00600790">
        <w:rPr>
          <w:rFonts w:ascii="Garamond" w:hAnsi="Garamond"/>
          <w:sz w:val="18"/>
          <w:szCs w:val="18"/>
        </w:rPr>
        <w:t>LIRNEasia</w:t>
      </w:r>
      <w:proofErr w:type="spellEnd"/>
      <w:r w:rsidRPr="00600790">
        <w:rPr>
          <w:rFonts w:ascii="Garamond" w:hAnsi="Garamond"/>
          <w:sz w:val="18"/>
          <w:szCs w:val="18"/>
        </w:rPr>
        <w:t xml:space="preserve">, 2010), podrían tomarse una variable correlacionada o que tenga gran influencia sobre la penetración del internet en un país; por ejemplo, el número de suscriptores totales, los suscriptores Vive Digital u otra serie relevante; cualquiera de ellos tendría una evolución en crecimientos porcentuales de similar forma y por tanto sería igual de útil para los efectos que se explica más adelante. </w:t>
      </w:r>
    </w:p>
  </w:footnote>
  <w:footnote w:id="44">
    <w:p w:rsidR="00845F87" w:rsidRPr="00600790" w:rsidRDefault="00845F87" w:rsidP="00F90EAB">
      <w:pPr>
        <w:pStyle w:val="Bibliografa"/>
        <w:spacing w:before="0"/>
        <w:ind w:left="720" w:hanging="720"/>
        <w:rPr>
          <w:noProof/>
          <w:sz w:val="18"/>
          <w:szCs w:val="18"/>
        </w:rPr>
      </w:pPr>
      <w:r w:rsidRPr="00600790">
        <w:rPr>
          <w:rStyle w:val="Refdenotaalpie"/>
          <w:sz w:val="18"/>
          <w:szCs w:val="18"/>
        </w:rPr>
        <w:footnoteRef/>
      </w:r>
      <w:r w:rsidRPr="00600790">
        <w:rPr>
          <w:sz w:val="18"/>
          <w:szCs w:val="18"/>
        </w:rPr>
        <w:t xml:space="preserve"> </w:t>
      </w:r>
      <w:r w:rsidRPr="00600790">
        <w:rPr>
          <w:noProof/>
          <w:sz w:val="18"/>
          <w:szCs w:val="18"/>
        </w:rPr>
        <w:t>http://datosabiertoscolombia.cloudapp.net/frm/catalogo/frmCatalogo.aspx?dsId=10536</w:t>
      </w:r>
    </w:p>
  </w:footnote>
  <w:footnote w:id="45">
    <w:p w:rsidR="00845F87" w:rsidRPr="00600790" w:rsidRDefault="00845F87" w:rsidP="00F90EAB">
      <w:pPr>
        <w:pStyle w:val="Textonotapie"/>
        <w:spacing w:before="0"/>
        <w:rPr>
          <w:rFonts w:ascii="Garamond" w:hAnsi="Garamond"/>
          <w:sz w:val="18"/>
          <w:szCs w:val="18"/>
        </w:rPr>
      </w:pPr>
      <w:r w:rsidRPr="00600790">
        <w:rPr>
          <w:rStyle w:val="Refdenotaalpie"/>
          <w:rFonts w:ascii="Garamond" w:hAnsi="Garamond"/>
          <w:sz w:val="18"/>
          <w:szCs w:val="18"/>
        </w:rPr>
        <w:footnoteRef/>
      </w:r>
      <w:r w:rsidRPr="00600790">
        <w:rPr>
          <w:rFonts w:ascii="Garamond" w:hAnsi="Garamond"/>
          <w:sz w:val="18"/>
          <w:szCs w:val="18"/>
        </w:rPr>
        <w:t xml:space="preserve"> Correspondiente al cuarto trimestre de 2012 (2012-4T).</w:t>
      </w:r>
    </w:p>
  </w:footnote>
  <w:footnote w:id="46">
    <w:p w:rsidR="00845F87" w:rsidRPr="00600790" w:rsidRDefault="00845F87" w:rsidP="00F90EAB">
      <w:pPr>
        <w:pStyle w:val="Textonotapie"/>
        <w:spacing w:before="0"/>
        <w:rPr>
          <w:rFonts w:ascii="Garamond" w:hAnsi="Garamond"/>
          <w:sz w:val="18"/>
          <w:szCs w:val="18"/>
        </w:rPr>
      </w:pPr>
      <w:r w:rsidRPr="00600790">
        <w:rPr>
          <w:rStyle w:val="Refdenotaalpie"/>
          <w:rFonts w:ascii="Garamond" w:hAnsi="Garamond"/>
          <w:sz w:val="18"/>
          <w:szCs w:val="18"/>
        </w:rPr>
        <w:footnoteRef/>
      </w:r>
      <w:r w:rsidRPr="00600790">
        <w:rPr>
          <w:rFonts w:ascii="Garamond" w:hAnsi="Garamond"/>
          <w:sz w:val="18"/>
          <w:szCs w:val="18"/>
        </w:rPr>
        <w:t xml:space="preserve"> Correspondiente al cuarto trimestre de 2012 (2012-4T).</w:t>
      </w:r>
    </w:p>
  </w:footnote>
  <w:footnote w:id="47">
    <w:p w:rsidR="00845F87" w:rsidRPr="00600790" w:rsidRDefault="00845F87" w:rsidP="00F90EAB">
      <w:pPr>
        <w:pStyle w:val="Textonotapie"/>
        <w:spacing w:before="0"/>
        <w:rPr>
          <w:rFonts w:ascii="Garamond" w:hAnsi="Garamond"/>
          <w:sz w:val="18"/>
          <w:szCs w:val="18"/>
        </w:rPr>
      </w:pPr>
      <w:r w:rsidRPr="00600790">
        <w:rPr>
          <w:rStyle w:val="Refdenotaalpie"/>
          <w:rFonts w:ascii="Garamond" w:hAnsi="Garamond"/>
          <w:sz w:val="18"/>
          <w:szCs w:val="18"/>
        </w:rPr>
        <w:footnoteRef/>
      </w:r>
      <w:r w:rsidRPr="00600790">
        <w:rPr>
          <w:rFonts w:ascii="Garamond" w:hAnsi="Garamond"/>
          <w:sz w:val="18"/>
          <w:szCs w:val="18"/>
        </w:rPr>
        <w:t xml:space="preserve"> Correspondiente al cuarto trimestre de 2012 (2012-4T).</w:t>
      </w:r>
    </w:p>
  </w:footnote>
  <w:footnote w:id="48">
    <w:p w:rsidR="00845F87" w:rsidRPr="00600790" w:rsidRDefault="00845F87" w:rsidP="00F90EAB">
      <w:pPr>
        <w:pStyle w:val="Textonotapie"/>
        <w:spacing w:before="0"/>
        <w:rPr>
          <w:rFonts w:ascii="Garamond" w:hAnsi="Garamond"/>
          <w:sz w:val="18"/>
          <w:szCs w:val="18"/>
        </w:rPr>
      </w:pPr>
      <w:r w:rsidRPr="00600790">
        <w:rPr>
          <w:rStyle w:val="Refdenotaalpie"/>
          <w:rFonts w:ascii="Garamond" w:hAnsi="Garamond"/>
          <w:sz w:val="18"/>
          <w:szCs w:val="18"/>
        </w:rPr>
        <w:footnoteRef/>
      </w:r>
      <w:r w:rsidRPr="00600790">
        <w:rPr>
          <w:rFonts w:ascii="Garamond" w:hAnsi="Garamond"/>
          <w:sz w:val="18"/>
          <w:szCs w:val="18"/>
        </w:rPr>
        <w:t xml:space="preserve"> Similar a Colombia, se incluyen aquellos países de los cuales las UIT utilizó directamente la información estadística suministrada por sus correspondientes agencia nacionales de estadística, no se incluyeron aquellos en los que la UIT tuvo que hacer internamente una estimación. </w:t>
      </w:r>
    </w:p>
  </w:footnote>
  <w:footnote w:id="49">
    <w:p w:rsidR="00845F87" w:rsidRPr="00B2388C" w:rsidRDefault="00845F87" w:rsidP="00DC76A2">
      <w:pPr>
        <w:pStyle w:val="Textonotapie"/>
        <w:spacing w:before="0"/>
        <w:rPr>
          <w:rFonts w:ascii="Garamond" w:hAnsi="Garamond"/>
          <w:sz w:val="18"/>
          <w:szCs w:val="18"/>
        </w:rPr>
      </w:pPr>
      <w:r w:rsidRPr="00B2388C">
        <w:rPr>
          <w:rStyle w:val="Refdenotaalpie"/>
          <w:rFonts w:ascii="Garamond" w:eastAsia="Calibri" w:hAnsi="Garamond"/>
          <w:sz w:val="18"/>
          <w:szCs w:val="18"/>
        </w:rPr>
        <w:footnoteRef/>
      </w:r>
      <w:r w:rsidRPr="00B2388C">
        <w:rPr>
          <w:rFonts w:ascii="Garamond" w:hAnsi="Garamond"/>
          <w:sz w:val="18"/>
          <w:szCs w:val="18"/>
        </w:rPr>
        <w:t xml:space="preserve"> Se habían planteado dos talleres más: con proveedores de redes y servicios de telecomunicaciones y con proveedores de aplicaciones y contenidos y </w:t>
      </w:r>
      <w:r>
        <w:rPr>
          <w:rFonts w:ascii="Garamond" w:hAnsi="Garamond"/>
          <w:sz w:val="18"/>
          <w:szCs w:val="18"/>
        </w:rPr>
        <w:t>u</w:t>
      </w:r>
      <w:r w:rsidRPr="00B2388C">
        <w:rPr>
          <w:rFonts w:ascii="Garamond" w:hAnsi="Garamond"/>
          <w:sz w:val="18"/>
          <w:szCs w:val="18"/>
        </w:rPr>
        <w:t>suarios, sin embargo, la información</w:t>
      </w:r>
      <w:r>
        <w:rPr>
          <w:rFonts w:ascii="Garamond" w:hAnsi="Garamond"/>
          <w:sz w:val="18"/>
          <w:szCs w:val="18"/>
        </w:rPr>
        <w:t xml:space="preserve"> recolectada en los dos primeros talleres (para los cuales se presentan los resultados en este anexo,</w:t>
      </w:r>
      <w:r w:rsidRPr="00B2388C">
        <w:rPr>
          <w:rFonts w:ascii="Garamond" w:hAnsi="Garamond"/>
          <w:sz w:val="18"/>
          <w:szCs w:val="18"/>
        </w:rPr>
        <w:t xml:space="preserve"> ya han permitido tener una visión desde el orden nacional de la dinámica del Plan Vive Digital.</w:t>
      </w:r>
      <w:r>
        <w:rPr>
          <w:rFonts w:ascii="Garamond" w:hAnsi="Garamond"/>
          <w:sz w:val="18"/>
          <w:szCs w:val="18"/>
        </w:rPr>
        <w:t xml:space="preserve"> </w:t>
      </w:r>
    </w:p>
  </w:footnote>
  <w:footnote w:id="50">
    <w:p w:rsidR="00845F87" w:rsidRPr="00DD1816" w:rsidRDefault="00845F87" w:rsidP="00517DD8">
      <w:pPr>
        <w:pStyle w:val="Textonotapie"/>
        <w:spacing w:before="0"/>
        <w:rPr>
          <w:rFonts w:ascii="Garamond" w:hAnsi="Garamond"/>
          <w:szCs w:val="18"/>
        </w:rPr>
      </w:pPr>
      <w:r w:rsidRPr="00DD1816">
        <w:rPr>
          <w:rStyle w:val="Refdenotaalpie"/>
          <w:rFonts w:ascii="Garamond" w:hAnsi="Garamond"/>
          <w:szCs w:val="18"/>
        </w:rPr>
        <w:footnoteRef/>
      </w:r>
      <w:r w:rsidRPr="00DD1816">
        <w:rPr>
          <w:rFonts w:ascii="Garamond" w:hAnsi="Garamond"/>
          <w:szCs w:val="18"/>
        </w:rPr>
        <w:t xml:space="preserve"> El cierre de estos talleres se desarrolla con un ejercicio de responder nuevamente la misma encuesta al final de la actividad para evidenciar concesos, esto no se logró debido a la falta de respuesta de 4 de los participantes.</w:t>
      </w:r>
    </w:p>
  </w:footnote>
  <w:footnote w:id="51">
    <w:p w:rsidR="00845F87" w:rsidRPr="00DD1816" w:rsidRDefault="00845F87" w:rsidP="00517DD8">
      <w:pPr>
        <w:pStyle w:val="Textonotapie"/>
        <w:spacing w:before="0"/>
        <w:rPr>
          <w:rFonts w:ascii="Garamond" w:eastAsiaTheme="minorHAnsi" w:hAnsi="Garamond" w:cstheme="minorBidi"/>
          <w:szCs w:val="18"/>
          <w:lang w:val="es-MX" w:eastAsia="en-US"/>
        </w:rPr>
      </w:pPr>
      <w:r w:rsidRPr="00DD1816">
        <w:rPr>
          <w:rFonts w:ascii="Garamond" w:eastAsiaTheme="minorHAnsi" w:hAnsi="Garamond" w:cstheme="minorBidi"/>
          <w:szCs w:val="18"/>
          <w:vertAlign w:val="superscript"/>
          <w:lang w:val="es-MX" w:eastAsia="en-US"/>
        </w:rPr>
        <w:footnoteRef/>
      </w:r>
      <w:r w:rsidRPr="00DD1816">
        <w:rPr>
          <w:rFonts w:ascii="Garamond" w:eastAsiaTheme="minorHAnsi" w:hAnsi="Garamond" w:cstheme="minorBidi"/>
          <w:szCs w:val="18"/>
          <w:vertAlign w:val="superscript"/>
          <w:lang w:val="es-MX" w:eastAsia="en-US"/>
        </w:rPr>
        <w:t xml:space="preserve"> </w:t>
      </w:r>
      <w:r w:rsidRPr="00DD1816">
        <w:rPr>
          <w:rFonts w:ascii="Garamond" w:eastAsiaTheme="minorHAnsi" w:hAnsi="Garamond" w:cstheme="minorBidi"/>
          <w:szCs w:val="18"/>
          <w:lang w:val="es-MX" w:eastAsia="en-US"/>
        </w:rPr>
        <w:t>Testimonio de uno de los asistentes al taller de autoridades del sector</w:t>
      </w:r>
    </w:p>
  </w:footnote>
  <w:footnote w:id="52">
    <w:p w:rsidR="00845F87" w:rsidRPr="003D09B9" w:rsidRDefault="00845F87" w:rsidP="004653D7">
      <w:pPr>
        <w:pStyle w:val="Textonotapie"/>
        <w:spacing w:before="0"/>
        <w:rPr>
          <w:rFonts w:ascii="Garamond" w:hAnsi="Garamond"/>
        </w:rPr>
      </w:pPr>
      <w:r w:rsidRPr="003D09B9">
        <w:rPr>
          <w:rStyle w:val="Refdenotaalpie"/>
          <w:rFonts w:ascii="Garamond" w:hAnsi="Garamond"/>
        </w:rPr>
        <w:footnoteRef/>
      </w:r>
      <w:r w:rsidRPr="003D09B9">
        <w:rPr>
          <w:rFonts w:ascii="Garamond" w:hAnsi="Garamond"/>
        </w:rPr>
        <w:t xml:space="preserve"> Material suministrado por la Oficina de Comunicaciones</w:t>
      </w:r>
      <w:r>
        <w:rPr>
          <w:rFonts w:ascii="Garamond" w:hAnsi="Garamond"/>
        </w:rPr>
        <w:t xml:space="preserve"> del MINTIC</w:t>
      </w:r>
    </w:p>
  </w:footnote>
  <w:footnote w:id="53">
    <w:p w:rsidR="00845F87" w:rsidRPr="00867FC3" w:rsidRDefault="00845F87" w:rsidP="00867FC3">
      <w:pPr>
        <w:pStyle w:val="Textonotapie"/>
        <w:spacing w:before="0"/>
        <w:rPr>
          <w:rFonts w:ascii="Garamond" w:hAnsi="Garamond"/>
        </w:rPr>
      </w:pPr>
      <w:r w:rsidRPr="00867FC3">
        <w:rPr>
          <w:rStyle w:val="Refdenotaalpie"/>
          <w:rFonts w:ascii="Garamond" w:hAnsi="Garamond"/>
        </w:rPr>
        <w:footnoteRef/>
      </w:r>
      <w:r w:rsidRPr="00867FC3">
        <w:rPr>
          <w:rFonts w:ascii="Garamond" w:hAnsi="Garamond"/>
        </w:rPr>
        <w:t xml:space="preserve"> </w:t>
      </w:r>
      <w:r>
        <w:rPr>
          <w:rFonts w:ascii="Garamond" w:hAnsi="Garamond"/>
        </w:rPr>
        <w:t>Ese estudio se desarrolla en el Informe Parte B. de la consultoría</w:t>
      </w:r>
    </w:p>
  </w:footnote>
  <w:footnote w:id="54">
    <w:p w:rsidR="00845F87" w:rsidRPr="00C823F7" w:rsidRDefault="00845F87" w:rsidP="001007D3">
      <w:pPr>
        <w:pStyle w:val="Textonotapie"/>
        <w:spacing w:before="0"/>
        <w:rPr>
          <w:rFonts w:ascii="Garamond" w:hAnsi="Garamond"/>
        </w:rPr>
      </w:pPr>
      <w:r w:rsidRPr="00C823F7">
        <w:rPr>
          <w:rStyle w:val="Refdenotaalpie"/>
          <w:rFonts w:ascii="Garamond" w:hAnsi="Garamond"/>
        </w:rPr>
        <w:footnoteRef/>
      </w:r>
      <w:r w:rsidRPr="00C823F7">
        <w:rPr>
          <w:rFonts w:ascii="Garamond" w:hAnsi="Garamond"/>
        </w:rPr>
        <w:t xml:space="preserve"> </w:t>
      </w:r>
      <w:r>
        <w:rPr>
          <w:rFonts w:ascii="Garamond" w:hAnsi="Garamond"/>
        </w:rPr>
        <w:t>Para este Anexo, las frases en cursiva indican citas textuales</w:t>
      </w:r>
      <w:r w:rsidRPr="00C823F7">
        <w:rPr>
          <w:rFonts w:ascii="Garamond" w:hAnsi="Garamond"/>
        </w:rPr>
        <w:t xml:space="preserve"> de </w:t>
      </w:r>
      <w:r>
        <w:rPr>
          <w:rFonts w:ascii="Garamond" w:hAnsi="Garamond"/>
        </w:rPr>
        <w:t>las respuestas</w:t>
      </w:r>
      <w:r w:rsidRPr="00C823F7">
        <w:rPr>
          <w:rFonts w:ascii="Garamond" w:hAnsi="Garamond"/>
        </w:rPr>
        <w:t xml:space="preserve"> de los encuestados</w:t>
      </w:r>
      <w:r>
        <w:rPr>
          <w:rFonts w:ascii="Garamond" w:hAnsi="Garamond"/>
        </w:rPr>
        <w:t>.</w:t>
      </w:r>
    </w:p>
  </w:footnote>
  <w:footnote w:id="55">
    <w:p w:rsidR="00845F87" w:rsidRPr="004E1E8F" w:rsidRDefault="00845F87" w:rsidP="001007D3">
      <w:pPr>
        <w:pStyle w:val="Textonotapie"/>
        <w:spacing w:before="0"/>
        <w:rPr>
          <w:rFonts w:ascii="Garamond" w:hAnsi="Garamond"/>
        </w:rPr>
      </w:pPr>
      <w:r w:rsidRPr="004E1E8F">
        <w:rPr>
          <w:rStyle w:val="Refdenotaalpie"/>
          <w:rFonts w:ascii="Garamond" w:hAnsi="Garamond"/>
        </w:rPr>
        <w:footnoteRef/>
      </w:r>
      <w:r w:rsidRPr="004E1E8F">
        <w:rPr>
          <w:rFonts w:ascii="Garamond" w:hAnsi="Garamond"/>
        </w:rPr>
        <w:t xml:space="preserve"> </w:t>
      </w:r>
      <w:r>
        <w:rPr>
          <w:rFonts w:ascii="Garamond" w:hAnsi="Garamond"/>
        </w:rPr>
        <w:t xml:space="preserve">Siete de los ocho entrevistados coincidió en ver la tecnología como algo positivo para la calidad de vida de las personas, sin embargo, uno de los entrevistados mencionó que no porque </w:t>
      </w:r>
      <w:r w:rsidRPr="00AC0263">
        <w:rPr>
          <w:rFonts w:ascii="Garamond" w:hAnsi="Garamond"/>
          <w:i/>
        </w:rPr>
        <w:t>“nos esclavizó”.</w:t>
      </w:r>
    </w:p>
  </w:footnote>
  <w:footnote w:id="56">
    <w:p w:rsidR="00845F87" w:rsidRPr="008923FB" w:rsidRDefault="00845F87" w:rsidP="008923FB">
      <w:pPr>
        <w:pStyle w:val="Textonotapie"/>
        <w:spacing w:before="0"/>
        <w:rPr>
          <w:rFonts w:ascii="Garamond" w:hAnsi="Garamond"/>
          <w:sz w:val="18"/>
          <w:szCs w:val="18"/>
          <w:lang w:val="es-CO"/>
        </w:rPr>
      </w:pPr>
      <w:r w:rsidRPr="008923FB">
        <w:rPr>
          <w:rStyle w:val="Refdenotaalpie"/>
          <w:rFonts w:ascii="Garamond" w:hAnsi="Garamond"/>
          <w:sz w:val="18"/>
          <w:szCs w:val="18"/>
        </w:rPr>
        <w:footnoteRef/>
      </w:r>
      <w:r w:rsidRPr="008923FB">
        <w:rPr>
          <w:rFonts w:ascii="Garamond" w:hAnsi="Garamond"/>
          <w:sz w:val="18"/>
          <w:szCs w:val="18"/>
        </w:rPr>
        <w:t xml:space="preserve"> </w:t>
      </w:r>
      <w:r>
        <w:rPr>
          <w:rFonts w:ascii="Garamond" w:hAnsi="Garamond"/>
          <w:sz w:val="18"/>
          <w:szCs w:val="18"/>
        </w:rPr>
        <w:t>Toda la información que contiene este anexo es tomada del documento “</w:t>
      </w:r>
      <w:r w:rsidRPr="008923FB">
        <w:rPr>
          <w:rFonts w:ascii="Garamond" w:hAnsi="Garamond"/>
          <w:sz w:val="18"/>
          <w:szCs w:val="18"/>
        </w:rPr>
        <w:t>METODOLOGÍA DE LA ENCUESTA NACIONAL DE CALIDAD DE VIDA 2011</w:t>
      </w:r>
      <w:r>
        <w:rPr>
          <w:rFonts w:ascii="Garamond" w:hAnsi="Garamond"/>
          <w:sz w:val="18"/>
          <w:szCs w:val="18"/>
        </w:rPr>
        <w:t xml:space="preserve">” del DANE. Consultado el 23/12/2013 en el siguiente vínculo: </w:t>
      </w:r>
      <w:r w:rsidRPr="008923FB">
        <w:rPr>
          <w:rFonts w:ascii="Garamond" w:hAnsi="Garamond"/>
          <w:sz w:val="18"/>
          <w:szCs w:val="18"/>
        </w:rPr>
        <w:t>http://www.google.com.co/url?sa=t&amp;rct=j&amp;q=&amp;esrc=s&amp;source=web&amp;cd=1&amp;ved=0CC0QFjAA&amp;url=http%3A%2F%2Fformularios.dane.gov.co%2Fpad%2Findex.php%2Fcatalog%2F167%2Fdownload%2F2944&amp;ei=tw-6UuO7GMzKkAfv54CYCA&amp;usg=AFQjCNGCM0AcVEeYpJiDYjYKVQ1QcEJS3Q&amp;bvm=bv.58187178,d.eW0&amp;cad=rj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F87" w:rsidRDefault="00845F87" w:rsidP="003A2765">
    <w:pPr>
      <w:pStyle w:val="Encabezado1"/>
      <w:rPr>
        <w:lang w:val="es-ES"/>
      </w:rPr>
    </w:pPr>
    <w:r>
      <w:rPr>
        <w:noProof/>
        <w:lang w:val="es-CO" w:eastAsia="es-CO"/>
      </w:rPr>
      <w:pict>
        <v:rect id="Rectángulo 23" o:spid="_x0000_s2050" style="position:absolute;left:0;text-align:left;margin-left:549pt;margin-top:0;width:40.9pt;height:171.9pt;z-index:251659264;visibility:visible;mso-position-horizontal-relative:page;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" o:allowincell="f" filled="f" stroked="f">
          <v:textbox style="layout-flow:vertical;mso-layout-flow-alt:bottom-to-top;mso-fit-shape-to-text:t">
            <w:txbxContent>
              <w:p w:rsidR="00845F87" w:rsidRPr="00896F5C" w:rsidRDefault="00845F87">
                <w:pPr>
                  <w:pStyle w:val="Piedepgina"/>
                  <w:rPr>
                    <w:rFonts w:ascii="Cambria" w:hAnsi="Cambria"/>
                    <w:sz w:val="44"/>
                    <w:szCs w:val="44"/>
                  </w:rPr>
                </w:pPr>
                <w:r w:rsidRPr="00896F5C">
                  <w:rPr>
                    <w:rFonts w:ascii="Cambria" w:hAnsi="Cambria"/>
                    <w:lang w:val="es-ES"/>
                  </w:rPr>
                  <w:t>Página</w:t>
                </w:r>
                <w:r w:rsidRPr="00C94AA3">
                  <w:rPr>
                    <w:lang w:val="es-CO"/>
                  </w:rPr>
                  <w:fldChar w:fldCharType="begin"/>
                </w:r>
                <w:r>
                  <w:instrText>PAGE    \* MERGEFORMAT</w:instrText>
                </w:r>
                <w:r w:rsidRPr="00C94AA3">
                  <w:rPr>
                    <w:lang w:val="es-CO"/>
                  </w:rPr>
                  <w:fldChar w:fldCharType="separate"/>
                </w:r>
                <w:r w:rsidR="008C7B1F" w:rsidRPr="008C7B1F">
                  <w:rPr>
                    <w:rFonts w:ascii="Cambria" w:hAnsi="Cambria"/>
                    <w:noProof/>
                    <w:sz w:val="44"/>
                    <w:szCs w:val="44"/>
                    <w:lang w:val="es-ES"/>
                  </w:rPr>
                  <w:t>13</w:t>
                </w:r>
                <w:r>
                  <w:rPr>
                    <w:rFonts w:ascii="Cambria" w:hAnsi="Cambria"/>
                    <w:noProof/>
                    <w:sz w:val="44"/>
                    <w:szCs w:val="44"/>
                    <w:lang w:val="es-ES"/>
                  </w:rPr>
                  <w:fldChar w:fldCharType="end"/>
                </w:r>
              </w:p>
            </w:txbxContent>
          </v:textbox>
          <w10:wrap anchorx="page" anchory="margin"/>
        </v:rect>
      </w:pict>
    </w:r>
    <w:r>
      <w:rPr>
        <w:lang w:val="es-ES"/>
      </w:rPr>
      <w:t>Estudio de costos y sostenibilidad financiera del componente de educación inicial de la Estrategia De Cero a Siempre</w:t>
    </w:r>
  </w:p>
  <w:p w:rsidR="00845F87" w:rsidRPr="001C7BDD" w:rsidRDefault="00845F87" w:rsidP="003A2765">
    <w:pPr>
      <w:pStyle w:val="Encabezado1"/>
      <w:rPr>
        <w:lang w:val="es-ES"/>
      </w:rPr>
    </w:pPr>
    <w:r w:rsidRPr="001C7BDD">
      <w:rPr>
        <w:lang w:val="es-ES"/>
      </w:rPr>
      <w:t xml:space="preserve">Econometría </w:t>
    </w:r>
    <w:r>
      <w:rPr>
        <w:lang w:val="es-ES"/>
      </w:rPr>
      <w:t>Consultores–Febrero 27 de 2013</w:t>
    </w:r>
  </w:p>
  <w:p w:rsidR="00845F87" w:rsidRPr="00473C12" w:rsidRDefault="00845F87" w:rsidP="003A2765">
    <w:pPr>
      <w:pStyle w:val="Encabezado"/>
      <w:tabs>
        <w:tab w:val="left" w:pos="993"/>
      </w:tabs>
      <w:jc w:val="right"/>
      <w:rPr>
        <w:rFonts w:ascii="Century Gothic" w:hAnsi="Century Gothic"/>
        <w:sz w:val="16"/>
        <w:szCs w:val="16"/>
      </w:rPr>
    </w:pPr>
  </w:p>
  <w:p w:rsidR="00845F87" w:rsidRDefault="00845F87">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F87" w:rsidRPr="00295351" w:rsidRDefault="00845F87" w:rsidP="003A2765">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F87" w:rsidRPr="00540759" w:rsidRDefault="00845F87" w:rsidP="006127B0">
    <w:pPr>
      <w:pStyle w:val="Encabezado1"/>
      <w:jc w:val="left"/>
      <w:rPr>
        <w:lang w:val="es-CO"/>
      </w:rPr>
    </w:pPr>
    <w:sdt>
      <w:sdtPr>
        <w:rPr>
          <w:lang w:val="es-CO"/>
        </w:rPr>
        <w:id w:val="873652644"/>
        <w:docPartObj>
          <w:docPartGallery w:val="Page Numbers (Margins)"/>
          <w:docPartUnique/>
        </w:docPartObj>
      </w:sdtPr>
      <w:sdtContent>
        <w:r w:rsidRPr="00C94AA3">
          <w:rPr>
            <w:noProof/>
          </w:rPr>
          <w:pict>
            <v:rect id="Rectángulo 3" o:spid="_x0000_s2053" style="position:absolute;margin-left:0;margin-top:0;width:40.2pt;height:171.9pt;z-index:251662336;visibility:visible;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" o:allowincell="f" filled="f" stroked="f">
              <v:textbox style="layout-flow:vertical;mso-layout-flow-alt:bottom-to-top;mso-next-textbox:#Rectángulo 3;mso-fit-shape-to-text:t">
                <w:txbxContent>
                  <w:p w:rsidR="00845F87" w:rsidRDefault="00845F87">
                    <w:pPr>
                      <w:pStyle w:val="Piedepgina"/>
                      <w:rPr>
                        <w:rFonts w:asciiTheme="majorHAnsi" w:eastAsiaTheme="majorEastAsia" w:hAnsiTheme="majorHAnsi" w:cstheme="majorBidi"/>
                        <w:sz w:val="44"/>
                        <w:szCs w:val="44"/>
                      </w:rPr>
                    </w:pPr>
                    <w:r>
                      <w:rPr>
                        <w:rFonts w:asciiTheme="majorHAnsi" w:eastAsiaTheme="majorEastAsia" w:hAnsiTheme="majorHAnsi" w:cstheme="majorBidi"/>
                        <w:lang w:val="es-ES"/>
                      </w:rPr>
                      <w:t>Página</w:t>
                    </w:r>
                    <w:r w:rsidRPr="00C94AA3">
                      <w:rPr>
                        <w:rFonts w:asciiTheme="minorHAnsi" w:eastAsiaTheme="minorEastAsia" w:hAnsiTheme="minorHAnsi" w:cstheme="minorBidi"/>
                        <w:sz w:val="22"/>
                        <w:szCs w:val="21"/>
                      </w:rPr>
                      <w:fldChar w:fldCharType="begin"/>
                    </w:r>
                    <w:r>
                      <w:instrText>PAGE    \* MERGEFORMAT</w:instrText>
                    </w:r>
                    <w:r w:rsidRPr="00C94AA3">
                      <w:rPr>
                        <w:rFonts w:asciiTheme="minorHAnsi" w:eastAsiaTheme="minorEastAsia" w:hAnsiTheme="minorHAnsi" w:cstheme="minorBidi"/>
                        <w:sz w:val="22"/>
                        <w:szCs w:val="21"/>
                      </w:rPr>
                      <w:fldChar w:fldCharType="separate"/>
                    </w:r>
                    <w:r w:rsidR="00052E37" w:rsidRPr="00052E37">
                      <w:rPr>
                        <w:rFonts w:asciiTheme="majorHAnsi" w:eastAsiaTheme="majorEastAsia" w:hAnsiTheme="majorHAnsi" w:cstheme="majorBidi"/>
                        <w:noProof/>
                        <w:sz w:val="44"/>
                        <w:szCs w:val="44"/>
                        <w:lang w:val="es-ES"/>
                      </w:rPr>
                      <w:t>11</w:t>
                    </w:r>
                    <w:r>
                      <w:rPr>
                        <w:rFonts w:asciiTheme="majorHAnsi" w:eastAsiaTheme="majorEastAsia" w:hAnsiTheme="majorHAnsi" w:cstheme="majorBidi"/>
                        <w:sz w:val="44"/>
                        <w:szCs w:val="44"/>
                      </w:rPr>
                      <w:fldChar w:fldCharType="end"/>
                    </w:r>
                  </w:p>
                </w:txbxContent>
              </v:textbox>
              <w10:wrap anchorx="margin" anchory="margin"/>
            </v:rect>
          </w:pict>
        </w:r>
      </w:sdtContent>
    </w:sdt>
    <w:r w:rsidRPr="00540759">
      <w:rPr>
        <w:lang w:val="es-CO"/>
      </w:rPr>
      <w:t xml:space="preserve">Evaluación de resultados del Plan Vive Digital desde la perspectiva de la masificación, apropiación y uso de la tecnología  - Informe III.A: </w:t>
    </w:r>
    <w:r>
      <w:rPr>
        <w:lang w:val="es-CO"/>
      </w:rPr>
      <w:t xml:space="preserve">Informe </w:t>
    </w:r>
    <w:r w:rsidRPr="00540759">
      <w:rPr>
        <w:lang w:val="es-CO"/>
      </w:rPr>
      <w:t>Final</w:t>
    </w:r>
  </w:p>
  <w:p w:rsidR="00845F87" w:rsidRPr="00CA2DED" w:rsidRDefault="00845F87" w:rsidP="006127B0">
    <w:pPr>
      <w:pStyle w:val="Encabezado1"/>
      <w:jc w:val="left"/>
      <w:rPr>
        <w:lang w:val="es-CO"/>
      </w:rPr>
    </w:pPr>
    <w:r w:rsidRPr="00CA2DED">
      <w:rPr>
        <w:lang w:val="es-CO"/>
      </w:rPr>
      <w:t>Econom</w:t>
    </w:r>
    <w:r>
      <w:rPr>
        <w:lang w:val="es-CO"/>
      </w:rPr>
      <w:t>etría Consultores – Diciembre de 2014</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F87" w:rsidRPr="006127B0" w:rsidRDefault="00845F87" w:rsidP="006127B0">
    <w:pPr>
      <w:pStyle w:val="Encabezado1"/>
      <w:jc w:val="left"/>
      <w:rPr>
        <w:lang w:val="es-CO"/>
      </w:rPr>
    </w:pPr>
    <w:r w:rsidRPr="006127B0">
      <w:rPr>
        <w:lang w:val="es-CO"/>
      </w:rPr>
      <w:t xml:space="preserve">Evaluación de resultados del Plan Vive Digital desde la perspectiva de la masificación, apropiación y uso de la tecnología  - </w:t>
    </w:r>
    <w:r>
      <w:rPr>
        <w:lang w:val="es-CO"/>
      </w:rPr>
      <w:t>Volumen</w:t>
    </w:r>
    <w:r w:rsidRPr="006127B0">
      <w:rPr>
        <w:lang w:val="es-CO"/>
      </w:rPr>
      <w:t xml:space="preserve"> III.A: </w:t>
    </w:r>
    <w:r>
      <w:rPr>
        <w:lang w:val="es-CO"/>
      </w:rPr>
      <w:t xml:space="preserve">Informe </w:t>
    </w:r>
    <w:r w:rsidRPr="006127B0">
      <w:rPr>
        <w:lang w:val="es-CO"/>
      </w:rPr>
      <w:t>Final</w:t>
    </w:r>
  </w:p>
  <w:p w:rsidR="00845F87" w:rsidRPr="00CA2DED" w:rsidRDefault="00845F87" w:rsidP="006127B0">
    <w:pPr>
      <w:pStyle w:val="Encabezado1"/>
      <w:jc w:val="left"/>
      <w:rPr>
        <w:lang w:val="es-CO"/>
      </w:rPr>
    </w:pPr>
    <w:r w:rsidRPr="00CA2DED">
      <w:rPr>
        <w:lang w:val="es-CO"/>
      </w:rPr>
      <w:t>Econom</w:t>
    </w:r>
    <w:r>
      <w:rPr>
        <w:lang w:val="es-CO"/>
      </w:rPr>
      <w:t>etría Consultores – Diciembre de 2014</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B3843"/>
    <w:multiLevelType w:val="multilevel"/>
    <w:tmpl w:val="45A66A1C"/>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
    <w:nsid w:val="05AC3E33"/>
    <w:multiLevelType w:val="multilevel"/>
    <w:tmpl w:val="481E3552"/>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sz w:val="26"/>
        <w:szCs w:val="26"/>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
    <w:nsid w:val="0DCE4CAB"/>
    <w:multiLevelType w:val="hybridMultilevel"/>
    <w:tmpl w:val="260E4CA6"/>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nsid w:val="0ECD6F34"/>
    <w:multiLevelType w:val="hybridMultilevel"/>
    <w:tmpl w:val="DADA889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FDE5C1D"/>
    <w:multiLevelType w:val="hybridMultilevel"/>
    <w:tmpl w:val="F7809830"/>
    <w:lvl w:ilvl="0" w:tplc="141CC07E">
      <w:start w:val="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11E37563"/>
    <w:multiLevelType w:val="hybridMultilevel"/>
    <w:tmpl w:val="ECA2A00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2A31F08"/>
    <w:multiLevelType w:val="hybridMultilevel"/>
    <w:tmpl w:val="2E3CFA1C"/>
    <w:lvl w:ilvl="0" w:tplc="240A0017">
      <w:start w:val="1"/>
      <w:numFmt w:val="lowerLetter"/>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4BC13F9"/>
    <w:multiLevelType w:val="multilevel"/>
    <w:tmpl w:val="EF3C816C"/>
    <w:lvl w:ilvl="0">
      <w:start w:val="5"/>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8">
    <w:nsid w:val="1698002A"/>
    <w:multiLevelType w:val="hybridMultilevel"/>
    <w:tmpl w:val="DFDE081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1770559E"/>
    <w:multiLevelType w:val="hybridMultilevel"/>
    <w:tmpl w:val="2DFC9C28"/>
    <w:lvl w:ilvl="0" w:tplc="1376F1AE">
      <w:start w:val="1"/>
      <w:numFmt w:val="lowerRoman"/>
      <w:lvlText w:val="(%1)"/>
      <w:lvlJc w:val="left"/>
      <w:pPr>
        <w:tabs>
          <w:tab w:val="num" w:pos="1080"/>
        </w:tabs>
        <w:ind w:left="1080"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nsid w:val="1B025678"/>
    <w:multiLevelType w:val="hybridMultilevel"/>
    <w:tmpl w:val="EECE01C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nsid w:val="1CC314DA"/>
    <w:multiLevelType w:val="hybridMultilevel"/>
    <w:tmpl w:val="66F409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1CCE521E"/>
    <w:multiLevelType w:val="hybridMultilevel"/>
    <w:tmpl w:val="013A613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1282861"/>
    <w:multiLevelType w:val="hybridMultilevel"/>
    <w:tmpl w:val="8D78A72C"/>
    <w:lvl w:ilvl="0" w:tplc="46B4E882">
      <w:start w:val="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21591168"/>
    <w:multiLevelType w:val="hybridMultilevel"/>
    <w:tmpl w:val="F90CFA7A"/>
    <w:lvl w:ilvl="0" w:tplc="FB64D650">
      <w:start w:val="1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21DC26B7"/>
    <w:multiLevelType w:val="multilevel"/>
    <w:tmpl w:val="CA4079C4"/>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sz w:val="26"/>
        <w:szCs w:val="26"/>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6">
    <w:nsid w:val="25920E2D"/>
    <w:multiLevelType w:val="hybridMultilevel"/>
    <w:tmpl w:val="ACF01A7C"/>
    <w:lvl w:ilvl="0" w:tplc="1376F1AE">
      <w:start w:val="1"/>
      <w:numFmt w:val="lowerRoman"/>
      <w:lvlText w:val="(%1)"/>
      <w:lvlJc w:val="left"/>
      <w:pPr>
        <w:tabs>
          <w:tab w:val="num" w:pos="1080"/>
        </w:tabs>
        <w:ind w:left="1080"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nsid w:val="2E8571E7"/>
    <w:multiLevelType w:val="hybridMultilevel"/>
    <w:tmpl w:val="F5347864"/>
    <w:lvl w:ilvl="0" w:tplc="240A000D">
      <w:start w:val="1"/>
      <w:numFmt w:val="bullet"/>
      <w:lvlText w:val=""/>
      <w:lvlJc w:val="left"/>
      <w:pPr>
        <w:ind w:left="1428" w:hanging="360"/>
      </w:pPr>
      <w:rPr>
        <w:rFonts w:ascii="Wingdings" w:hAnsi="Wingdings"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8">
    <w:nsid w:val="2E900CB2"/>
    <w:multiLevelType w:val="multilevel"/>
    <w:tmpl w:val="5BB23D56"/>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9">
    <w:nsid w:val="2EFA6CC7"/>
    <w:multiLevelType w:val="hybridMultilevel"/>
    <w:tmpl w:val="AD54FB8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2F02098C"/>
    <w:multiLevelType w:val="hybridMultilevel"/>
    <w:tmpl w:val="FA809C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33406A61"/>
    <w:multiLevelType w:val="hybridMultilevel"/>
    <w:tmpl w:val="94E004CA"/>
    <w:lvl w:ilvl="0" w:tplc="240A000D">
      <w:start w:val="1"/>
      <w:numFmt w:val="bullet"/>
      <w:lvlText w:val=""/>
      <w:lvlJc w:val="left"/>
      <w:pPr>
        <w:tabs>
          <w:tab w:val="num" w:pos="795"/>
        </w:tabs>
        <w:ind w:left="795" w:hanging="360"/>
      </w:pPr>
      <w:rPr>
        <w:rFonts w:ascii="Wingdings" w:hAnsi="Wingdings" w:hint="default"/>
      </w:rPr>
    </w:lvl>
    <w:lvl w:ilvl="1" w:tplc="0C0A0003" w:tentative="1">
      <w:start w:val="1"/>
      <w:numFmt w:val="bullet"/>
      <w:lvlText w:val="o"/>
      <w:lvlJc w:val="left"/>
      <w:pPr>
        <w:tabs>
          <w:tab w:val="num" w:pos="1515"/>
        </w:tabs>
        <w:ind w:left="1515" w:hanging="360"/>
      </w:pPr>
      <w:rPr>
        <w:rFonts w:ascii="Courier New" w:hAnsi="Courier New" w:cs="Courier New" w:hint="default"/>
      </w:rPr>
    </w:lvl>
    <w:lvl w:ilvl="2" w:tplc="0C0A0005" w:tentative="1">
      <w:start w:val="1"/>
      <w:numFmt w:val="bullet"/>
      <w:lvlText w:val=""/>
      <w:lvlJc w:val="left"/>
      <w:pPr>
        <w:tabs>
          <w:tab w:val="num" w:pos="2235"/>
        </w:tabs>
        <w:ind w:left="2235" w:hanging="360"/>
      </w:pPr>
      <w:rPr>
        <w:rFonts w:ascii="Wingdings" w:hAnsi="Wingdings" w:hint="default"/>
      </w:rPr>
    </w:lvl>
    <w:lvl w:ilvl="3" w:tplc="0C0A0001" w:tentative="1">
      <w:start w:val="1"/>
      <w:numFmt w:val="bullet"/>
      <w:lvlText w:val=""/>
      <w:lvlJc w:val="left"/>
      <w:pPr>
        <w:tabs>
          <w:tab w:val="num" w:pos="2955"/>
        </w:tabs>
        <w:ind w:left="2955" w:hanging="360"/>
      </w:pPr>
      <w:rPr>
        <w:rFonts w:ascii="Symbol" w:hAnsi="Symbol" w:hint="default"/>
      </w:rPr>
    </w:lvl>
    <w:lvl w:ilvl="4" w:tplc="0C0A0003" w:tentative="1">
      <w:start w:val="1"/>
      <w:numFmt w:val="bullet"/>
      <w:lvlText w:val="o"/>
      <w:lvlJc w:val="left"/>
      <w:pPr>
        <w:tabs>
          <w:tab w:val="num" w:pos="3675"/>
        </w:tabs>
        <w:ind w:left="3675" w:hanging="360"/>
      </w:pPr>
      <w:rPr>
        <w:rFonts w:ascii="Courier New" w:hAnsi="Courier New" w:cs="Courier New" w:hint="default"/>
      </w:rPr>
    </w:lvl>
    <w:lvl w:ilvl="5" w:tplc="0C0A0005" w:tentative="1">
      <w:start w:val="1"/>
      <w:numFmt w:val="bullet"/>
      <w:lvlText w:val=""/>
      <w:lvlJc w:val="left"/>
      <w:pPr>
        <w:tabs>
          <w:tab w:val="num" w:pos="4395"/>
        </w:tabs>
        <w:ind w:left="4395" w:hanging="360"/>
      </w:pPr>
      <w:rPr>
        <w:rFonts w:ascii="Wingdings" w:hAnsi="Wingdings" w:hint="default"/>
      </w:rPr>
    </w:lvl>
    <w:lvl w:ilvl="6" w:tplc="0C0A0001" w:tentative="1">
      <w:start w:val="1"/>
      <w:numFmt w:val="bullet"/>
      <w:lvlText w:val=""/>
      <w:lvlJc w:val="left"/>
      <w:pPr>
        <w:tabs>
          <w:tab w:val="num" w:pos="5115"/>
        </w:tabs>
        <w:ind w:left="5115" w:hanging="360"/>
      </w:pPr>
      <w:rPr>
        <w:rFonts w:ascii="Symbol" w:hAnsi="Symbol" w:hint="default"/>
      </w:rPr>
    </w:lvl>
    <w:lvl w:ilvl="7" w:tplc="0C0A0003" w:tentative="1">
      <w:start w:val="1"/>
      <w:numFmt w:val="bullet"/>
      <w:lvlText w:val="o"/>
      <w:lvlJc w:val="left"/>
      <w:pPr>
        <w:tabs>
          <w:tab w:val="num" w:pos="5835"/>
        </w:tabs>
        <w:ind w:left="5835" w:hanging="360"/>
      </w:pPr>
      <w:rPr>
        <w:rFonts w:ascii="Courier New" w:hAnsi="Courier New" w:cs="Courier New" w:hint="default"/>
      </w:rPr>
    </w:lvl>
    <w:lvl w:ilvl="8" w:tplc="0C0A0005" w:tentative="1">
      <w:start w:val="1"/>
      <w:numFmt w:val="bullet"/>
      <w:lvlText w:val=""/>
      <w:lvlJc w:val="left"/>
      <w:pPr>
        <w:tabs>
          <w:tab w:val="num" w:pos="6555"/>
        </w:tabs>
        <w:ind w:left="6555" w:hanging="360"/>
      </w:pPr>
      <w:rPr>
        <w:rFonts w:ascii="Wingdings" w:hAnsi="Wingdings" w:hint="default"/>
      </w:rPr>
    </w:lvl>
  </w:abstractNum>
  <w:abstractNum w:abstractNumId="22">
    <w:nsid w:val="34A72C5E"/>
    <w:multiLevelType w:val="hybridMultilevel"/>
    <w:tmpl w:val="36B65062"/>
    <w:lvl w:ilvl="0" w:tplc="103C08EC">
      <w:start w:val="1"/>
      <w:numFmt w:val="decimal"/>
      <w:lvlText w:val="%1."/>
      <w:lvlJc w:val="left"/>
      <w:pPr>
        <w:tabs>
          <w:tab w:val="num" w:pos="720"/>
        </w:tabs>
        <w:ind w:left="720" w:hanging="360"/>
      </w:pPr>
    </w:lvl>
    <w:lvl w:ilvl="1" w:tplc="A3B4B532" w:tentative="1">
      <w:start w:val="1"/>
      <w:numFmt w:val="decimal"/>
      <w:lvlText w:val="%2."/>
      <w:lvlJc w:val="left"/>
      <w:pPr>
        <w:tabs>
          <w:tab w:val="num" w:pos="1440"/>
        </w:tabs>
        <w:ind w:left="1440" w:hanging="360"/>
      </w:pPr>
    </w:lvl>
    <w:lvl w:ilvl="2" w:tplc="DBEC9608" w:tentative="1">
      <w:start w:val="1"/>
      <w:numFmt w:val="decimal"/>
      <w:lvlText w:val="%3."/>
      <w:lvlJc w:val="left"/>
      <w:pPr>
        <w:tabs>
          <w:tab w:val="num" w:pos="2160"/>
        </w:tabs>
        <w:ind w:left="2160" w:hanging="360"/>
      </w:pPr>
    </w:lvl>
    <w:lvl w:ilvl="3" w:tplc="55B4591E" w:tentative="1">
      <w:start w:val="1"/>
      <w:numFmt w:val="decimal"/>
      <w:lvlText w:val="%4."/>
      <w:lvlJc w:val="left"/>
      <w:pPr>
        <w:tabs>
          <w:tab w:val="num" w:pos="2880"/>
        </w:tabs>
        <w:ind w:left="2880" w:hanging="360"/>
      </w:pPr>
    </w:lvl>
    <w:lvl w:ilvl="4" w:tplc="5E7E9C96" w:tentative="1">
      <w:start w:val="1"/>
      <w:numFmt w:val="decimal"/>
      <w:lvlText w:val="%5."/>
      <w:lvlJc w:val="left"/>
      <w:pPr>
        <w:tabs>
          <w:tab w:val="num" w:pos="3600"/>
        </w:tabs>
        <w:ind w:left="3600" w:hanging="360"/>
      </w:pPr>
    </w:lvl>
    <w:lvl w:ilvl="5" w:tplc="C39CC83C" w:tentative="1">
      <w:start w:val="1"/>
      <w:numFmt w:val="decimal"/>
      <w:lvlText w:val="%6."/>
      <w:lvlJc w:val="left"/>
      <w:pPr>
        <w:tabs>
          <w:tab w:val="num" w:pos="4320"/>
        </w:tabs>
        <w:ind w:left="4320" w:hanging="360"/>
      </w:pPr>
    </w:lvl>
    <w:lvl w:ilvl="6" w:tplc="1D62A58C" w:tentative="1">
      <w:start w:val="1"/>
      <w:numFmt w:val="decimal"/>
      <w:lvlText w:val="%7."/>
      <w:lvlJc w:val="left"/>
      <w:pPr>
        <w:tabs>
          <w:tab w:val="num" w:pos="5040"/>
        </w:tabs>
        <w:ind w:left="5040" w:hanging="360"/>
      </w:pPr>
    </w:lvl>
    <w:lvl w:ilvl="7" w:tplc="754C5DEA" w:tentative="1">
      <w:start w:val="1"/>
      <w:numFmt w:val="decimal"/>
      <w:lvlText w:val="%8."/>
      <w:lvlJc w:val="left"/>
      <w:pPr>
        <w:tabs>
          <w:tab w:val="num" w:pos="5760"/>
        </w:tabs>
        <w:ind w:left="5760" w:hanging="360"/>
      </w:pPr>
    </w:lvl>
    <w:lvl w:ilvl="8" w:tplc="42AAEA34" w:tentative="1">
      <w:start w:val="1"/>
      <w:numFmt w:val="decimal"/>
      <w:lvlText w:val="%9."/>
      <w:lvlJc w:val="left"/>
      <w:pPr>
        <w:tabs>
          <w:tab w:val="num" w:pos="6480"/>
        </w:tabs>
        <w:ind w:left="6480" w:hanging="360"/>
      </w:pPr>
    </w:lvl>
  </w:abstractNum>
  <w:abstractNum w:abstractNumId="23">
    <w:nsid w:val="36760633"/>
    <w:multiLevelType w:val="hybridMultilevel"/>
    <w:tmpl w:val="04CEB6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38100800"/>
    <w:multiLevelType w:val="hybridMultilevel"/>
    <w:tmpl w:val="2B06DD8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3825136B"/>
    <w:multiLevelType w:val="multilevel"/>
    <w:tmpl w:val="5F6C1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A7A21D9"/>
    <w:multiLevelType w:val="hybridMultilevel"/>
    <w:tmpl w:val="EDFEDD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3C7D3D8D"/>
    <w:multiLevelType w:val="hybridMultilevel"/>
    <w:tmpl w:val="CB480E7A"/>
    <w:lvl w:ilvl="0" w:tplc="1376F1AE">
      <w:start w:val="1"/>
      <w:numFmt w:val="lowerRoman"/>
      <w:lvlText w:val="(%1)"/>
      <w:lvlJc w:val="left"/>
      <w:pPr>
        <w:tabs>
          <w:tab w:val="num" w:pos="1080"/>
        </w:tabs>
        <w:ind w:left="1080"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nsid w:val="3DE2499E"/>
    <w:multiLevelType w:val="multilevel"/>
    <w:tmpl w:val="89D8CAD8"/>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718"/>
        </w:tabs>
        <w:ind w:left="718" w:hanging="576"/>
      </w:pPr>
      <w:rPr>
        <w:rFonts w:cs="Times New Roman" w:hint="default"/>
        <w:b w:val="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9">
    <w:nsid w:val="3E557664"/>
    <w:multiLevelType w:val="hybridMultilevel"/>
    <w:tmpl w:val="9CB428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nsid w:val="3FC40C62"/>
    <w:multiLevelType w:val="hybridMultilevel"/>
    <w:tmpl w:val="850C94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nsid w:val="40DC04C1"/>
    <w:multiLevelType w:val="hybridMultilevel"/>
    <w:tmpl w:val="5666EC4E"/>
    <w:lvl w:ilvl="0" w:tplc="958CB4BE">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4741449E"/>
    <w:multiLevelType w:val="hybridMultilevel"/>
    <w:tmpl w:val="E12274C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47FE1B61"/>
    <w:multiLevelType w:val="hybridMultilevel"/>
    <w:tmpl w:val="1EF02A90"/>
    <w:lvl w:ilvl="0" w:tplc="240A0001">
      <w:start w:val="1"/>
      <w:numFmt w:val="bullet"/>
      <w:lvlText w:val=""/>
      <w:lvlJc w:val="left"/>
      <w:pPr>
        <w:ind w:left="791" w:hanging="360"/>
      </w:pPr>
      <w:rPr>
        <w:rFonts w:ascii="Symbol" w:hAnsi="Symbol" w:hint="default"/>
      </w:rPr>
    </w:lvl>
    <w:lvl w:ilvl="1" w:tplc="240A0003" w:tentative="1">
      <w:start w:val="1"/>
      <w:numFmt w:val="bullet"/>
      <w:lvlText w:val="o"/>
      <w:lvlJc w:val="left"/>
      <w:pPr>
        <w:ind w:left="1511" w:hanging="360"/>
      </w:pPr>
      <w:rPr>
        <w:rFonts w:ascii="Courier New" w:hAnsi="Courier New" w:cs="Courier New" w:hint="default"/>
      </w:rPr>
    </w:lvl>
    <w:lvl w:ilvl="2" w:tplc="240A0005" w:tentative="1">
      <w:start w:val="1"/>
      <w:numFmt w:val="bullet"/>
      <w:lvlText w:val=""/>
      <w:lvlJc w:val="left"/>
      <w:pPr>
        <w:ind w:left="2231" w:hanging="360"/>
      </w:pPr>
      <w:rPr>
        <w:rFonts w:ascii="Wingdings" w:hAnsi="Wingdings" w:hint="default"/>
      </w:rPr>
    </w:lvl>
    <w:lvl w:ilvl="3" w:tplc="240A0001" w:tentative="1">
      <w:start w:val="1"/>
      <w:numFmt w:val="bullet"/>
      <w:lvlText w:val=""/>
      <w:lvlJc w:val="left"/>
      <w:pPr>
        <w:ind w:left="2951" w:hanging="360"/>
      </w:pPr>
      <w:rPr>
        <w:rFonts w:ascii="Symbol" w:hAnsi="Symbol" w:hint="default"/>
      </w:rPr>
    </w:lvl>
    <w:lvl w:ilvl="4" w:tplc="240A0003" w:tentative="1">
      <w:start w:val="1"/>
      <w:numFmt w:val="bullet"/>
      <w:lvlText w:val="o"/>
      <w:lvlJc w:val="left"/>
      <w:pPr>
        <w:ind w:left="3671" w:hanging="360"/>
      </w:pPr>
      <w:rPr>
        <w:rFonts w:ascii="Courier New" w:hAnsi="Courier New" w:cs="Courier New" w:hint="default"/>
      </w:rPr>
    </w:lvl>
    <w:lvl w:ilvl="5" w:tplc="240A0005" w:tentative="1">
      <w:start w:val="1"/>
      <w:numFmt w:val="bullet"/>
      <w:lvlText w:val=""/>
      <w:lvlJc w:val="left"/>
      <w:pPr>
        <w:ind w:left="4391" w:hanging="360"/>
      </w:pPr>
      <w:rPr>
        <w:rFonts w:ascii="Wingdings" w:hAnsi="Wingdings" w:hint="default"/>
      </w:rPr>
    </w:lvl>
    <w:lvl w:ilvl="6" w:tplc="240A0001" w:tentative="1">
      <w:start w:val="1"/>
      <w:numFmt w:val="bullet"/>
      <w:lvlText w:val=""/>
      <w:lvlJc w:val="left"/>
      <w:pPr>
        <w:ind w:left="5111" w:hanging="360"/>
      </w:pPr>
      <w:rPr>
        <w:rFonts w:ascii="Symbol" w:hAnsi="Symbol" w:hint="default"/>
      </w:rPr>
    </w:lvl>
    <w:lvl w:ilvl="7" w:tplc="240A0003" w:tentative="1">
      <w:start w:val="1"/>
      <w:numFmt w:val="bullet"/>
      <w:lvlText w:val="o"/>
      <w:lvlJc w:val="left"/>
      <w:pPr>
        <w:ind w:left="5831" w:hanging="360"/>
      </w:pPr>
      <w:rPr>
        <w:rFonts w:ascii="Courier New" w:hAnsi="Courier New" w:cs="Courier New" w:hint="default"/>
      </w:rPr>
    </w:lvl>
    <w:lvl w:ilvl="8" w:tplc="240A0005" w:tentative="1">
      <w:start w:val="1"/>
      <w:numFmt w:val="bullet"/>
      <w:lvlText w:val=""/>
      <w:lvlJc w:val="left"/>
      <w:pPr>
        <w:ind w:left="6551" w:hanging="360"/>
      </w:pPr>
      <w:rPr>
        <w:rFonts w:ascii="Wingdings" w:hAnsi="Wingdings" w:hint="default"/>
      </w:rPr>
    </w:lvl>
  </w:abstractNum>
  <w:abstractNum w:abstractNumId="34">
    <w:nsid w:val="4BEB421F"/>
    <w:multiLevelType w:val="hybridMultilevel"/>
    <w:tmpl w:val="E4623F32"/>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nsid w:val="4F7D4708"/>
    <w:multiLevelType w:val="hybridMultilevel"/>
    <w:tmpl w:val="E37EE1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nsid w:val="514B78E5"/>
    <w:multiLevelType w:val="hybridMultilevel"/>
    <w:tmpl w:val="9A30BD6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nsid w:val="51F03AD4"/>
    <w:multiLevelType w:val="hybridMultilevel"/>
    <w:tmpl w:val="FE3E5A46"/>
    <w:lvl w:ilvl="0" w:tplc="8632A888">
      <w:numFmt w:val="bullet"/>
      <w:lvlText w:val="-"/>
      <w:lvlJc w:val="left"/>
      <w:pPr>
        <w:ind w:left="720" w:hanging="360"/>
      </w:pPr>
      <w:rPr>
        <w:rFonts w:ascii="Garamond" w:eastAsia="Times New Roman" w:hAnsi="Garamond"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nsid w:val="53A80DE1"/>
    <w:multiLevelType w:val="hybridMultilevel"/>
    <w:tmpl w:val="51E2B54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9">
    <w:nsid w:val="56D16AAE"/>
    <w:multiLevelType w:val="hybridMultilevel"/>
    <w:tmpl w:val="039823A8"/>
    <w:lvl w:ilvl="0" w:tplc="1376F1AE">
      <w:start w:val="1"/>
      <w:numFmt w:val="lowerRoman"/>
      <w:lvlText w:val="(%1)"/>
      <w:lvlJc w:val="left"/>
      <w:pPr>
        <w:tabs>
          <w:tab w:val="num" w:pos="1080"/>
        </w:tabs>
        <w:ind w:left="1080"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0">
    <w:nsid w:val="5AF64D55"/>
    <w:multiLevelType w:val="hybridMultilevel"/>
    <w:tmpl w:val="DFA65E94"/>
    <w:lvl w:ilvl="0" w:tplc="FB048EF4">
      <w:start w:val="10"/>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nsid w:val="5DDD36A4"/>
    <w:multiLevelType w:val="hybridMultilevel"/>
    <w:tmpl w:val="145A472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nsid w:val="620515B0"/>
    <w:multiLevelType w:val="hybridMultilevel"/>
    <w:tmpl w:val="8BE6A2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nsid w:val="63BB4670"/>
    <w:multiLevelType w:val="hybridMultilevel"/>
    <w:tmpl w:val="239CA2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nsid w:val="6648320E"/>
    <w:multiLevelType w:val="hybridMultilevel"/>
    <w:tmpl w:val="090668C6"/>
    <w:lvl w:ilvl="0" w:tplc="4C42FBDC">
      <w:start w:val="1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nsid w:val="66DB320F"/>
    <w:multiLevelType w:val="hybridMultilevel"/>
    <w:tmpl w:val="36B65062"/>
    <w:lvl w:ilvl="0" w:tplc="103C08EC">
      <w:start w:val="1"/>
      <w:numFmt w:val="decimal"/>
      <w:lvlText w:val="%1."/>
      <w:lvlJc w:val="left"/>
      <w:pPr>
        <w:tabs>
          <w:tab w:val="num" w:pos="720"/>
        </w:tabs>
        <w:ind w:left="720" w:hanging="360"/>
      </w:pPr>
    </w:lvl>
    <w:lvl w:ilvl="1" w:tplc="A3B4B532" w:tentative="1">
      <w:start w:val="1"/>
      <w:numFmt w:val="decimal"/>
      <w:lvlText w:val="%2."/>
      <w:lvlJc w:val="left"/>
      <w:pPr>
        <w:tabs>
          <w:tab w:val="num" w:pos="1440"/>
        </w:tabs>
        <w:ind w:left="1440" w:hanging="360"/>
      </w:pPr>
    </w:lvl>
    <w:lvl w:ilvl="2" w:tplc="DBEC9608" w:tentative="1">
      <w:start w:val="1"/>
      <w:numFmt w:val="decimal"/>
      <w:lvlText w:val="%3."/>
      <w:lvlJc w:val="left"/>
      <w:pPr>
        <w:tabs>
          <w:tab w:val="num" w:pos="2160"/>
        </w:tabs>
        <w:ind w:left="2160" w:hanging="360"/>
      </w:pPr>
    </w:lvl>
    <w:lvl w:ilvl="3" w:tplc="55B4591E" w:tentative="1">
      <w:start w:val="1"/>
      <w:numFmt w:val="decimal"/>
      <w:lvlText w:val="%4."/>
      <w:lvlJc w:val="left"/>
      <w:pPr>
        <w:tabs>
          <w:tab w:val="num" w:pos="2880"/>
        </w:tabs>
        <w:ind w:left="2880" w:hanging="360"/>
      </w:pPr>
    </w:lvl>
    <w:lvl w:ilvl="4" w:tplc="5E7E9C96" w:tentative="1">
      <w:start w:val="1"/>
      <w:numFmt w:val="decimal"/>
      <w:lvlText w:val="%5."/>
      <w:lvlJc w:val="left"/>
      <w:pPr>
        <w:tabs>
          <w:tab w:val="num" w:pos="3600"/>
        </w:tabs>
        <w:ind w:left="3600" w:hanging="360"/>
      </w:pPr>
    </w:lvl>
    <w:lvl w:ilvl="5" w:tplc="C39CC83C" w:tentative="1">
      <w:start w:val="1"/>
      <w:numFmt w:val="decimal"/>
      <w:lvlText w:val="%6."/>
      <w:lvlJc w:val="left"/>
      <w:pPr>
        <w:tabs>
          <w:tab w:val="num" w:pos="4320"/>
        </w:tabs>
        <w:ind w:left="4320" w:hanging="360"/>
      </w:pPr>
    </w:lvl>
    <w:lvl w:ilvl="6" w:tplc="1D62A58C" w:tentative="1">
      <w:start w:val="1"/>
      <w:numFmt w:val="decimal"/>
      <w:lvlText w:val="%7."/>
      <w:lvlJc w:val="left"/>
      <w:pPr>
        <w:tabs>
          <w:tab w:val="num" w:pos="5040"/>
        </w:tabs>
        <w:ind w:left="5040" w:hanging="360"/>
      </w:pPr>
    </w:lvl>
    <w:lvl w:ilvl="7" w:tplc="754C5DEA" w:tentative="1">
      <w:start w:val="1"/>
      <w:numFmt w:val="decimal"/>
      <w:lvlText w:val="%8."/>
      <w:lvlJc w:val="left"/>
      <w:pPr>
        <w:tabs>
          <w:tab w:val="num" w:pos="5760"/>
        </w:tabs>
        <w:ind w:left="5760" w:hanging="360"/>
      </w:pPr>
    </w:lvl>
    <w:lvl w:ilvl="8" w:tplc="42AAEA34" w:tentative="1">
      <w:start w:val="1"/>
      <w:numFmt w:val="decimal"/>
      <w:lvlText w:val="%9."/>
      <w:lvlJc w:val="left"/>
      <w:pPr>
        <w:tabs>
          <w:tab w:val="num" w:pos="6480"/>
        </w:tabs>
        <w:ind w:left="6480" w:hanging="360"/>
      </w:pPr>
    </w:lvl>
  </w:abstractNum>
  <w:abstractNum w:abstractNumId="46">
    <w:nsid w:val="67F74E0B"/>
    <w:multiLevelType w:val="multilevel"/>
    <w:tmpl w:val="520CEC74"/>
    <w:lvl w:ilvl="0">
      <w:start w:val="1"/>
      <w:numFmt w:val="decimal"/>
      <w:pStyle w:val="Ttulo1"/>
      <w:lvlText w:val="Capítulo %1 "/>
      <w:lvlJc w:val="left"/>
      <w:pPr>
        <w:ind w:left="432" w:hanging="432"/>
      </w:pPr>
      <w:rPr>
        <w:rFonts w:cs="Times New Roman" w:hint="default"/>
        <w:b w:val="0"/>
        <w:color w:val="C00000"/>
      </w:rPr>
    </w:lvl>
    <w:lvl w:ilvl="1">
      <w:start w:val="1"/>
      <w:numFmt w:val="decimal"/>
      <w:lvlText w:val="%1.%2 "/>
      <w:lvlJc w:val="left"/>
      <w:pPr>
        <w:ind w:left="576" w:hanging="576"/>
      </w:pPr>
      <w:rPr>
        <w:rFonts w:cs="Times New Roman" w:hint="default"/>
      </w:rPr>
    </w:lvl>
    <w:lvl w:ilvl="2">
      <w:start w:val="1"/>
      <w:numFmt w:val="decimal"/>
      <w:lvlText w:val="%1.%2.%3 "/>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47">
    <w:nsid w:val="6BC521F6"/>
    <w:multiLevelType w:val="hybridMultilevel"/>
    <w:tmpl w:val="E8D856CC"/>
    <w:lvl w:ilvl="0" w:tplc="240A0017">
      <w:start w:val="1"/>
      <w:numFmt w:val="lowerLetter"/>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nsid w:val="6CA2498C"/>
    <w:multiLevelType w:val="multilevel"/>
    <w:tmpl w:val="A8B24046"/>
    <w:lvl w:ilvl="0">
      <w:start w:val="1"/>
      <w:numFmt w:val="decimal"/>
      <w:lvlText w:val="%1"/>
      <w:lvlJc w:val="left"/>
      <w:pPr>
        <w:tabs>
          <w:tab w:val="num" w:pos="432"/>
        </w:tabs>
        <w:ind w:left="432" w:hanging="432"/>
      </w:pPr>
      <w:rPr>
        <w:rFonts w:cs="Times New Roman" w:hint="default"/>
      </w:rPr>
    </w:lvl>
    <w:lvl w:ilvl="1">
      <w:start w:val="1"/>
      <w:numFmt w:val="decimal"/>
      <w:pStyle w:val="Ttulo2"/>
      <w:lvlText w:val="%1.%2"/>
      <w:lvlJc w:val="left"/>
      <w:pPr>
        <w:tabs>
          <w:tab w:val="num" w:pos="576"/>
        </w:tabs>
        <w:ind w:left="576" w:hanging="576"/>
      </w:pPr>
      <w:rPr>
        <w:rFonts w:cs="Times New Roman" w:hint="default"/>
        <w:b w:val="0"/>
      </w:rPr>
    </w:lvl>
    <w:lvl w:ilvl="2">
      <w:start w:val="1"/>
      <w:numFmt w:val="decimal"/>
      <w:pStyle w:val="Ttulo3"/>
      <w:lvlText w:val="%1.%2.%3"/>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6"/>
        <w:szCs w:val="26"/>
        <w:u w:val="none" w:color="000000"/>
        <w:effect w:val="none"/>
        <w:bdr w:val="none" w:sz="0" w:space="0" w:color="000000"/>
        <w:shd w:val="clear" w:color="000000" w:fill="000000"/>
        <w:vertAlign w:val="baseline"/>
        <w:em w:val="none"/>
        <w:lang/>
        <w:specVanish w:val="0"/>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9">
    <w:nsid w:val="6ECD7A71"/>
    <w:multiLevelType w:val="hybridMultilevel"/>
    <w:tmpl w:val="3ED043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nsid w:val="73E577D8"/>
    <w:multiLevelType w:val="hybridMultilevel"/>
    <w:tmpl w:val="E3D4FBE2"/>
    <w:lvl w:ilvl="0" w:tplc="96BC1DB4">
      <w:start w:val="6"/>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nsid w:val="782B5B6C"/>
    <w:multiLevelType w:val="hybridMultilevel"/>
    <w:tmpl w:val="2C7A97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nsid w:val="7AC933CD"/>
    <w:multiLevelType w:val="multilevel"/>
    <w:tmpl w:val="17822E86"/>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3">
    <w:nsid w:val="7CD13235"/>
    <w:multiLevelType w:val="hybridMultilevel"/>
    <w:tmpl w:val="9040817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num w:numId="1">
    <w:abstractNumId w:val="48"/>
  </w:num>
  <w:num w:numId="2">
    <w:abstractNumId w:val="28"/>
  </w:num>
  <w:num w:numId="3">
    <w:abstractNumId w:val="27"/>
  </w:num>
  <w:num w:numId="4">
    <w:abstractNumId w:val="38"/>
  </w:num>
  <w:num w:numId="5">
    <w:abstractNumId w:val="24"/>
  </w:num>
  <w:num w:numId="6">
    <w:abstractNumId w:val="12"/>
  </w:num>
  <w:num w:numId="7">
    <w:abstractNumId w:val="34"/>
  </w:num>
  <w:num w:numId="8">
    <w:abstractNumId w:val="36"/>
  </w:num>
  <w:num w:numId="9">
    <w:abstractNumId w:val="52"/>
  </w:num>
  <w:num w:numId="10">
    <w:abstractNumId w:val="21"/>
  </w:num>
  <w:num w:numId="11">
    <w:abstractNumId w:val="32"/>
  </w:num>
  <w:num w:numId="12">
    <w:abstractNumId w:val="25"/>
  </w:num>
  <w:num w:numId="13">
    <w:abstractNumId w:val="46"/>
  </w:num>
  <w:num w:numId="14">
    <w:abstractNumId w:val="10"/>
  </w:num>
  <w:num w:numId="15">
    <w:abstractNumId w:val="6"/>
  </w:num>
  <w:num w:numId="16">
    <w:abstractNumId w:val="33"/>
  </w:num>
  <w:num w:numId="17">
    <w:abstractNumId w:val="49"/>
  </w:num>
  <w:num w:numId="18">
    <w:abstractNumId w:val="30"/>
  </w:num>
  <w:num w:numId="19">
    <w:abstractNumId w:val="16"/>
  </w:num>
  <w:num w:numId="20">
    <w:abstractNumId w:val="23"/>
  </w:num>
  <w:num w:numId="21">
    <w:abstractNumId w:val="2"/>
  </w:num>
  <w:num w:numId="22">
    <w:abstractNumId w:val="26"/>
  </w:num>
  <w:num w:numId="23">
    <w:abstractNumId w:val="53"/>
  </w:num>
  <w:num w:numId="24">
    <w:abstractNumId w:val="19"/>
  </w:num>
  <w:num w:numId="25">
    <w:abstractNumId w:val="3"/>
  </w:num>
  <w:num w:numId="26">
    <w:abstractNumId w:val="8"/>
  </w:num>
  <w:num w:numId="27">
    <w:abstractNumId w:val="37"/>
  </w:num>
  <w:num w:numId="28">
    <w:abstractNumId w:val="35"/>
  </w:num>
  <w:num w:numId="29">
    <w:abstractNumId w:val="15"/>
  </w:num>
  <w:num w:numId="30">
    <w:abstractNumId w:val="13"/>
  </w:num>
  <w:num w:numId="31">
    <w:abstractNumId w:val="4"/>
  </w:num>
  <w:num w:numId="32">
    <w:abstractNumId w:val="40"/>
  </w:num>
  <w:num w:numId="33">
    <w:abstractNumId w:val="17"/>
  </w:num>
  <w:num w:numId="34">
    <w:abstractNumId w:val="50"/>
  </w:num>
  <w:num w:numId="35">
    <w:abstractNumId w:val="7"/>
  </w:num>
  <w:num w:numId="36">
    <w:abstractNumId w:val="9"/>
  </w:num>
  <w:num w:numId="37">
    <w:abstractNumId w:val="39"/>
  </w:num>
  <w:num w:numId="38">
    <w:abstractNumId w:val="44"/>
  </w:num>
  <w:num w:numId="39">
    <w:abstractNumId w:val="14"/>
  </w:num>
  <w:num w:numId="40">
    <w:abstractNumId w:val="1"/>
  </w:num>
  <w:num w:numId="41">
    <w:abstractNumId w:val="0"/>
  </w:num>
  <w:num w:numId="42">
    <w:abstractNumId w:val="18"/>
  </w:num>
  <w:num w:numId="43">
    <w:abstractNumId w:val="29"/>
  </w:num>
  <w:num w:numId="44">
    <w:abstractNumId w:val="47"/>
  </w:num>
  <w:num w:numId="45">
    <w:abstractNumId w:val="31"/>
  </w:num>
  <w:num w:numId="46">
    <w:abstractNumId w:val="51"/>
  </w:num>
  <w:num w:numId="47">
    <w:abstractNumId w:val="5"/>
  </w:num>
  <w:num w:numId="48">
    <w:abstractNumId w:val="11"/>
  </w:num>
  <w:num w:numId="49">
    <w:abstractNumId w:val="41"/>
  </w:num>
  <w:num w:numId="50">
    <w:abstractNumId w:val="20"/>
  </w:num>
  <w:num w:numId="51">
    <w:abstractNumId w:val="43"/>
  </w:num>
  <w:num w:numId="52">
    <w:abstractNumId w:val="42"/>
  </w:num>
  <w:num w:numId="53">
    <w:abstractNumId w:val="45"/>
  </w:num>
  <w:num w:numId="54">
    <w:abstractNumId w:val="22"/>
  </w:num>
  <w:numIdMacAtCleanup w:val="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useFELayout/>
  </w:compat>
  <w:rsids>
    <w:rsidRoot w:val="007700A9"/>
    <w:rsid w:val="00003132"/>
    <w:rsid w:val="0000701E"/>
    <w:rsid w:val="00007F29"/>
    <w:rsid w:val="00012644"/>
    <w:rsid w:val="00014EEF"/>
    <w:rsid w:val="000240FA"/>
    <w:rsid w:val="000256A7"/>
    <w:rsid w:val="000270FF"/>
    <w:rsid w:val="000353CB"/>
    <w:rsid w:val="00035879"/>
    <w:rsid w:val="00036FBA"/>
    <w:rsid w:val="00037098"/>
    <w:rsid w:val="00037E93"/>
    <w:rsid w:val="0004010D"/>
    <w:rsid w:val="00040575"/>
    <w:rsid w:val="00041DDE"/>
    <w:rsid w:val="00043633"/>
    <w:rsid w:val="00044339"/>
    <w:rsid w:val="0004632D"/>
    <w:rsid w:val="000469BF"/>
    <w:rsid w:val="00050472"/>
    <w:rsid w:val="00052E37"/>
    <w:rsid w:val="000562FE"/>
    <w:rsid w:val="0006004E"/>
    <w:rsid w:val="0006137D"/>
    <w:rsid w:val="00064B8E"/>
    <w:rsid w:val="00071BAC"/>
    <w:rsid w:val="00073E95"/>
    <w:rsid w:val="0007791F"/>
    <w:rsid w:val="000806EA"/>
    <w:rsid w:val="000811EF"/>
    <w:rsid w:val="0008130D"/>
    <w:rsid w:val="0008289E"/>
    <w:rsid w:val="00083BFF"/>
    <w:rsid w:val="00087D8E"/>
    <w:rsid w:val="0009449C"/>
    <w:rsid w:val="000960FC"/>
    <w:rsid w:val="0009638C"/>
    <w:rsid w:val="00097DEA"/>
    <w:rsid w:val="000A03FE"/>
    <w:rsid w:val="000A4C2B"/>
    <w:rsid w:val="000A60BA"/>
    <w:rsid w:val="000A61AD"/>
    <w:rsid w:val="000B0316"/>
    <w:rsid w:val="000B1741"/>
    <w:rsid w:val="000B72FB"/>
    <w:rsid w:val="000C2CC3"/>
    <w:rsid w:val="000D0860"/>
    <w:rsid w:val="000D1595"/>
    <w:rsid w:val="000D16D2"/>
    <w:rsid w:val="000D3DC7"/>
    <w:rsid w:val="000D499F"/>
    <w:rsid w:val="000D6671"/>
    <w:rsid w:val="000D68AC"/>
    <w:rsid w:val="000D7612"/>
    <w:rsid w:val="000E27D3"/>
    <w:rsid w:val="000E633D"/>
    <w:rsid w:val="000E6591"/>
    <w:rsid w:val="000E6BD7"/>
    <w:rsid w:val="000E7F1E"/>
    <w:rsid w:val="000F2C78"/>
    <w:rsid w:val="000F512A"/>
    <w:rsid w:val="000F5231"/>
    <w:rsid w:val="000F6326"/>
    <w:rsid w:val="000F7134"/>
    <w:rsid w:val="000F7C13"/>
    <w:rsid w:val="001007D3"/>
    <w:rsid w:val="00102675"/>
    <w:rsid w:val="00103956"/>
    <w:rsid w:val="00104FF8"/>
    <w:rsid w:val="00112674"/>
    <w:rsid w:val="0011765B"/>
    <w:rsid w:val="001178E4"/>
    <w:rsid w:val="0012655D"/>
    <w:rsid w:val="001267EB"/>
    <w:rsid w:val="001312AC"/>
    <w:rsid w:val="00135256"/>
    <w:rsid w:val="00135819"/>
    <w:rsid w:val="0014198B"/>
    <w:rsid w:val="001446C0"/>
    <w:rsid w:val="0014515C"/>
    <w:rsid w:val="0015190D"/>
    <w:rsid w:val="00151E54"/>
    <w:rsid w:val="001607E1"/>
    <w:rsid w:val="001618CD"/>
    <w:rsid w:val="00161F21"/>
    <w:rsid w:val="001638A9"/>
    <w:rsid w:val="0016443E"/>
    <w:rsid w:val="0016478E"/>
    <w:rsid w:val="001653BF"/>
    <w:rsid w:val="001653EA"/>
    <w:rsid w:val="00165641"/>
    <w:rsid w:val="00175535"/>
    <w:rsid w:val="00175677"/>
    <w:rsid w:val="00176A61"/>
    <w:rsid w:val="00180154"/>
    <w:rsid w:val="00181DAF"/>
    <w:rsid w:val="00182040"/>
    <w:rsid w:val="00185C9E"/>
    <w:rsid w:val="001876DD"/>
    <w:rsid w:val="00193D12"/>
    <w:rsid w:val="001A0746"/>
    <w:rsid w:val="001A232E"/>
    <w:rsid w:val="001A2D09"/>
    <w:rsid w:val="001A72D1"/>
    <w:rsid w:val="001B0A9A"/>
    <w:rsid w:val="001B3749"/>
    <w:rsid w:val="001B3C36"/>
    <w:rsid w:val="001B4E24"/>
    <w:rsid w:val="001B58BB"/>
    <w:rsid w:val="001B76F4"/>
    <w:rsid w:val="001B77B7"/>
    <w:rsid w:val="001C5D61"/>
    <w:rsid w:val="001C6825"/>
    <w:rsid w:val="001D02C4"/>
    <w:rsid w:val="001D1DAD"/>
    <w:rsid w:val="001D3134"/>
    <w:rsid w:val="001D4B15"/>
    <w:rsid w:val="001E239E"/>
    <w:rsid w:val="001E295C"/>
    <w:rsid w:val="001E50E5"/>
    <w:rsid w:val="001E5CDD"/>
    <w:rsid w:val="001E7DC8"/>
    <w:rsid w:val="001F0632"/>
    <w:rsid w:val="001F12EC"/>
    <w:rsid w:val="001F32B1"/>
    <w:rsid w:val="001F347C"/>
    <w:rsid w:val="001F4EE6"/>
    <w:rsid w:val="001F59D4"/>
    <w:rsid w:val="001F6281"/>
    <w:rsid w:val="001F7FBB"/>
    <w:rsid w:val="00202E90"/>
    <w:rsid w:val="002063F7"/>
    <w:rsid w:val="0020708C"/>
    <w:rsid w:val="002109F6"/>
    <w:rsid w:val="00210DAF"/>
    <w:rsid w:val="00211426"/>
    <w:rsid w:val="00214B00"/>
    <w:rsid w:val="0021564F"/>
    <w:rsid w:val="0021775E"/>
    <w:rsid w:val="002178A7"/>
    <w:rsid w:val="00217C43"/>
    <w:rsid w:val="00221EE8"/>
    <w:rsid w:val="002245F3"/>
    <w:rsid w:val="0022680E"/>
    <w:rsid w:val="00227203"/>
    <w:rsid w:val="00230CD6"/>
    <w:rsid w:val="002315D0"/>
    <w:rsid w:val="00237BC5"/>
    <w:rsid w:val="00244CE6"/>
    <w:rsid w:val="00245D35"/>
    <w:rsid w:val="002501A6"/>
    <w:rsid w:val="002502B9"/>
    <w:rsid w:val="00252305"/>
    <w:rsid w:val="002562D9"/>
    <w:rsid w:val="00256314"/>
    <w:rsid w:val="00265CB9"/>
    <w:rsid w:val="00271308"/>
    <w:rsid w:val="00271BF7"/>
    <w:rsid w:val="00273E57"/>
    <w:rsid w:val="002746DE"/>
    <w:rsid w:val="00280D13"/>
    <w:rsid w:val="00281943"/>
    <w:rsid w:val="00282893"/>
    <w:rsid w:val="0029008A"/>
    <w:rsid w:val="002914F0"/>
    <w:rsid w:val="002927E0"/>
    <w:rsid w:val="00292F3A"/>
    <w:rsid w:val="002940E5"/>
    <w:rsid w:val="00295F56"/>
    <w:rsid w:val="002A44EB"/>
    <w:rsid w:val="002A509F"/>
    <w:rsid w:val="002A7C3C"/>
    <w:rsid w:val="002B1B3E"/>
    <w:rsid w:val="002B2D2F"/>
    <w:rsid w:val="002B3762"/>
    <w:rsid w:val="002B46B5"/>
    <w:rsid w:val="002B5128"/>
    <w:rsid w:val="002B688D"/>
    <w:rsid w:val="002C0B6B"/>
    <w:rsid w:val="002C1EC9"/>
    <w:rsid w:val="002C3ECD"/>
    <w:rsid w:val="002D2D0E"/>
    <w:rsid w:val="002D32A9"/>
    <w:rsid w:val="002D4742"/>
    <w:rsid w:val="002D7E4D"/>
    <w:rsid w:val="002E1ADE"/>
    <w:rsid w:val="002E28F8"/>
    <w:rsid w:val="002E35E4"/>
    <w:rsid w:val="002E79AE"/>
    <w:rsid w:val="002F35D2"/>
    <w:rsid w:val="002F3BCD"/>
    <w:rsid w:val="002F513B"/>
    <w:rsid w:val="002F7106"/>
    <w:rsid w:val="002F7A10"/>
    <w:rsid w:val="003126FC"/>
    <w:rsid w:val="00313FDE"/>
    <w:rsid w:val="0031589C"/>
    <w:rsid w:val="00317A8E"/>
    <w:rsid w:val="00317F34"/>
    <w:rsid w:val="00320DE2"/>
    <w:rsid w:val="003215C6"/>
    <w:rsid w:val="00321E63"/>
    <w:rsid w:val="003220AA"/>
    <w:rsid w:val="00324CE7"/>
    <w:rsid w:val="00333D1A"/>
    <w:rsid w:val="00334B50"/>
    <w:rsid w:val="003355DB"/>
    <w:rsid w:val="00340715"/>
    <w:rsid w:val="00344D34"/>
    <w:rsid w:val="00354AD5"/>
    <w:rsid w:val="0036330C"/>
    <w:rsid w:val="003708F9"/>
    <w:rsid w:val="00371E48"/>
    <w:rsid w:val="003749A5"/>
    <w:rsid w:val="00375149"/>
    <w:rsid w:val="00375B7F"/>
    <w:rsid w:val="0037679D"/>
    <w:rsid w:val="00377F4D"/>
    <w:rsid w:val="0038078C"/>
    <w:rsid w:val="00382F97"/>
    <w:rsid w:val="00386E4C"/>
    <w:rsid w:val="0038752A"/>
    <w:rsid w:val="003903ED"/>
    <w:rsid w:val="00390BFD"/>
    <w:rsid w:val="00393587"/>
    <w:rsid w:val="0039553B"/>
    <w:rsid w:val="003A04BF"/>
    <w:rsid w:val="003A2765"/>
    <w:rsid w:val="003A6AF9"/>
    <w:rsid w:val="003A6CA4"/>
    <w:rsid w:val="003A7097"/>
    <w:rsid w:val="003A7D74"/>
    <w:rsid w:val="003B12F4"/>
    <w:rsid w:val="003B1DE4"/>
    <w:rsid w:val="003B68F6"/>
    <w:rsid w:val="003B7DB2"/>
    <w:rsid w:val="003C0814"/>
    <w:rsid w:val="003C1972"/>
    <w:rsid w:val="003C287E"/>
    <w:rsid w:val="003C3E5B"/>
    <w:rsid w:val="003C6C53"/>
    <w:rsid w:val="003C771D"/>
    <w:rsid w:val="003D09B9"/>
    <w:rsid w:val="003D19E7"/>
    <w:rsid w:val="003D29BF"/>
    <w:rsid w:val="003D2D60"/>
    <w:rsid w:val="003D4065"/>
    <w:rsid w:val="003D7E06"/>
    <w:rsid w:val="003E4FC5"/>
    <w:rsid w:val="003E5DC7"/>
    <w:rsid w:val="003F0B14"/>
    <w:rsid w:val="003F1CEE"/>
    <w:rsid w:val="003F6AC7"/>
    <w:rsid w:val="003F7108"/>
    <w:rsid w:val="00401D10"/>
    <w:rsid w:val="0040294E"/>
    <w:rsid w:val="00404BBA"/>
    <w:rsid w:val="00405360"/>
    <w:rsid w:val="00405740"/>
    <w:rsid w:val="00406DC0"/>
    <w:rsid w:val="004079CA"/>
    <w:rsid w:val="00407A92"/>
    <w:rsid w:val="004111FD"/>
    <w:rsid w:val="004145D8"/>
    <w:rsid w:val="00415A55"/>
    <w:rsid w:val="0042002B"/>
    <w:rsid w:val="004211D5"/>
    <w:rsid w:val="00421FF1"/>
    <w:rsid w:val="00423E9A"/>
    <w:rsid w:val="0042461F"/>
    <w:rsid w:val="004307F1"/>
    <w:rsid w:val="00433757"/>
    <w:rsid w:val="00434320"/>
    <w:rsid w:val="004348DA"/>
    <w:rsid w:val="00436F4D"/>
    <w:rsid w:val="00437235"/>
    <w:rsid w:val="00437A59"/>
    <w:rsid w:val="00441BB9"/>
    <w:rsid w:val="00450280"/>
    <w:rsid w:val="00451299"/>
    <w:rsid w:val="00455978"/>
    <w:rsid w:val="0046110B"/>
    <w:rsid w:val="00463AFA"/>
    <w:rsid w:val="004653D7"/>
    <w:rsid w:val="00465411"/>
    <w:rsid w:val="0046621B"/>
    <w:rsid w:val="00466B44"/>
    <w:rsid w:val="00470493"/>
    <w:rsid w:val="00470EE3"/>
    <w:rsid w:val="0047156F"/>
    <w:rsid w:val="00471A51"/>
    <w:rsid w:val="00472471"/>
    <w:rsid w:val="00473A2B"/>
    <w:rsid w:val="00474389"/>
    <w:rsid w:val="0047446C"/>
    <w:rsid w:val="00474B17"/>
    <w:rsid w:val="00476175"/>
    <w:rsid w:val="004777CC"/>
    <w:rsid w:val="00477C5A"/>
    <w:rsid w:val="00484048"/>
    <w:rsid w:val="00491321"/>
    <w:rsid w:val="00491593"/>
    <w:rsid w:val="00491ADD"/>
    <w:rsid w:val="00494080"/>
    <w:rsid w:val="00495239"/>
    <w:rsid w:val="00497BE2"/>
    <w:rsid w:val="004A16DC"/>
    <w:rsid w:val="004A29D2"/>
    <w:rsid w:val="004A2FED"/>
    <w:rsid w:val="004A31D3"/>
    <w:rsid w:val="004A6CC6"/>
    <w:rsid w:val="004A70EA"/>
    <w:rsid w:val="004A7CD6"/>
    <w:rsid w:val="004B0A01"/>
    <w:rsid w:val="004C04BA"/>
    <w:rsid w:val="004C0F71"/>
    <w:rsid w:val="004C1088"/>
    <w:rsid w:val="004C5AA6"/>
    <w:rsid w:val="004C617A"/>
    <w:rsid w:val="004C65E3"/>
    <w:rsid w:val="004C7078"/>
    <w:rsid w:val="004D1AA1"/>
    <w:rsid w:val="004D2785"/>
    <w:rsid w:val="004D3326"/>
    <w:rsid w:val="004D747F"/>
    <w:rsid w:val="004D7A89"/>
    <w:rsid w:val="004E0B4E"/>
    <w:rsid w:val="004E3640"/>
    <w:rsid w:val="004E7EC3"/>
    <w:rsid w:val="004F09D1"/>
    <w:rsid w:val="004F1B17"/>
    <w:rsid w:val="004F455A"/>
    <w:rsid w:val="004F5D4A"/>
    <w:rsid w:val="004F6FC7"/>
    <w:rsid w:val="004F7880"/>
    <w:rsid w:val="004F7DBA"/>
    <w:rsid w:val="00504B92"/>
    <w:rsid w:val="00506885"/>
    <w:rsid w:val="00507BCB"/>
    <w:rsid w:val="00510448"/>
    <w:rsid w:val="0051230C"/>
    <w:rsid w:val="00512E83"/>
    <w:rsid w:val="00513300"/>
    <w:rsid w:val="00513C63"/>
    <w:rsid w:val="00514918"/>
    <w:rsid w:val="00515D9C"/>
    <w:rsid w:val="00517554"/>
    <w:rsid w:val="00517DD8"/>
    <w:rsid w:val="00517FC5"/>
    <w:rsid w:val="00520D5A"/>
    <w:rsid w:val="00521377"/>
    <w:rsid w:val="00521DB5"/>
    <w:rsid w:val="00525EC4"/>
    <w:rsid w:val="00526490"/>
    <w:rsid w:val="005305B0"/>
    <w:rsid w:val="00530658"/>
    <w:rsid w:val="005323B3"/>
    <w:rsid w:val="00534460"/>
    <w:rsid w:val="00534CF0"/>
    <w:rsid w:val="00534F26"/>
    <w:rsid w:val="00535C4E"/>
    <w:rsid w:val="005361FF"/>
    <w:rsid w:val="005400E7"/>
    <w:rsid w:val="00540759"/>
    <w:rsid w:val="00543298"/>
    <w:rsid w:val="005434D7"/>
    <w:rsid w:val="00543A06"/>
    <w:rsid w:val="00543E64"/>
    <w:rsid w:val="00544B68"/>
    <w:rsid w:val="0054637E"/>
    <w:rsid w:val="00547853"/>
    <w:rsid w:val="00550728"/>
    <w:rsid w:val="005516E1"/>
    <w:rsid w:val="00555FC7"/>
    <w:rsid w:val="00556153"/>
    <w:rsid w:val="0056161C"/>
    <w:rsid w:val="00562726"/>
    <w:rsid w:val="00563937"/>
    <w:rsid w:val="00564B60"/>
    <w:rsid w:val="00566E72"/>
    <w:rsid w:val="00567663"/>
    <w:rsid w:val="0058076B"/>
    <w:rsid w:val="00580918"/>
    <w:rsid w:val="00581DB3"/>
    <w:rsid w:val="005903B8"/>
    <w:rsid w:val="00590F37"/>
    <w:rsid w:val="00590FE5"/>
    <w:rsid w:val="0059342B"/>
    <w:rsid w:val="00594411"/>
    <w:rsid w:val="00594E09"/>
    <w:rsid w:val="005A0878"/>
    <w:rsid w:val="005A0DC5"/>
    <w:rsid w:val="005A1F16"/>
    <w:rsid w:val="005A3C69"/>
    <w:rsid w:val="005A4439"/>
    <w:rsid w:val="005A45EC"/>
    <w:rsid w:val="005A53D1"/>
    <w:rsid w:val="005A6BF8"/>
    <w:rsid w:val="005B386D"/>
    <w:rsid w:val="005B6BB3"/>
    <w:rsid w:val="005B7685"/>
    <w:rsid w:val="005B79DF"/>
    <w:rsid w:val="005C0547"/>
    <w:rsid w:val="005C1A31"/>
    <w:rsid w:val="005C2C46"/>
    <w:rsid w:val="005C3ECA"/>
    <w:rsid w:val="005C633C"/>
    <w:rsid w:val="005D3F73"/>
    <w:rsid w:val="005D5198"/>
    <w:rsid w:val="005D5D9C"/>
    <w:rsid w:val="005E06DB"/>
    <w:rsid w:val="005E2128"/>
    <w:rsid w:val="005E450B"/>
    <w:rsid w:val="005F28A5"/>
    <w:rsid w:val="005F2C2C"/>
    <w:rsid w:val="005F447D"/>
    <w:rsid w:val="00600790"/>
    <w:rsid w:val="006015D0"/>
    <w:rsid w:val="00602184"/>
    <w:rsid w:val="0060649E"/>
    <w:rsid w:val="006069A0"/>
    <w:rsid w:val="00610595"/>
    <w:rsid w:val="00610BC8"/>
    <w:rsid w:val="006127B0"/>
    <w:rsid w:val="00613C5C"/>
    <w:rsid w:val="006156B0"/>
    <w:rsid w:val="00617753"/>
    <w:rsid w:val="00620613"/>
    <w:rsid w:val="0062115B"/>
    <w:rsid w:val="00621E25"/>
    <w:rsid w:val="006229F6"/>
    <w:rsid w:val="00623DA1"/>
    <w:rsid w:val="00624C73"/>
    <w:rsid w:val="00624F48"/>
    <w:rsid w:val="006254C7"/>
    <w:rsid w:val="0062594C"/>
    <w:rsid w:val="00625A03"/>
    <w:rsid w:val="00626A12"/>
    <w:rsid w:val="00627804"/>
    <w:rsid w:val="00632803"/>
    <w:rsid w:val="006329FF"/>
    <w:rsid w:val="006333B3"/>
    <w:rsid w:val="006333D1"/>
    <w:rsid w:val="00634374"/>
    <w:rsid w:val="00634D81"/>
    <w:rsid w:val="00636354"/>
    <w:rsid w:val="00642886"/>
    <w:rsid w:val="00644EB9"/>
    <w:rsid w:val="00651C01"/>
    <w:rsid w:val="00654BAC"/>
    <w:rsid w:val="00654EB8"/>
    <w:rsid w:val="00657CCD"/>
    <w:rsid w:val="00660A98"/>
    <w:rsid w:val="00663B2F"/>
    <w:rsid w:val="00665B32"/>
    <w:rsid w:val="0066751C"/>
    <w:rsid w:val="006709F2"/>
    <w:rsid w:val="00671AB6"/>
    <w:rsid w:val="00674F9E"/>
    <w:rsid w:val="00677308"/>
    <w:rsid w:val="00677B64"/>
    <w:rsid w:val="00685237"/>
    <w:rsid w:val="00685B66"/>
    <w:rsid w:val="006875C3"/>
    <w:rsid w:val="00693535"/>
    <w:rsid w:val="006952A6"/>
    <w:rsid w:val="00695BB5"/>
    <w:rsid w:val="006A1E9C"/>
    <w:rsid w:val="006A539F"/>
    <w:rsid w:val="006B0C9D"/>
    <w:rsid w:val="006B0D2E"/>
    <w:rsid w:val="006B12E9"/>
    <w:rsid w:val="006B24A0"/>
    <w:rsid w:val="006B29D1"/>
    <w:rsid w:val="006B3DDF"/>
    <w:rsid w:val="006B53D0"/>
    <w:rsid w:val="006B7262"/>
    <w:rsid w:val="006C1C52"/>
    <w:rsid w:val="006C39BA"/>
    <w:rsid w:val="006C403B"/>
    <w:rsid w:val="006C47EF"/>
    <w:rsid w:val="006C5D7C"/>
    <w:rsid w:val="006C7D80"/>
    <w:rsid w:val="006D1DA6"/>
    <w:rsid w:val="006D3520"/>
    <w:rsid w:val="006D62EB"/>
    <w:rsid w:val="006D72FC"/>
    <w:rsid w:val="006E2303"/>
    <w:rsid w:val="006E2592"/>
    <w:rsid w:val="006E4D3C"/>
    <w:rsid w:val="006E7B89"/>
    <w:rsid w:val="006F058E"/>
    <w:rsid w:val="006F2FAD"/>
    <w:rsid w:val="006F59AD"/>
    <w:rsid w:val="006F73A8"/>
    <w:rsid w:val="006F7E9B"/>
    <w:rsid w:val="00701EB9"/>
    <w:rsid w:val="0070236F"/>
    <w:rsid w:val="00702AC6"/>
    <w:rsid w:val="007031A8"/>
    <w:rsid w:val="007035A5"/>
    <w:rsid w:val="007038F3"/>
    <w:rsid w:val="0070457D"/>
    <w:rsid w:val="00704908"/>
    <w:rsid w:val="00705124"/>
    <w:rsid w:val="007078BB"/>
    <w:rsid w:val="00711FE1"/>
    <w:rsid w:val="007169BF"/>
    <w:rsid w:val="007213C3"/>
    <w:rsid w:val="00721439"/>
    <w:rsid w:val="0072213D"/>
    <w:rsid w:val="00722167"/>
    <w:rsid w:val="00726D12"/>
    <w:rsid w:val="0072752A"/>
    <w:rsid w:val="00730E4A"/>
    <w:rsid w:val="00732AA1"/>
    <w:rsid w:val="00732D79"/>
    <w:rsid w:val="00733466"/>
    <w:rsid w:val="00737ACE"/>
    <w:rsid w:val="0074694E"/>
    <w:rsid w:val="00750270"/>
    <w:rsid w:val="00754054"/>
    <w:rsid w:val="0075450A"/>
    <w:rsid w:val="00755D68"/>
    <w:rsid w:val="00756642"/>
    <w:rsid w:val="0076008D"/>
    <w:rsid w:val="00763E15"/>
    <w:rsid w:val="007665ED"/>
    <w:rsid w:val="007700A9"/>
    <w:rsid w:val="00770750"/>
    <w:rsid w:val="0077184D"/>
    <w:rsid w:val="0077220D"/>
    <w:rsid w:val="007725C2"/>
    <w:rsid w:val="0077266C"/>
    <w:rsid w:val="00772C63"/>
    <w:rsid w:val="0077353F"/>
    <w:rsid w:val="007740B0"/>
    <w:rsid w:val="00775678"/>
    <w:rsid w:val="00776FE8"/>
    <w:rsid w:val="007805E4"/>
    <w:rsid w:val="007807EA"/>
    <w:rsid w:val="00781339"/>
    <w:rsid w:val="00781839"/>
    <w:rsid w:val="00782291"/>
    <w:rsid w:val="00790CA2"/>
    <w:rsid w:val="0079370F"/>
    <w:rsid w:val="00796290"/>
    <w:rsid w:val="00796B6A"/>
    <w:rsid w:val="00796E19"/>
    <w:rsid w:val="0079710C"/>
    <w:rsid w:val="007A1E60"/>
    <w:rsid w:val="007A5119"/>
    <w:rsid w:val="007A7CA2"/>
    <w:rsid w:val="007B0BF8"/>
    <w:rsid w:val="007B56F6"/>
    <w:rsid w:val="007C2E84"/>
    <w:rsid w:val="007C3532"/>
    <w:rsid w:val="007C4F79"/>
    <w:rsid w:val="007C64CA"/>
    <w:rsid w:val="007C69F6"/>
    <w:rsid w:val="007C6ACE"/>
    <w:rsid w:val="007C718D"/>
    <w:rsid w:val="007D09EF"/>
    <w:rsid w:val="007D1F7F"/>
    <w:rsid w:val="007D2050"/>
    <w:rsid w:val="007D2AB8"/>
    <w:rsid w:val="007D3EF0"/>
    <w:rsid w:val="007E0D5E"/>
    <w:rsid w:val="007E38CD"/>
    <w:rsid w:val="007E691C"/>
    <w:rsid w:val="007F25A6"/>
    <w:rsid w:val="007F35F8"/>
    <w:rsid w:val="007F419B"/>
    <w:rsid w:val="007F424B"/>
    <w:rsid w:val="007F5CDE"/>
    <w:rsid w:val="007F6035"/>
    <w:rsid w:val="007F6ED0"/>
    <w:rsid w:val="007F770A"/>
    <w:rsid w:val="0080179E"/>
    <w:rsid w:val="00806884"/>
    <w:rsid w:val="00806FDC"/>
    <w:rsid w:val="0081189C"/>
    <w:rsid w:val="0081195D"/>
    <w:rsid w:val="00812C2D"/>
    <w:rsid w:val="008178A3"/>
    <w:rsid w:val="00824373"/>
    <w:rsid w:val="008243C7"/>
    <w:rsid w:val="00824551"/>
    <w:rsid w:val="0082702B"/>
    <w:rsid w:val="008277ED"/>
    <w:rsid w:val="00831BFD"/>
    <w:rsid w:val="008341DC"/>
    <w:rsid w:val="00837847"/>
    <w:rsid w:val="0084036A"/>
    <w:rsid w:val="00844A3D"/>
    <w:rsid w:val="00845F87"/>
    <w:rsid w:val="008522ED"/>
    <w:rsid w:val="008523DB"/>
    <w:rsid w:val="008542D2"/>
    <w:rsid w:val="0085470D"/>
    <w:rsid w:val="0085606D"/>
    <w:rsid w:val="00856819"/>
    <w:rsid w:val="00857BE8"/>
    <w:rsid w:val="00860DB9"/>
    <w:rsid w:val="0086195E"/>
    <w:rsid w:val="0086464C"/>
    <w:rsid w:val="00867456"/>
    <w:rsid w:val="00867FC3"/>
    <w:rsid w:val="00871EC6"/>
    <w:rsid w:val="0087404F"/>
    <w:rsid w:val="00876AD1"/>
    <w:rsid w:val="008775DC"/>
    <w:rsid w:val="008823A2"/>
    <w:rsid w:val="008825C1"/>
    <w:rsid w:val="00882EF9"/>
    <w:rsid w:val="00890E62"/>
    <w:rsid w:val="008923FB"/>
    <w:rsid w:val="008925DF"/>
    <w:rsid w:val="00893AC6"/>
    <w:rsid w:val="008960E1"/>
    <w:rsid w:val="008977C6"/>
    <w:rsid w:val="008A0C6B"/>
    <w:rsid w:val="008A1D77"/>
    <w:rsid w:val="008A3EC7"/>
    <w:rsid w:val="008A5F2C"/>
    <w:rsid w:val="008A6F35"/>
    <w:rsid w:val="008A74F1"/>
    <w:rsid w:val="008B068D"/>
    <w:rsid w:val="008B40A0"/>
    <w:rsid w:val="008B5F52"/>
    <w:rsid w:val="008B625C"/>
    <w:rsid w:val="008B660F"/>
    <w:rsid w:val="008B7A22"/>
    <w:rsid w:val="008C2479"/>
    <w:rsid w:val="008C6D0E"/>
    <w:rsid w:val="008C7B1F"/>
    <w:rsid w:val="008D340E"/>
    <w:rsid w:val="008E1E21"/>
    <w:rsid w:val="008F14EC"/>
    <w:rsid w:val="008F2346"/>
    <w:rsid w:val="008F4996"/>
    <w:rsid w:val="008F58F3"/>
    <w:rsid w:val="0090215C"/>
    <w:rsid w:val="0090397C"/>
    <w:rsid w:val="0090467E"/>
    <w:rsid w:val="00912FF4"/>
    <w:rsid w:val="00913F11"/>
    <w:rsid w:val="009148D9"/>
    <w:rsid w:val="00915BA6"/>
    <w:rsid w:val="009166C8"/>
    <w:rsid w:val="009169D6"/>
    <w:rsid w:val="00916B5F"/>
    <w:rsid w:val="00920A67"/>
    <w:rsid w:val="00921D32"/>
    <w:rsid w:val="00922222"/>
    <w:rsid w:val="00923FEE"/>
    <w:rsid w:val="009263AA"/>
    <w:rsid w:val="00926543"/>
    <w:rsid w:val="009276FA"/>
    <w:rsid w:val="00931854"/>
    <w:rsid w:val="00932567"/>
    <w:rsid w:val="00932BFD"/>
    <w:rsid w:val="00933C65"/>
    <w:rsid w:val="00933E2F"/>
    <w:rsid w:val="0093792B"/>
    <w:rsid w:val="009440FF"/>
    <w:rsid w:val="00945929"/>
    <w:rsid w:val="009472C0"/>
    <w:rsid w:val="00950C90"/>
    <w:rsid w:val="0095283E"/>
    <w:rsid w:val="009552BE"/>
    <w:rsid w:val="009576A6"/>
    <w:rsid w:val="0096189B"/>
    <w:rsid w:val="0096414A"/>
    <w:rsid w:val="00964481"/>
    <w:rsid w:val="009708AA"/>
    <w:rsid w:val="0097130E"/>
    <w:rsid w:val="009715EF"/>
    <w:rsid w:val="009717AD"/>
    <w:rsid w:val="009745F3"/>
    <w:rsid w:val="00975D84"/>
    <w:rsid w:val="00976C93"/>
    <w:rsid w:val="009811DF"/>
    <w:rsid w:val="00982DC9"/>
    <w:rsid w:val="009851CD"/>
    <w:rsid w:val="009853D3"/>
    <w:rsid w:val="009856FD"/>
    <w:rsid w:val="00985A54"/>
    <w:rsid w:val="00985B7B"/>
    <w:rsid w:val="00985E6F"/>
    <w:rsid w:val="009905EB"/>
    <w:rsid w:val="00993F3E"/>
    <w:rsid w:val="00995202"/>
    <w:rsid w:val="009952F7"/>
    <w:rsid w:val="009959F6"/>
    <w:rsid w:val="00995F5B"/>
    <w:rsid w:val="00996111"/>
    <w:rsid w:val="009A0920"/>
    <w:rsid w:val="009A0D4F"/>
    <w:rsid w:val="009A7584"/>
    <w:rsid w:val="009A7C0B"/>
    <w:rsid w:val="009B0EA0"/>
    <w:rsid w:val="009B0EE1"/>
    <w:rsid w:val="009B17A0"/>
    <w:rsid w:val="009B28C0"/>
    <w:rsid w:val="009B37A4"/>
    <w:rsid w:val="009B3F09"/>
    <w:rsid w:val="009C18F9"/>
    <w:rsid w:val="009C2A5D"/>
    <w:rsid w:val="009C2B40"/>
    <w:rsid w:val="009C437D"/>
    <w:rsid w:val="009C4B6A"/>
    <w:rsid w:val="009D0850"/>
    <w:rsid w:val="009D31BC"/>
    <w:rsid w:val="009D37E3"/>
    <w:rsid w:val="009E0C3D"/>
    <w:rsid w:val="009E12C6"/>
    <w:rsid w:val="009E12F6"/>
    <w:rsid w:val="009E36E3"/>
    <w:rsid w:val="009E3D8D"/>
    <w:rsid w:val="009E4261"/>
    <w:rsid w:val="009E4308"/>
    <w:rsid w:val="009E6ACC"/>
    <w:rsid w:val="009E7A7B"/>
    <w:rsid w:val="009F06F0"/>
    <w:rsid w:val="009F16DA"/>
    <w:rsid w:val="009F1AB8"/>
    <w:rsid w:val="009F228E"/>
    <w:rsid w:val="009F3CB5"/>
    <w:rsid w:val="00A03016"/>
    <w:rsid w:val="00A04B37"/>
    <w:rsid w:val="00A052F0"/>
    <w:rsid w:val="00A0670D"/>
    <w:rsid w:val="00A0689A"/>
    <w:rsid w:val="00A07F4C"/>
    <w:rsid w:val="00A10260"/>
    <w:rsid w:val="00A10451"/>
    <w:rsid w:val="00A1059A"/>
    <w:rsid w:val="00A11D6D"/>
    <w:rsid w:val="00A1436D"/>
    <w:rsid w:val="00A16011"/>
    <w:rsid w:val="00A164A7"/>
    <w:rsid w:val="00A177EB"/>
    <w:rsid w:val="00A179AE"/>
    <w:rsid w:val="00A212BE"/>
    <w:rsid w:val="00A222A3"/>
    <w:rsid w:val="00A22F22"/>
    <w:rsid w:val="00A2529B"/>
    <w:rsid w:val="00A25BE1"/>
    <w:rsid w:val="00A26F8F"/>
    <w:rsid w:val="00A273C9"/>
    <w:rsid w:val="00A278DA"/>
    <w:rsid w:val="00A27E90"/>
    <w:rsid w:val="00A30C77"/>
    <w:rsid w:val="00A32AB6"/>
    <w:rsid w:val="00A32ADE"/>
    <w:rsid w:val="00A34623"/>
    <w:rsid w:val="00A34974"/>
    <w:rsid w:val="00A357FA"/>
    <w:rsid w:val="00A361F5"/>
    <w:rsid w:val="00A37184"/>
    <w:rsid w:val="00A40DD0"/>
    <w:rsid w:val="00A43193"/>
    <w:rsid w:val="00A45354"/>
    <w:rsid w:val="00A4625D"/>
    <w:rsid w:val="00A4667D"/>
    <w:rsid w:val="00A55088"/>
    <w:rsid w:val="00A6163C"/>
    <w:rsid w:val="00A66D9B"/>
    <w:rsid w:val="00A71B89"/>
    <w:rsid w:val="00A71DCC"/>
    <w:rsid w:val="00A73051"/>
    <w:rsid w:val="00A75906"/>
    <w:rsid w:val="00A76593"/>
    <w:rsid w:val="00A766B1"/>
    <w:rsid w:val="00A8178F"/>
    <w:rsid w:val="00A81CF3"/>
    <w:rsid w:val="00A8566D"/>
    <w:rsid w:val="00A85CA9"/>
    <w:rsid w:val="00A8609D"/>
    <w:rsid w:val="00A8719D"/>
    <w:rsid w:val="00A91FDF"/>
    <w:rsid w:val="00A9410C"/>
    <w:rsid w:val="00A97260"/>
    <w:rsid w:val="00AA0005"/>
    <w:rsid w:val="00AA05FD"/>
    <w:rsid w:val="00AA1D19"/>
    <w:rsid w:val="00AA28FC"/>
    <w:rsid w:val="00AA7E2E"/>
    <w:rsid w:val="00AB0282"/>
    <w:rsid w:val="00AB1D28"/>
    <w:rsid w:val="00AB3450"/>
    <w:rsid w:val="00AB3DBE"/>
    <w:rsid w:val="00AB5217"/>
    <w:rsid w:val="00AB69BB"/>
    <w:rsid w:val="00AC102F"/>
    <w:rsid w:val="00AC1E04"/>
    <w:rsid w:val="00AC2127"/>
    <w:rsid w:val="00AC24E9"/>
    <w:rsid w:val="00AC2AC0"/>
    <w:rsid w:val="00AC2F58"/>
    <w:rsid w:val="00AC47DD"/>
    <w:rsid w:val="00AC50D3"/>
    <w:rsid w:val="00AC5B37"/>
    <w:rsid w:val="00AC5F81"/>
    <w:rsid w:val="00AD7C57"/>
    <w:rsid w:val="00AE045E"/>
    <w:rsid w:val="00AE0D67"/>
    <w:rsid w:val="00AE2267"/>
    <w:rsid w:val="00AE26B5"/>
    <w:rsid w:val="00AE3BA4"/>
    <w:rsid w:val="00AE3C93"/>
    <w:rsid w:val="00AE3E69"/>
    <w:rsid w:val="00AF16E7"/>
    <w:rsid w:val="00AF501D"/>
    <w:rsid w:val="00AF752F"/>
    <w:rsid w:val="00B0120A"/>
    <w:rsid w:val="00B01E6A"/>
    <w:rsid w:val="00B03A48"/>
    <w:rsid w:val="00B03C75"/>
    <w:rsid w:val="00B04FAC"/>
    <w:rsid w:val="00B057AF"/>
    <w:rsid w:val="00B06D00"/>
    <w:rsid w:val="00B07B97"/>
    <w:rsid w:val="00B11602"/>
    <w:rsid w:val="00B1276A"/>
    <w:rsid w:val="00B14729"/>
    <w:rsid w:val="00B177D3"/>
    <w:rsid w:val="00B2167E"/>
    <w:rsid w:val="00B2611E"/>
    <w:rsid w:val="00B31895"/>
    <w:rsid w:val="00B338FD"/>
    <w:rsid w:val="00B34092"/>
    <w:rsid w:val="00B347F0"/>
    <w:rsid w:val="00B36477"/>
    <w:rsid w:val="00B4202D"/>
    <w:rsid w:val="00B4225F"/>
    <w:rsid w:val="00B43A30"/>
    <w:rsid w:val="00B45352"/>
    <w:rsid w:val="00B45372"/>
    <w:rsid w:val="00B46224"/>
    <w:rsid w:val="00B50245"/>
    <w:rsid w:val="00B5058E"/>
    <w:rsid w:val="00B5627D"/>
    <w:rsid w:val="00B56317"/>
    <w:rsid w:val="00B60682"/>
    <w:rsid w:val="00B64830"/>
    <w:rsid w:val="00B64C55"/>
    <w:rsid w:val="00B64E7F"/>
    <w:rsid w:val="00B67564"/>
    <w:rsid w:val="00B67D4F"/>
    <w:rsid w:val="00B72B7D"/>
    <w:rsid w:val="00B74981"/>
    <w:rsid w:val="00B76713"/>
    <w:rsid w:val="00B82439"/>
    <w:rsid w:val="00B86D5E"/>
    <w:rsid w:val="00B871F7"/>
    <w:rsid w:val="00B87602"/>
    <w:rsid w:val="00B90596"/>
    <w:rsid w:val="00B90989"/>
    <w:rsid w:val="00B93EAF"/>
    <w:rsid w:val="00B956D6"/>
    <w:rsid w:val="00BA0C50"/>
    <w:rsid w:val="00BA1ABC"/>
    <w:rsid w:val="00BA2179"/>
    <w:rsid w:val="00BA4631"/>
    <w:rsid w:val="00BA4861"/>
    <w:rsid w:val="00BA4C62"/>
    <w:rsid w:val="00BA586B"/>
    <w:rsid w:val="00BA59E5"/>
    <w:rsid w:val="00BA5FE2"/>
    <w:rsid w:val="00BA6691"/>
    <w:rsid w:val="00BA7308"/>
    <w:rsid w:val="00BB1A6B"/>
    <w:rsid w:val="00BB2952"/>
    <w:rsid w:val="00BB29EE"/>
    <w:rsid w:val="00BB7026"/>
    <w:rsid w:val="00BB7BF2"/>
    <w:rsid w:val="00BC2F07"/>
    <w:rsid w:val="00BC5850"/>
    <w:rsid w:val="00BC64C0"/>
    <w:rsid w:val="00BC64CF"/>
    <w:rsid w:val="00BD3032"/>
    <w:rsid w:val="00BD5B66"/>
    <w:rsid w:val="00BD5CAC"/>
    <w:rsid w:val="00BE0330"/>
    <w:rsid w:val="00BE0EE5"/>
    <w:rsid w:val="00BE11C4"/>
    <w:rsid w:val="00BE263F"/>
    <w:rsid w:val="00BE2ADA"/>
    <w:rsid w:val="00BF03C9"/>
    <w:rsid w:val="00BF26CF"/>
    <w:rsid w:val="00BF4768"/>
    <w:rsid w:val="00BF6104"/>
    <w:rsid w:val="00BF6B72"/>
    <w:rsid w:val="00C0224D"/>
    <w:rsid w:val="00C042D6"/>
    <w:rsid w:val="00C05119"/>
    <w:rsid w:val="00C07085"/>
    <w:rsid w:val="00C07505"/>
    <w:rsid w:val="00C076F2"/>
    <w:rsid w:val="00C132BC"/>
    <w:rsid w:val="00C1796C"/>
    <w:rsid w:val="00C201A5"/>
    <w:rsid w:val="00C23C8E"/>
    <w:rsid w:val="00C30C63"/>
    <w:rsid w:val="00C33463"/>
    <w:rsid w:val="00C3381A"/>
    <w:rsid w:val="00C33868"/>
    <w:rsid w:val="00C338BC"/>
    <w:rsid w:val="00C360FA"/>
    <w:rsid w:val="00C36732"/>
    <w:rsid w:val="00C416F5"/>
    <w:rsid w:val="00C42CAA"/>
    <w:rsid w:val="00C42D76"/>
    <w:rsid w:val="00C43902"/>
    <w:rsid w:val="00C47FF0"/>
    <w:rsid w:val="00C51694"/>
    <w:rsid w:val="00C5274C"/>
    <w:rsid w:val="00C53AE9"/>
    <w:rsid w:val="00C5620B"/>
    <w:rsid w:val="00C623A3"/>
    <w:rsid w:val="00C652B3"/>
    <w:rsid w:val="00C707BC"/>
    <w:rsid w:val="00C71FFE"/>
    <w:rsid w:val="00C76843"/>
    <w:rsid w:val="00C77BD2"/>
    <w:rsid w:val="00C8079B"/>
    <w:rsid w:val="00C819ED"/>
    <w:rsid w:val="00C84245"/>
    <w:rsid w:val="00C8488E"/>
    <w:rsid w:val="00C85846"/>
    <w:rsid w:val="00C85F33"/>
    <w:rsid w:val="00C905AD"/>
    <w:rsid w:val="00C909E8"/>
    <w:rsid w:val="00C9178B"/>
    <w:rsid w:val="00C92F4B"/>
    <w:rsid w:val="00C9347A"/>
    <w:rsid w:val="00C94AA3"/>
    <w:rsid w:val="00C97CEB"/>
    <w:rsid w:val="00C97F9B"/>
    <w:rsid w:val="00CA2DED"/>
    <w:rsid w:val="00CA63D3"/>
    <w:rsid w:val="00CB18D4"/>
    <w:rsid w:val="00CB205B"/>
    <w:rsid w:val="00CB3ACF"/>
    <w:rsid w:val="00CB5982"/>
    <w:rsid w:val="00CB7D19"/>
    <w:rsid w:val="00CC139C"/>
    <w:rsid w:val="00CC3ABB"/>
    <w:rsid w:val="00CC4175"/>
    <w:rsid w:val="00CC64F6"/>
    <w:rsid w:val="00CC6ED9"/>
    <w:rsid w:val="00CC759A"/>
    <w:rsid w:val="00CD0259"/>
    <w:rsid w:val="00CD0340"/>
    <w:rsid w:val="00CD1581"/>
    <w:rsid w:val="00CD2A6A"/>
    <w:rsid w:val="00CD2EBE"/>
    <w:rsid w:val="00CD4DFE"/>
    <w:rsid w:val="00CD7D0F"/>
    <w:rsid w:val="00CE0559"/>
    <w:rsid w:val="00CE09BB"/>
    <w:rsid w:val="00CE0A94"/>
    <w:rsid w:val="00CE107A"/>
    <w:rsid w:val="00CE11ED"/>
    <w:rsid w:val="00CE170A"/>
    <w:rsid w:val="00CE1F98"/>
    <w:rsid w:val="00CE48FB"/>
    <w:rsid w:val="00CE4D6A"/>
    <w:rsid w:val="00CE5474"/>
    <w:rsid w:val="00CE6DBB"/>
    <w:rsid w:val="00CF0D7D"/>
    <w:rsid w:val="00CF41B5"/>
    <w:rsid w:val="00CF4219"/>
    <w:rsid w:val="00CF48CF"/>
    <w:rsid w:val="00CF5390"/>
    <w:rsid w:val="00CF60F1"/>
    <w:rsid w:val="00D0036B"/>
    <w:rsid w:val="00D00706"/>
    <w:rsid w:val="00D010C4"/>
    <w:rsid w:val="00D01968"/>
    <w:rsid w:val="00D01C80"/>
    <w:rsid w:val="00D023D6"/>
    <w:rsid w:val="00D04C2B"/>
    <w:rsid w:val="00D11937"/>
    <w:rsid w:val="00D174D6"/>
    <w:rsid w:val="00D216BB"/>
    <w:rsid w:val="00D2421F"/>
    <w:rsid w:val="00D269E5"/>
    <w:rsid w:val="00D30AB7"/>
    <w:rsid w:val="00D312BF"/>
    <w:rsid w:val="00D336A7"/>
    <w:rsid w:val="00D345D5"/>
    <w:rsid w:val="00D349CB"/>
    <w:rsid w:val="00D443F5"/>
    <w:rsid w:val="00D4556F"/>
    <w:rsid w:val="00D46F72"/>
    <w:rsid w:val="00D470B3"/>
    <w:rsid w:val="00D474C5"/>
    <w:rsid w:val="00D5213A"/>
    <w:rsid w:val="00D52CFC"/>
    <w:rsid w:val="00D53CF7"/>
    <w:rsid w:val="00D547DF"/>
    <w:rsid w:val="00D551F2"/>
    <w:rsid w:val="00D5656D"/>
    <w:rsid w:val="00D603C3"/>
    <w:rsid w:val="00D616DA"/>
    <w:rsid w:val="00D61C98"/>
    <w:rsid w:val="00D61CF1"/>
    <w:rsid w:val="00D653D2"/>
    <w:rsid w:val="00D673E8"/>
    <w:rsid w:val="00D7055C"/>
    <w:rsid w:val="00D72C10"/>
    <w:rsid w:val="00D7551E"/>
    <w:rsid w:val="00D7653C"/>
    <w:rsid w:val="00D7692D"/>
    <w:rsid w:val="00D80D8D"/>
    <w:rsid w:val="00D81578"/>
    <w:rsid w:val="00D861CD"/>
    <w:rsid w:val="00D91FE4"/>
    <w:rsid w:val="00D939FF"/>
    <w:rsid w:val="00D944BE"/>
    <w:rsid w:val="00D94983"/>
    <w:rsid w:val="00D963BF"/>
    <w:rsid w:val="00D96BE7"/>
    <w:rsid w:val="00DA2406"/>
    <w:rsid w:val="00DA6FE1"/>
    <w:rsid w:val="00DA71EB"/>
    <w:rsid w:val="00DB2287"/>
    <w:rsid w:val="00DB3542"/>
    <w:rsid w:val="00DB3AEC"/>
    <w:rsid w:val="00DB3F4B"/>
    <w:rsid w:val="00DB429D"/>
    <w:rsid w:val="00DB6E49"/>
    <w:rsid w:val="00DC22B9"/>
    <w:rsid w:val="00DC275C"/>
    <w:rsid w:val="00DC53A5"/>
    <w:rsid w:val="00DC5DE8"/>
    <w:rsid w:val="00DC76A2"/>
    <w:rsid w:val="00DC777E"/>
    <w:rsid w:val="00DC779E"/>
    <w:rsid w:val="00DD1816"/>
    <w:rsid w:val="00DD1A16"/>
    <w:rsid w:val="00DD70BC"/>
    <w:rsid w:val="00DE4DB3"/>
    <w:rsid w:val="00DE54F4"/>
    <w:rsid w:val="00DE5E03"/>
    <w:rsid w:val="00DE5F99"/>
    <w:rsid w:val="00DE6326"/>
    <w:rsid w:val="00DE6FA6"/>
    <w:rsid w:val="00DF2206"/>
    <w:rsid w:val="00DF2EB4"/>
    <w:rsid w:val="00DF5112"/>
    <w:rsid w:val="00DF5D2A"/>
    <w:rsid w:val="00DF5EAE"/>
    <w:rsid w:val="00E0029C"/>
    <w:rsid w:val="00E00C52"/>
    <w:rsid w:val="00E014C5"/>
    <w:rsid w:val="00E12723"/>
    <w:rsid w:val="00E13BD6"/>
    <w:rsid w:val="00E15683"/>
    <w:rsid w:val="00E16551"/>
    <w:rsid w:val="00E206EE"/>
    <w:rsid w:val="00E216DC"/>
    <w:rsid w:val="00E21CA0"/>
    <w:rsid w:val="00E22B25"/>
    <w:rsid w:val="00E23385"/>
    <w:rsid w:val="00E3206A"/>
    <w:rsid w:val="00E32488"/>
    <w:rsid w:val="00E41CEF"/>
    <w:rsid w:val="00E41E77"/>
    <w:rsid w:val="00E45814"/>
    <w:rsid w:val="00E467AE"/>
    <w:rsid w:val="00E512F5"/>
    <w:rsid w:val="00E51D52"/>
    <w:rsid w:val="00E529C2"/>
    <w:rsid w:val="00E53A6E"/>
    <w:rsid w:val="00E55A6E"/>
    <w:rsid w:val="00E55B7E"/>
    <w:rsid w:val="00E60777"/>
    <w:rsid w:val="00E64282"/>
    <w:rsid w:val="00E64449"/>
    <w:rsid w:val="00E64866"/>
    <w:rsid w:val="00E64E0C"/>
    <w:rsid w:val="00E6585F"/>
    <w:rsid w:val="00E704F6"/>
    <w:rsid w:val="00E72A6C"/>
    <w:rsid w:val="00E72D52"/>
    <w:rsid w:val="00E72F7C"/>
    <w:rsid w:val="00E73C6E"/>
    <w:rsid w:val="00E742CA"/>
    <w:rsid w:val="00E817B2"/>
    <w:rsid w:val="00E828E9"/>
    <w:rsid w:val="00E82FE4"/>
    <w:rsid w:val="00E84C32"/>
    <w:rsid w:val="00E86EE5"/>
    <w:rsid w:val="00E87A20"/>
    <w:rsid w:val="00E907B0"/>
    <w:rsid w:val="00E95E4E"/>
    <w:rsid w:val="00EA6B2E"/>
    <w:rsid w:val="00EB0AC2"/>
    <w:rsid w:val="00EB0F9E"/>
    <w:rsid w:val="00EB6C4D"/>
    <w:rsid w:val="00EB6EF6"/>
    <w:rsid w:val="00EB7854"/>
    <w:rsid w:val="00EC000E"/>
    <w:rsid w:val="00EC1144"/>
    <w:rsid w:val="00EC1394"/>
    <w:rsid w:val="00EC14BF"/>
    <w:rsid w:val="00EC21AA"/>
    <w:rsid w:val="00EC3974"/>
    <w:rsid w:val="00EC50CA"/>
    <w:rsid w:val="00EC66F6"/>
    <w:rsid w:val="00EC6911"/>
    <w:rsid w:val="00EC71DA"/>
    <w:rsid w:val="00ED0AE1"/>
    <w:rsid w:val="00ED0E95"/>
    <w:rsid w:val="00ED10CA"/>
    <w:rsid w:val="00ED46D3"/>
    <w:rsid w:val="00ED5897"/>
    <w:rsid w:val="00ED625E"/>
    <w:rsid w:val="00ED665A"/>
    <w:rsid w:val="00EE2D93"/>
    <w:rsid w:val="00EE3793"/>
    <w:rsid w:val="00EE4EC7"/>
    <w:rsid w:val="00EE5D1D"/>
    <w:rsid w:val="00EE7C84"/>
    <w:rsid w:val="00EF1180"/>
    <w:rsid w:val="00EF25FB"/>
    <w:rsid w:val="00EF39D2"/>
    <w:rsid w:val="00EF4106"/>
    <w:rsid w:val="00EF617D"/>
    <w:rsid w:val="00EF74AF"/>
    <w:rsid w:val="00F011B4"/>
    <w:rsid w:val="00F0188F"/>
    <w:rsid w:val="00F02269"/>
    <w:rsid w:val="00F129F7"/>
    <w:rsid w:val="00F14931"/>
    <w:rsid w:val="00F20C32"/>
    <w:rsid w:val="00F22D05"/>
    <w:rsid w:val="00F2483A"/>
    <w:rsid w:val="00F2520B"/>
    <w:rsid w:val="00F26745"/>
    <w:rsid w:val="00F3025E"/>
    <w:rsid w:val="00F37E76"/>
    <w:rsid w:val="00F41496"/>
    <w:rsid w:val="00F43162"/>
    <w:rsid w:val="00F44B51"/>
    <w:rsid w:val="00F45AD7"/>
    <w:rsid w:val="00F45AF3"/>
    <w:rsid w:val="00F46181"/>
    <w:rsid w:val="00F46679"/>
    <w:rsid w:val="00F47495"/>
    <w:rsid w:val="00F500A5"/>
    <w:rsid w:val="00F5042C"/>
    <w:rsid w:val="00F52AA7"/>
    <w:rsid w:val="00F52EC6"/>
    <w:rsid w:val="00F552E6"/>
    <w:rsid w:val="00F5535E"/>
    <w:rsid w:val="00F563F2"/>
    <w:rsid w:val="00F57904"/>
    <w:rsid w:val="00F57D3B"/>
    <w:rsid w:val="00F61D87"/>
    <w:rsid w:val="00F62964"/>
    <w:rsid w:val="00F63654"/>
    <w:rsid w:val="00F63BCD"/>
    <w:rsid w:val="00F65ADF"/>
    <w:rsid w:val="00F65B4F"/>
    <w:rsid w:val="00F65E2A"/>
    <w:rsid w:val="00F73D43"/>
    <w:rsid w:val="00F7452F"/>
    <w:rsid w:val="00F76472"/>
    <w:rsid w:val="00F76A19"/>
    <w:rsid w:val="00F76EA5"/>
    <w:rsid w:val="00F82076"/>
    <w:rsid w:val="00F8335C"/>
    <w:rsid w:val="00F8357C"/>
    <w:rsid w:val="00F84A58"/>
    <w:rsid w:val="00F85562"/>
    <w:rsid w:val="00F90306"/>
    <w:rsid w:val="00F90EAB"/>
    <w:rsid w:val="00F92858"/>
    <w:rsid w:val="00F92C83"/>
    <w:rsid w:val="00F95998"/>
    <w:rsid w:val="00F96A98"/>
    <w:rsid w:val="00F96EA6"/>
    <w:rsid w:val="00F978E3"/>
    <w:rsid w:val="00FA2AF5"/>
    <w:rsid w:val="00FA7BE7"/>
    <w:rsid w:val="00FB0F18"/>
    <w:rsid w:val="00FB15D3"/>
    <w:rsid w:val="00FB2A66"/>
    <w:rsid w:val="00FB349B"/>
    <w:rsid w:val="00FB3CA6"/>
    <w:rsid w:val="00FB5C67"/>
    <w:rsid w:val="00FB5F3F"/>
    <w:rsid w:val="00FB6673"/>
    <w:rsid w:val="00FB7949"/>
    <w:rsid w:val="00FC026C"/>
    <w:rsid w:val="00FC2ABC"/>
    <w:rsid w:val="00FC5D7E"/>
    <w:rsid w:val="00FD17BB"/>
    <w:rsid w:val="00FD2C75"/>
    <w:rsid w:val="00FD748B"/>
    <w:rsid w:val="00FE1E0E"/>
    <w:rsid w:val="00FE2A41"/>
    <w:rsid w:val="00FE2F26"/>
    <w:rsid w:val="00FE5E95"/>
    <w:rsid w:val="00FE721A"/>
    <w:rsid w:val="00FE7605"/>
    <w:rsid w:val="00FF2A2D"/>
    <w:rsid w:val="00FF3883"/>
    <w:rsid w:val="00FF5559"/>
    <w:rsid w:val="00FF6074"/>
    <w:rsid w:val="00FF6444"/>
    <w:rsid w:val="00FF7E81"/>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s-CO" w:eastAsia="en-US" w:bidi="ar-SA"/>
      </w:rPr>
    </w:rPrDefault>
    <w:pPrDefault>
      <w:pPr>
        <w:spacing w:after="12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9"/>
    <w:lsdException w:name="heading 9" w:uiPriority="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lsdException w:name="footnote reference" w:uiPriority="0"/>
    <w:lsdException w:name="annotation reference" w:uiPriority="0"/>
    <w:lsdException w:name="Title" w:semiHidden="0" w:uiPriority="0" w:unhideWhenUsed="0"/>
    <w:lsdException w:name="Default Paragraph Font" w:uiPriority="1"/>
    <w:lsdException w:name="Body Text" w:uiPriority="0"/>
    <w:lsdException w:name="Subtitle" w:semiHidden="0" w:uiPriority="11" w:unhideWhenUsed="0"/>
    <w:lsdException w:name="Body Text 2" w:uiPriority="0"/>
    <w:lsdException w:name="Body Text 3" w:uiPriority="0"/>
    <w:lsdException w:name="Strong" w:semiHidden="0" w:uiPriority="0" w:unhideWhenUsed="0"/>
    <w:lsdException w:name="Emphasis" w:semiHidden="0" w:uiPriority="20" w:unhideWhenUsed="0"/>
    <w:lsdException w:name="Document Map" w:uiPriority="0"/>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Texto parrafo"/>
    <w:qFormat/>
    <w:rsid w:val="006127B0"/>
    <w:pPr>
      <w:spacing w:before="240" w:after="0"/>
    </w:pPr>
    <w:rPr>
      <w:rFonts w:ascii="Garamond" w:hAnsi="Garamond"/>
      <w:sz w:val="26"/>
      <w:szCs w:val="26"/>
      <w:lang w:val="es-ES_tradnl"/>
    </w:rPr>
  </w:style>
  <w:style w:type="paragraph" w:styleId="Ttulo1">
    <w:name w:val="heading 1"/>
    <w:basedOn w:val="Normal"/>
    <w:next w:val="Titulocaptulo-Econometra"/>
    <w:link w:val="Ttulo1Car"/>
    <w:qFormat/>
    <w:rsid w:val="006127B0"/>
    <w:pPr>
      <w:keepNext/>
      <w:keepLines/>
      <w:numPr>
        <w:numId w:val="13"/>
      </w:numPr>
      <w:spacing w:before="720"/>
      <w:jc w:val="left"/>
      <w:outlineLvl w:val="0"/>
    </w:pPr>
    <w:rPr>
      <w:rFonts w:ascii="Century Gothic" w:eastAsiaTheme="majorEastAsia" w:hAnsi="Century Gothic" w:cstheme="majorBidi"/>
      <w:bCs/>
      <w:smallCaps/>
      <w:color w:val="C0504D" w:themeColor="accent2"/>
      <w:sz w:val="36"/>
      <w:szCs w:val="36"/>
    </w:rPr>
  </w:style>
  <w:style w:type="paragraph" w:styleId="Ttulo2">
    <w:name w:val="heading 2"/>
    <w:basedOn w:val="Normal"/>
    <w:next w:val="Normal"/>
    <w:link w:val="Ttulo2Car"/>
    <w:uiPriority w:val="9"/>
    <w:unhideWhenUsed/>
    <w:qFormat/>
    <w:rsid w:val="00E742CA"/>
    <w:pPr>
      <w:keepNext/>
      <w:keepLines/>
      <w:numPr>
        <w:ilvl w:val="1"/>
        <w:numId w:val="1"/>
      </w:numPr>
      <w:tabs>
        <w:tab w:val="left" w:pos="0"/>
      </w:tabs>
      <w:spacing w:after="120"/>
      <w:ind w:left="578" w:hanging="578"/>
      <w:outlineLvl w:val="1"/>
    </w:pPr>
    <w:rPr>
      <w:rFonts w:ascii="Century Gothic" w:eastAsia="Times New Roman" w:hAnsi="Century Gothic" w:cs="Times New Roman"/>
      <w:bCs/>
      <w:smallCaps/>
      <w:color w:val="C00000"/>
      <w:sz w:val="30"/>
      <w:szCs w:val="30"/>
      <w:lang w:eastAsia="es-ES"/>
    </w:rPr>
  </w:style>
  <w:style w:type="paragraph" w:styleId="Ttulo3">
    <w:name w:val="heading 3"/>
    <w:basedOn w:val="Normal"/>
    <w:next w:val="Normal"/>
    <w:link w:val="Ttulo3Car"/>
    <w:uiPriority w:val="9"/>
    <w:unhideWhenUsed/>
    <w:qFormat/>
    <w:rsid w:val="006127B0"/>
    <w:pPr>
      <w:numPr>
        <w:ilvl w:val="2"/>
        <w:numId w:val="1"/>
      </w:numPr>
      <w:jc w:val="left"/>
      <w:outlineLvl w:val="2"/>
    </w:pPr>
    <w:rPr>
      <w:rFonts w:ascii="Century Gothic" w:eastAsia="Times New Roman" w:hAnsi="Century Gothic" w:cstheme="majorBidi"/>
      <w:color w:val="404040" w:themeColor="text1" w:themeTint="BF"/>
      <w:spacing w:val="5"/>
      <w:sz w:val="24"/>
      <w:szCs w:val="24"/>
      <w:lang w:eastAsia="es-ES"/>
    </w:rPr>
  </w:style>
  <w:style w:type="paragraph" w:styleId="Ttulo4">
    <w:name w:val="heading 4"/>
    <w:basedOn w:val="Normal"/>
    <w:next w:val="Normal"/>
    <w:link w:val="Ttulo4Car"/>
    <w:rsid w:val="007700A9"/>
    <w:pPr>
      <w:keepNext/>
      <w:jc w:val="center"/>
      <w:outlineLvl w:val="3"/>
    </w:pPr>
    <w:rPr>
      <w:rFonts w:ascii="Century Gothic" w:eastAsia="Times New Roman" w:hAnsi="Century Gothic" w:cs="Times New Roman"/>
      <w:smallCaps/>
      <w:color w:val="C00000"/>
      <w:lang w:eastAsia="es-ES"/>
    </w:rPr>
  </w:style>
  <w:style w:type="paragraph" w:styleId="Ttulo5">
    <w:name w:val="heading 5"/>
    <w:basedOn w:val="Normal"/>
    <w:next w:val="Normal"/>
    <w:link w:val="Ttulo5Car"/>
    <w:rsid w:val="007700A9"/>
    <w:pPr>
      <w:keepNext/>
      <w:keepLines/>
      <w:spacing w:before="200"/>
      <w:outlineLvl w:val="4"/>
    </w:pPr>
    <w:rPr>
      <w:rFonts w:ascii="Cambria" w:eastAsia="Times New Roman" w:hAnsi="Cambria" w:cs="Times New Roman"/>
      <w:color w:val="243F60"/>
      <w:sz w:val="20"/>
      <w:szCs w:val="20"/>
      <w:lang w:eastAsia="es-ES"/>
    </w:rPr>
  </w:style>
  <w:style w:type="paragraph" w:styleId="Ttulo6">
    <w:name w:val="heading 6"/>
    <w:basedOn w:val="Normal"/>
    <w:next w:val="Normal"/>
    <w:link w:val="Ttulo6Car"/>
    <w:rsid w:val="007700A9"/>
    <w:pPr>
      <w:keepNext/>
      <w:keepLines/>
      <w:spacing w:before="200"/>
      <w:outlineLvl w:val="5"/>
    </w:pPr>
    <w:rPr>
      <w:rFonts w:ascii="Cambria" w:eastAsia="Times New Roman" w:hAnsi="Cambria" w:cs="Times New Roman"/>
      <w:i/>
      <w:iCs/>
      <w:color w:val="243F60"/>
      <w:sz w:val="20"/>
      <w:szCs w:val="20"/>
      <w:lang w:eastAsia="es-ES"/>
    </w:rPr>
  </w:style>
  <w:style w:type="paragraph" w:styleId="Ttulo7">
    <w:name w:val="heading 7"/>
    <w:basedOn w:val="Normal"/>
    <w:next w:val="Normal"/>
    <w:link w:val="Ttulo7Car"/>
    <w:uiPriority w:val="9"/>
    <w:unhideWhenUsed/>
    <w:rsid w:val="006127B0"/>
    <w:pPr>
      <w:keepNext/>
      <w:spacing w:line="240" w:lineRule="auto"/>
      <w:jc w:val="center"/>
      <w:outlineLvl w:val="6"/>
    </w:pPr>
    <w:rPr>
      <w:rFonts w:ascii="Century Gothic" w:hAnsi="Century Gothic"/>
      <w:b/>
      <w:smallCaps/>
      <w:color w:val="FFFFFF" w:themeColor="background1"/>
      <w:sz w:val="3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6127B0"/>
    <w:rPr>
      <w:rFonts w:ascii="Century Gothic" w:eastAsiaTheme="majorEastAsia" w:hAnsi="Century Gothic" w:cstheme="majorBidi"/>
      <w:bCs/>
      <w:smallCaps/>
      <w:color w:val="C0504D" w:themeColor="accent2"/>
      <w:sz w:val="36"/>
      <w:szCs w:val="36"/>
      <w:lang w:val="es-ES_tradnl"/>
    </w:rPr>
  </w:style>
  <w:style w:type="character" w:customStyle="1" w:styleId="Ttulo2Car">
    <w:name w:val="Título 2 Car"/>
    <w:basedOn w:val="Fuentedeprrafopredeter"/>
    <w:link w:val="Ttulo2"/>
    <w:uiPriority w:val="9"/>
    <w:rsid w:val="00E742CA"/>
    <w:rPr>
      <w:rFonts w:ascii="Century Gothic" w:eastAsia="Times New Roman" w:hAnsi="Century Gothic" w:cs="Times New Roman"/>
      <w:bCs/>
      <w:smallCaps/>
      <w:color w:val="C00000"/>
      <w:sz w:val="30"/>
      <w:szCs w:val="30"/>
      <w:lang w:val="es-ES_tradnl" w:eastAsia="es-ES"/>
    </w:rPr>
  </w:style>
  <w:style w:type="character" w:customStyle="1" w:styleId="Ttulo3Car">
    <w:name w:val="Título 3 Car"/>
    <w:basedOn w:val="Fuentedeprrafopredeter"/>
    <w:link w:val="Ttulo3"/>
    <w:uiPriority w:val="9"/>
    <w:rsid w:val="006127B0"/>
    <w:rPr>
      <w:rFonts w:ascii="Century Gothic" w:eastAsia="Times New Roman" w:hAnsi="Century Gothic" w:cstheme="majorBidi"/>
      <w:color w:val="404040" w:themeColor="text1" w:themeTint="BF"/>
      <w:spacing w:val="5"/>
      <w:sz w:val="24"/>
      <w:szCs w:val="24"/>
      <w:lang w:val="es-ES_tradnl" w:eastAsia="es-ES"/>
    </w:rPr>
  </w:style>
  <w:style w:type="character" w:customStyle="1" w:styleId="Ttulo4Car">
    <w:name w:val="Título 4 Car"/>
    <w:basedOn w:val="Fuentedeprrafopredeter"/>
    <w:link w:val="Ttulo4"/>
    <w:rsid w:val="007700A9"/>
    <w:rPr>
      <w:rFonts w:ascii="Century Gothic" w:eastAsia="Times New Roman" w:hAnsi="Century Gothic" w:cs="Times New Roman"/>
      <w:smallCaps/>
      <w:color w:val="C00000"/>
      <w:sz w:val="26"/>
      <w:szCs w:val="26"/>
      <w:lang w:val="es-ES_tradnl" w:eastAsia="es-ES"/>
    </w:rPr>
  </w:style>
  <w:style w:type="character" w:customStyle="1" w:styleId="Ttulo5Car">
    <w:name w:val="Título 5 Car"/>
    <w:basedOn w:val="Fuentedeprrafopredeter"/>
    <w:link w:val="Ttulo5"/>
    <w:rsid w:val="007700A9"/>
    <w:rPr>
      <w:rFonts w:ascii="Cambria" w:eastAsia="Times New Roman" w:hAnsi="Cambria" w:cs="Times New Roman"/>
      <w:color w:val="243F60"/>
      <w:sz w:val="20"/>
      <w:szCs w:val="20"/>
      <w:lang w:eastAsia="es-ES"/>
    </w:rPr>
  </w:style>
  <w:style w:type="character" w:customStyle="1" w:styleId="Ttulo6Car">
    <w:name w:val="Título 6 Car"/>
    <w:basedOn w:val="Fuentedeprrafopredeter"/>
    <w:link w:val="Ttulo6"/>
    <w:rsid w:val="007700A9"/>
    <w:rPr>
      <w:rFonts w:ascii="Cambria" w:eastAsia="Times New Roman" w:hAnsi="Cambria" w:cs="Times New Roman"/>
      <w:i/>
      <w:iCs/>
      <w:color w:val="243F60"/>
      <w:sz w:val="20"/>
      <w:szCs w:val="20"/>
      <w:lang w:eastAsia="es-ES"/>
    </w:rPr>
  </w:style>
  <w:style w:type="numbering" w:customStyle="1" w:styleId="Sinlista1">
    <w:name w:val="Sin lista1"/>
    <w:next w:val="Sinlista"/>
    <w:uiPriority w:val="99"/>
    <w:semiHidden/>
    <w:rsid w:val="007700A9"/>
  </w:style>
  <w:style w:type="paragraph" w:styleId="Textodeglobo">
    <w:name w:val="Balloon Text"/>
    <w:basedOn w:val="Normal"/>
    <w:link w:val="TextodegloboCar"/>
    <w:uiPriority w:val="99"/>
    <w:semiHidden/>
    <w:rsid w:val="007700A9"/>
    <w:pPr>
      <w:spacing w:line="240" w:lineRule="auto"/>
    </w:pPr>
    <w:rPr>
      <w:rFonts w:ascii="Tahoma" w:eastAsia="Times New Roman" w:hAnsi="Tahoma" w:cs="Times New Roman"/>
      <w:sz w:val="16"/>
      <w:szCs w:val="16"/>
      <w:lang w:eastAsia="es-ES"/>
    </w:rPr>
  </w:style>
  <w:style w:type="character" w:customStyle="1" w:styleId="TextodegloboCar">
    <w:name w:val="Texto de globo Car"/>
    <w:basedOn w:val="Fuentedeprrafopredeter"/>
    <w:link w:val="Textodeglobo"/>
    <w:uiPriority w:val="99"/>
    <w:semiHidden/>
    <w:rsid w:val="007700A9"/>
    <w:rPr>
      <w:rFonts w:ascii="Tahoma" w:eastAsia="Times New Roman" w:hAnsi="Tahoma" w:cs="Times New Roman"/>
      <w:sz w:val="16"/>
      <w:szCs w:val="16"/>
      <w:lang w:eastAsia="es-ES"/>
    </w:rPr>
  </w:style>
  <w:style w:type="paragraph" w:customStyle="1" w:styleId="Ttulocaptulo">
    <w:name w:val="Título capítulo"/>
    <w:basedOn w:val="Normal"/>
    <w:link w:val="TtulocaptuloCar"/>
    <w:rsid w:val="007700A9"/>
    <w:pPr>
      <w:keepNext/>
      <w:keepLines/>
      <w:spacing w:before="480" w:line="240" w:lineRule="auto"/>
      <w:outlineLvl w:val="0"/>
    </w:pPr>
    <w:rPr>
      <w:rFonts w:ascii="Century Gothic" w:eastAsia="Times New Roman" w:hAnsi="Century Gothic" w:cs="Times New Roman"/>
      <w:bCs/>
      <w:caps/>
      <w:color w:val="C00000"/>
      <w:sz w:val="36"/>
      <w:szCs w:val="36"/>
      <w:lang w:eastAsia="es-ES"/>
    </w:rPr>
  </w:style>
  <w:style w:type="character" w:customStyle="1" w:styleId="TtulocaptuloCar">
    <w:name w:val="Título capítulo Car"/>
    <w:link w:val="Ttulocaptulo"/>
    <w:locked/>
    <w:rsid w:val="007700A9"/>
    <w:rPr>
      <w:rFonts w:ascii="Century Gothic" w:eastAsia="Times New Roman" w:hAnsi="Century Gothic" w:cs="Times New Roman"/>
      <w:bCs/>
      <w:caps/>
      <w:color w:val="C00000"/>
      <w:sz w:val="36"/>
      <w:szCs w:val="36"/>
      <w:lang w:eastAsia="es-ES"/>
    </w:rPr>
  </w:style>
  <w:style w:type="paragraph" w:styleId="Encabezado">
    <w:name w:val="header"/>
    <w:basedOn w:val="Normal"/>
    <w:link w:val="EncabezadoCar"/>
    <w:rsid w:val="007700A9"/>
    <w:pPr>
      <w:tabs>
        <w:tab w:val="center" w:pos="4419"/>
        <w:tab w:val="right" w:pos="8838"/>
      </w:tabs>
      <w:spacing w:line="240" w:lineRule="auto"/>
    </w:pPr>
    <w:rPr>
      <w:rFonts w:ascii="Calibri" w:eastAsia="Times New Roman" w:hAnsi="Calibri" w:cs="Times New Roman"/>
      <w:sz w:val="20"/>
      <w:szCs w:val="20"/>
      <w:lang w:eastAsia="es-ES"/>
    </w:rPr>
  </w:style>
  <w:style w:type="character" w:customStyle="1" w:styleId="EncabezadoCar">
    <w:name w:val="Encabezado Car"/>
    <w:basedOn w:val="Fuentedeprrafopredeter"/>
    <w:link w:val="Encabezado"/>
    <w:rsid w:val="007700A9"/>
    <w:rPr>
      <w:rFonts w:ascii="Calibri" w:eastAsia="Times New Roman" w:hAnsi="Calibri" w:cs="Times New Roman"/>
      <w:sz w:val="20"/>
      <w:szCs w:val="20"/>
      <w:lang w:eastAsia="es-ES"/>
    </w:rPr>
  </w:style>
  <w:style w:type="paragraph" w:styleId="Piedepgina">
    <w:name w:val="footer"/>
    <w:basedOn w:val="Normal"/>
    <w:link w:val="PiedepginaCar"/>
    <w:uiPriority w:val="99"/>
    <w:rsid w:val="007700A9"/>
    <w:pPr>
      <w:tabs>
        <w:tab w:val="center" w:pos="4419"/>
        <w:tab w:val="right" w:pos="8838"/>
      </w:tabs>
      <w:spacing w:line="240" w:lineRule="auto"/>
    </w:pPr>
    <w:rPr>
      <w:rFonts w:ascii="Calibri" w:eastAsia="Times New Roman" w:hAnsi="Calibri" w:cs="Times New Roman"/>
      <w:sz w:val="20"/>
      <w:szCs w:val="20"/>
      <w:lang w:eastAsia="es-ES"/>
    </w:rPr>
  </w:style>
  <w:style w:type="character" w:customStyle="1" w:styleId="PiedepginaCar">
    <w:name w:val="Pie de página Car"/>
    <w:basedOn w:val="Fuentedeprrafopredeter"/>
    <w:link w:val="Piedepgina"/>
    <w:uiPriority w:val="99"/>
    <w:rsid w:val="007700A9"/>
    <w:rPr>
      <w:rFonts w:ascii="Calibri" w:eastAsia="Times New Roman" w:hAnsi="Calibri" w:cs="Times New Roman"/>
      <w:sz w:val="20"/>
      <w:szCs w:val="20"/>
      <w:lang w:eastAsia="es-ES"/>
    </w:rPr>
  </w:style>
  <w:style w:type="paragraph" w:customStyle="1" w:styleId="Encabezado1">
    <w:name w:val="Encabezado1"/>
    <w:basedOn w:val="Encabezado"/>
    <w:link w:val="Encabezado1Car"/>
    <w:qFormat/>
    <w:rsid w:val="006127B0"/>
    <w:pPr>
      <w:pBdr>
        <w:bottom w:val="single" w:sz="4" w:space="1" w:color="BFBFBF" w:themeColor="background1" w:themeShade="BF"/>
      </w:pBdr>
      <w:shd w:val="clear" w:color="auto" w:fill="FFFFFF" w:themeFill="background1"/>
      <w:tabs>
        <w:tab w:val="clear" w:pos="4419"/>
        <w:tab w:val="clear" w:pos="8838"/>
        <w:tab w:val="left" w:pos="993"/>
        <w:tab w:val="center" w:pos="4252"/>
        <w:tab w:val="right" w:pos="8504"/>
      </w:tabs>
      <w:spacing w:before="0"/>
      <w:jc w:val="right"/>
    </w:pPr>
    <w:rPr>
      <w:rFonts w:ascii="Century Gothic" w:eastAsia="Calibri" w:hAnsi="Century Gothic" w:cs="Arial"/>
      <w:color w:val="7F7F7F" w:themeColor="text1" w:themeTint="80"/>
      <w:sz w:val="16"/>
      <w:szCs w:val="16"/>
      <w:lang w:val="en-US"/>
    </w:rPr>
  </w:style>
  <w:style w:type="character" w:customStyle="1" w:styleId="Encabezado1Car">
    <w:name w:val="Encabezado1 Car"/>
    <w:basedOn w:val="EncabezadoCar"/>
    <w:link w:val="Encabezado1"/>
    <w:locked/>
    <w:rsid w:val="006127B0"/>
    <w:rPr>
      <w:rFonts w:ascii="Century Gothic" w:eastAsia="Calibri" w:hAnsi="Century Gothic" w:cs="Arial"/>
      <w:color w:val="7F7F7F" w:themeColor="text1" w:themeTint="80"/>
      <w:sz w:val="16"/>
      <w:szCs w:val="16"/>
      <w:shd w:val="clear" w:color="auto" w:fill="FFFFFF" w:themeFill="background1"/>
      <w:lang w:val="en-US" w:eastAsia="es-ES"/>
    </w:rPr>
  </w:style>
  <w:style w:type="paragraph" w:customStyle="1" w:styleId="11Subttulo">
    <w:name w:val="1.1 Subtítulo"/>
    <w:basedOn w:val="Ttulo2"/>
    <w:link w:val="11SubttuloCar"/>
    <w:rsid w:val="007700A9"/>
    <w:rPr>
      <w:smallCaps w:val="0"/>
    </w:rPr>
  </w:style>
  <w:style w:type="character" w:customStyle="1" w:styleId="11SubttuloCar">
    <w:name w:val="1.1 Subtítulo Car"/>
    <w:link w:val="11Subttulo"/>
    <w:locked/>
    <w:rsid w:val="007700A9"/>
    <w:rPr>
      <w:rFonts w:ascii="Century Gothic" w:eastAsia="Times New Roman" w:hAnsi="Century Gothic" w:cs="Times New Roman"/>
      <w:bCs/>
      <w:color w:val="C00000"/>
      <w:sz w:val="30"/>
      <w:szCs w:val="30"/>
      <w:lang w:val="es-ES_tradnl" w:eastAsia="es-ES"/>
    </w:rPr>
  </w:style>
  <w:style w:type="paragraph" w:customStyle="1" w:styleId="ListParagraph1">
    <w:name w:val="List Paragraph1"/>
    <w:basedOn w:val="Normal"/>
    <w:link w:val="ListParagraphChar"/>
    <w:rsid w:val="007700A9"/>
    <w:pPr>
      <w:ind w:left="720"/>
    </w:pPr>
    <w:rPr>
      <w:rFonts w:ascii="Calibri" w:eastAsia="Calibri" w:hAnsi="Calibri" w:cs="Times New Roman"/>
    </w:rPr>
  </w:style>
  <w:style w:type="character" w:customStyle="1" w:styleId="ListParagraphChar">
    <w:name w:val="List Paragraph Char"/>
    <w:link w:val="ListParagraph1"/>
    <w:locked/>
    <w:rsid w:val="007700A9"/>
    <w:rPr>
      <w:rFonts w:ascii="Calibri" w:eastAsia="Calibri" w:hAnsi="Calibri" w:cs="Times New Roman"/>
    </w:rPr>
  </w:style>
  <w:style w:type="paragraph" w:styleId="Textonotapie">
    <w:name w:val="footnote text"/>
    <w:aliases w:val="FN"/>
    <w:basedOn w:val="Normal"/>
    <w:link w:val="TextonotapieCar"/>
    <w:semiHidden/>
    <w:rsid w:val="007700A9"/>
    <w:pPr>
      <w:spacing w:line="240" w:lineRule="auto"/>
    </w:pPr>
    <w:rPr>
      <w:rFonts w:ascii="Calibri" w:eastAsia="Times New Roman" w:hAnsi="Calibri" w:cs="Times New Roman"/>
      <w:sz w:val="20"/>
      <w:szCs w:val="20"/>
      <w:lang w:eastAsia="es-ES"/>
    </w:rPr>
  </w:style>
  <w:style w:type="character" w:customStyle="1" w:styleId="TextonotapieCar">
    <w:name w:val="Texto nota pie Car"/>
    <w:aliases w:val="FN Car"/>
    <w:basedOn w:val="Fuentedeprrafopredeter"/>
    <w:link w:val="Textonotapie"/>
    <w:rsid w:val="007700A9"/>
    <w:rPr>
      <w:rFonts w:ascii="Calibri" w:eastAsia="Times New Roman" w:hAnsi="Calibri" w:cs="Times New Roman"/>
      <w:sz w:val="20"/>
      <w:szCs w:val="20"/>
      <w:lang w:eastAsia="es-ES"/>
    </w:rPr>
  </w:style>
  <w:style w:type="character" w:styleId="Refdenotaalpie">
    <w:name w:val="footnote reference"/>
    <w:aliases w:val="FC,referencia nota al pie,Texto de nota al pie,BVI fnr,Ref. de nota al pie2,Nota de pie,Ref,de nota al pie,Footnote symbol,Footnote,Pie de pagina,Appel note de bas de page,Footnotes refss,Footnote Text Char1 Car Car Car Car,f"/>
    <w:rsid w:val="007700A9"/>
    <w:rPr>
      <w:vertAlign w:val="superscript"/>
    </w:rPr>
  </w:style>
  <w:style w:type="paragraph" w:customStyle="1" w:styleId="121Subttulo">
    <w:name w:val="1.2.1 Subtítulo"/>
    <w:basedOn w:val="Normal"/>
    <w:link w:val="121SubttuloCar"/>
    <w:rsid w:val="007700A9"/>
    <w:pPr>
      <w:spacing w:before="280" w:after="280" w:line="240" w:lineRule="auto"/>
    </w:pPr>
    <w:rPr>
      <w:rFonts w:ascii="Century Gothic" w:eastAsia="Times New Roman" w:hAnsi="Century Gothic" w:cs="Times New Roman"/>
      <w:color w:val="404040"/>
      <w:szCs w:val="20"/>
      <w:lang w:eastAsia="es-ES"/>
    </w:rPr>
  </w:style>
  <w:style w:type="character" w:customStyle="1" w:styleId="121SubttuloCar">
    <w:name w:val="1.2.1 Subtítulo Car"/>
    <w:link w:val="121Subttulo"/>
    <w:locked/>
    <w:rsid w:val="007700A9"/>
    <w:rPr>
      <w:rFonts w:ascii="Century Gothic" w:eastAsia="Times New Roman" w:hAnsi="Century Gothic" w:cs="Times New Roman"/>
      <w:color w:val="404040"/>
      <w:sz w:val="26"/>
      <w:szCs w:val="20"/>
      <w:lang w:eastAsia="es-ES"/>
    </w:rPr>
  </w:style>
  <w:style w:type="paragraph" w:styleId="NormalWeb">
    <w:name w:val="Normal (Web)"/>
    <w:basedOn w:val="Normal"/>
    <w:uiPriority w:val="99"/>
    <w:rsid w:val="007700A9"/>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highlightedsearchterm">
    <w:name w:val="highlightedsearchterm"/>
    <w:rsid w:val="007700A9"/>
  </w:style>
  <w:style w:type="table" w:styleId="Tablaconcuadrcula">
    <w:name w:val="Table Grid"/>
    <w:aliases w:val="Ecotabla-3"/>
    <w:basedOn w:val="Tablanormal"/>
    <w:uiPriority w:val="59"/>
    <w:rsid w:val="007700A9"/>
    <w:pPr>
      <w:spacing w:after="0" w:line="240" w:lineRule="auto"/>
      <w:jc w:val="center"/>
    </w:pPr>
    <w:rPr>
      <w:rFonts w:ascii="Arial Narrow" w:eastAsia="Calibri" w:hAnsi="Arial Narrow" w:cs="Times New Roman"/>
      <w:lang w:eastAsia="es-CO"/>
    </w:rPr>
    <w:tblPr>
      <w:tblStyleRowBandSize w:val="1"/>
      <w:jc w:val="center"/>
      <w:tblInd w:w="0" w:type="dxa"/>
      <w:tblBorders>
        <w:top w:val="single" w:sz="6" w:space="0" w:color="FFFFFF"/>
        <w:bottom w:val="single" w:sz="6" w:space="0" w:color="808080"/>
        <w:insideH w:val="single" w:sz="6" w:space="0" w:color="808080"/>
      </w:tblBorders>
      <w:tblCellMar>
        <w:top w:w="0" w:type="dxa"/>
        <w:left w:w="108" w:type="dxa"/>
        <w:bottom w:w="0" w:type="dxa"/>
        <w:right w:w="108" w:type="dxa"/>
      </w:tblCellMar>
    </w:tblPr>
    <w:trPr>
      <w:jc w:val="center"/>
    </w:trPr>
    <w:tcPr>
      <w:shd w:val="clear" w:color="auto" w:fill="FFFFFF"/>
    </w:tcPr>
    <w:tblStylePr w:type="firstRow">
      <w:rPr>
        <w:rFonts w:ascii="ArialMT" w:hAnsi="ArialMT" w:cs="Times New Roman"/>
        <w:b/>
        <w:sz w:val="22"/>
      </w:rPr>
      <w:tblPr/>
      <w:tcPr>
        <w:tcBorders>
          <w:top w:val="nil"/>
          <w:left w:val="nil"/>
          <w:bottom w:val="single" w:sz="4" w:space="0" w:color="FFFFFF"/>
          <w:right w:val="nil"/>
          <w:insideH w:val="nil"/>
          <w:insideV w:val="nil"/>
          <w:tl2br w:val="nil"/>
          <w:tr2bl w:val="nil"/>
        </w:tcBorders>
        <w:shd w:val="clear" w:color="auto" w:fill="D9D9D9"/>
      </w:tcPr>
    </w:tblStylePr>
    <w:tblStylePr w:type="band1Horz">
      <w:rPr>
        <w:rFonts w:cs="Times New Roman"/>
      </w:rPr>
      <w:tblPr/>
      <w:tcPr>
        <w:tcBorders>
          <w:top w:val="nil"/>
          <w:insideH w:val="nil"/>
        </w:tcBorders>
      </w:tcPr>
    </w:tblStylePr>
  </w:style>
  <w:style w:type="paragraph" w:customStyle="1" w:styleId="T-Figura">
    <w:name w:val="T-Figura"/>
    <w:basedOn w:val="Normal"/>
    <w:link w:val="T-FiguraCar"/>
    <w:qFormat/>
    <w:rsid w:val="006156B0"/>
    <w:pPr>
      <w:keepNext/>
      <w:keepLines/>
      <w:spacing w:after="120"/>
      <w:ind w:left="851" w:right="851"/>
      <w:jc w:val="center"/>
      <w:outlineLvl w:val="0"/>
    </w:pPr>
    <w:rPr>
      <w:rFonts w:ascii="Century Gothic" w:eastAsiaTheme="majorEastAsia" w:hAnsi="Century Gothic" w:cstheme="majorBidi"/>
      <w:b/>
      <w:bCs/>
      <w:color w:val="C00000"/>
      <w:sz w:val="20"/>
      <w:szCs w:val="20"/>
      <w:lang w:val="es-CO"/>
    </w:rPr>
  </w:style>
  <w:style w:type="character" w:customStyle="1" w:styleId="T-FiguraCar">
    <w:name w:val="T-Figura Car"/>
    <w:basedOn w:val="Fuentedeprrafopredeter"/>
    <w:link w:val="T-Figura"/>
    <w:locked/>
    <w:rsid w:val="006156B0"/>
    <w:rPr>
      <w:rFonts w:ascii="Century Gothic" w:eastAsiaTheme="majorEastAsia" w:hAnsi="Century Gothic" w:cstheme="majorBidi"/>
      <w:b/>
      <w:bCs/>
      <w:color w:val="C00000"/>
    </w:rPr>
  </w:style>
  <w:style w:type="paragraph" w:customStyle="1" w:styleId="Fuente">
    <w:name w:val="Fuente"/>
    <w:basedOn w:val="Normal"/>
    <w:link w:val="FuenteCar"/>
    <w:rsid w:val="007700A9"/>
    <w:pPr>
      <w:spacing w:after="240" w:line="240" w:lineRule="auto"/>
      <w:jc w:val="center"/>
    </w:pPr>
    <w:rPr>
      <w:rFonts w:eastAsia="Times New Roman" w:cs="Times New Roman"/>
      <w:b/>
      <w:color w:val="4A442A"/>
      <w:sz w:val="18"/>
      <w:szCs w:val="18"/>
      <w:lang w:eastAsia="es-ES"/>
    </w:rPr>
  </w:style>
  <w:style w:type="character" w:customStyle="1" w:styleId="FuenteCar">
    <w:name w:val="Fuente Car"/>
    <w:link w:val="Fuente"/>
    <w:locked/>
    <w:rsid w:val="007700A9"/>
    <w:rPr>
      <w:rFonts w:ascii="Garamond" w:eastAsia="Times New Roman" w:hAnsi="Garamond" w:cs="Times New Roman"/>
      <w:b/>
      <w:color w:val="4A442A"/>
      <w:sz w:val="18"/>
      <w:szCs w:val="18"/>
      <w:lang w:eastAsia="es-ES"/>
    </w:rPr>
  </w:style>
  <w:style w:type="paragraph" w:customStyle="1" w:styleId="Default">
    <w:name w:val="Default"/>
    <w:rsid w:val="007700A9"/>
    <w:pPr>
      <w:autoSpaceDE w:val="0"/>
      <w:autoSpaceDN w:val="0"/>
      <w:adjustRightInd w:val="0"/>
      <w:spacing w:after="0" w:line="240" w:lineRule="auto"/>
    </w:pPr>
    <w:rPr>
      <w:rFonts w:ascii="Arial" w:eastAsia="Calibri" w:hAnsi="Arial" w:cs="Arial"/>
      <w:color w:val="000000"/>
      <w:sz w:val="24"/>
      <w:szCs w:val="24"/>
    </w:rPr>
  </w:style>
  <w:style w:type="character" w:customStyle="1" w:styleId="textonavy">
    <w:name w:val="texto_navy"/>
    <w:rsid w:val="007700A9"/>
  </w:style>
  <w:style w:type="character" w:styleId="Hipervnculo">
    <w:name w:val="Hyperlink"/>
    <w:uiPriority w:val="99"/>
    <w:rsid w:val="007700A9"/>
    <w:rPr>
      <w:color w:val="0000FF"/>
      <w:u w:val="single"/>
    </w:rPr>
  </w:style>
  <w:style w:type="character" w:styleId="Textoennegrita">
    <w:name w:val="Strong"/>
    <w:rsid w:val="007700A9"/>
    <w:rPr>
      <w:b/>
    </w:rPr>
  </w:style>
  <w:style w:type="character" w:styleId="Refdecomentario">
    <w:name w:val="annotation reference"/>
    <w:semiHidden/>
    <w:rsid w:val="007700A9"/>
    <w:rPr>
      <w:sz w:val="16"/>
    </w:rPr>
  </w:style>
  <w:style w:type="paragraph" w:styleId="Textocomentario">
    <w:name w:val="annotation text"/>
    <w:basedOn w:val="Normal"/>
    <w:link w:val="TextocomentarioCar"/>
    <w:semiHidden/>
    <w:rsid w:val="007700A9"/>
    <w:pPr>
      <w:spacing w:line="240" w:lineRule="auto"/>
    </w:pPr>
    <w:rPr>
      <w:rFonts w:ascii="Calibri" w:eastAsia="Calibri" w:hAnsi="Calibri" w:cs="Times New Roman"/>
      <w:sz w:val="20"/>
      <w:szCs w:val="20"/>
      <w:lang w:eastAsia="es-CO"/>
    </w:rPr>
  </w:style>
  <w:style w:type="character" w:customStyle="1" w:styleId="TextocomentarioCar">
    <w:name w:val="Texto comentario Car"/>
    <w:basedOn w:val="Fuentedeprrafopredeter"/>
    <w:link w:val="Textocomentario"/>
    <w:semiHidden/>
    <w:rsid w:val="007700A9"/>
    <w:rPr>
      <w:rFonts w:ascii="Calibri" w:eastAsia="Calibri" w:hAnsi="Calibri" w:cs="Times New Roman"/>
      <w:sz w:val="20"/>
      <w:szCs w:val="20"/>
      <w:lang w:eastAsia="es-CO"/>
    </w:rPr>
  </w:style>
  <w:style w:type="paragraph" w:styleId="TDC1">
    <w:name w:val="toc 1"/>
    <w:basedOn w:val="Normal"/>
    <w:next w:val="Normal"/>
    <w:uiPriority w:val="39"/>
    <w:qFormat/>
    <w:rsid w:val="00B03A48"/>
    <w:pPr>
      <w:tabs>
        <w:tab w:val="left" w:pos="480"/>
        <w:tab w:val="right" w:leader="dot" w:pos="9180"/>
      </w:tabs>
      <w:spacing w:before="0" w:after="120" w:line="240" w:lineRule="auto"/>
    </w:pPr>
    <w:rPr>
      <w:rFonts w:ascii="Century Gothic" w:hAnsi="Century Gothic"/>
      <w:smallCaps/>
      <w:color w:val="C00000"/>
      <w:sz w:val="22"/>
      <w:szCs w:val="20"/>
    </w:rPr>
  </w:style>
  <w:style w:type="paragraph" w:styleId="TDC2">
    <w:name w:val="toc 2"/>
    <w:basedOn w:val="Normal"/>
    <w:next w:val="Normal"/>
    <w:autoRedefine/>
    <w:uiPriority w:val="39"/>
    <w:qFormat/>
    <w:rsid w:val="00B03A48"/>
    <w:pPr>
      <w:tabs>
        <w:tab w:val="left" w:pos="660"/>
        <w:tab w:val="right" w:leader="dot" w:pos="9214"/>
      </w:tabs>
      <w:spacing w:before="0" w:after="120" w:line="240" w:lineRule="auto"/>
      <w:ind w:left="284" w:right="-93"/>
    </w:pPr>
    <w:rPr>
      <w:rFonts w:ascii="Century Gothic" w:hAnsi="Century Gothic"/>
      <w:sz w:val="22"/>
    </w:rPr>
  </w:style>
  <w:style w:type="paragraph" w:styleId="Textoindependiente3">
    <w:name w:val="Body Text 3"/>
    <w:basedOn w:val="Normal"/>
    <w:link w:val="Textoindependiente3Car"/>
    <w:rsid w:val="007700A9"/>
    <w:pPr>
      <w:spacing w:line="240" w:lineRule="atLeast"/>
    </w:pPr>
    <w:rPr>
      <w:rFonts w:eastAsia="Times New Roman" w:cs="Times New Roman"/>
      <w:szCs w:val="20"/>
      <w:lang w:val="es-ES" w:eastAsia="es-ES"/>
    </w:rPr>
  </w:style>
  <w:style w:type="character" w:customStyle="1" w:styleId="Textoindependiente3Car">
    <w:name w:val="Texto independiente 3 Car"/>
    <w:basedOn w:val="Fuentedeprrafopredeter"/>
    <w:link w:val="Textoindependiente3"/>
    <w:rsid w:val="007700A9"/>
    <w:rPr>
      <w:rFonts w:ascii="Garamond" w:eastAsia="Times New Roman" w:hAnsi="Garamond" w:cs="Times New Roman"/>
      <w:sz w:val="26"/>
      <w:szCs w:val="20"/>
      <w:lang w:val="es-ES" w:eastAsia="es-ES"/>
    </w:rPr>
  </w:style>
  <w:style w:type="paragraph" w:styleId="Ttulo">
    <w:name w:val="Title"/>
    <w:basedOn w:val="Normal"/>
    <w:next w:val="Normal"/>
    <w:link w:val="TtuloCar"/>
    <w:rsid w:val="007700A9"/>
    <w:pPr>
      <w:pBdr>
        <w:bottom w:val="single" w:sz="8" w:space="4" w:color="4F81BD"/>
      </w:pBdr>
      <w:spacing w:line="300" w:lineRule="atLeast"/>
      <w:jc w:val="center"/>
    </w:pPr>
    <w:rPr>
      <w:rFonts w:ascii="Times New Roman Negrita" w:eastAsia="Times New Roman" w:hAnsi="Times New Roman Negrita" w:cs="Times New Roman"/>
      <w:b/>
      <w:spacing w:val="5"/>
      <w:kern w:val="28"/>
      <w:sz w:val="52"/>
      <w:szCs w:val="52"/>
      <w:lang w:eastAsia="es-CO"/>
    </w:rPr>
  </w:style>
  <w:style w:type="character" w:customStyle="1" w:styleId="TtuloCar">
    <w:name w:val="Título Car"/>
    <w:basedOn w:val="Fuentedeprrafopredeter"/>
    <w:link w:val="Ttulo"/>
    <w:rsid w:val="007700A9"/>
    <w:rPr>
      <w:rFonts w:ascii="Times New Roman Negrita" w:eastAsia="Times New Roman" w:hAnsi="Times New Roman Negrita" w:cs="Times New Roman"/>
      <w:b/>
      <w:spacing w:val="5"/>
      <w:kern w:val="28"/>
      <w:sz w:val="52"/>
      <w:szCs w:val="52"/>
      <w:lang w:eastAsia="es-CO"/>
    </w:rPr>
  </w:style>
  <w:style w:type="paragraph" w:styleId="TDC3">
    <w:name w:val="toc 3"/>
    <w:basedOn w:val="Normal"/>
    <w:next w:val="Normal"/>
    <w:autoRedefine/>
    <w:uiPriority w:val="39"/>
    <w:qFormat/>
    <w:rsid w:val="006127B0"/>
    <w:pPr>
      <w:tabs>
        <w:tab w:val="right" w:leader="dot" w:pos="9113"/>
      </w:tabs>
      <w:spacing w:before="0" w:line="240" w:lineRule="auto"/>
      <w:ind w:left="482"/>
      <w:jc w:val="left"/>
    </w:pPr>
    <w:rPr>
      <w:sz w:val="22"/>
    </w:rPr>
  </w:style>
  <w:style w:type="paragraph" w:styleId="Textoindependiente">
    <w:name w:val="Body Text"/>
    <w:basedOn w:val="Normal"/>
    <w:link w:val="TextoindependienteCar"/>
    <w:rsid w:val="007700A9"/>
    <w:pPr>
      <w:spacing w:before="100" w:beforeAutospacing="1" w:after="100" w:afterAutospacing="1"/>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rsid w:val="007700A9"/>
    <w:rPr>
      <w:rFonts w:ascii="Times New Roman" w:eastAsia="Times New Roman" w:hAnsi="Times New Roman" w:cs="Times New Roman"/>
      <w:sz w:val="24"/>
      <w:szCs w:val="24"/>
      <w:lang w:eastAsia="es-ES"/>
    </w:rPr>
  </w:style>
  <w:style w:type="paragraph" w:styleId="Textoindependiente2">
    <w:name w:val="Body Text 2"/>
    <w:basedOn w:val="Normal"/>
    <w:link w:val="Textoindependiente2Car"/>
    <w:rsid w:val="007700A9"/>
    <w:pPr>
      <w:jc w:val="center"/>
    </w:pPr>
    <w:rPr>
      <w:rFonts w:ascii="Century Gothic" w:eastAsia="Times New Roman" w:hAnsi="Century Gothic" w:cs="Times New Roman"/>
      <w:b/>
      <w:lang w:eastAsia="es-ES"/>
    </w:rPr>
  </w:style>
  <w:style w:type="character" w:customStyle="1" w:styleId="Textoindependiente2Car">
    <w:name w:val="Texto independiente 2 Car"/>
    <w:basedOn w:val="Fuentedeprrafopredeter"/>
    <w:link w:val="Textoindependiente2"/>
    <w:rsid w:val="007700A9"/>
    <w:rPr>
      <w:rFonts w:ascii="Century Gothic" w:eastAsia="Times New Roman" w:hAnsi="Century Gothic" w:cs="Times New Roman"/>
      <w:b/>
      <w:sz w:val="26"/>
      <w:szCs w:val="26"/>
      <w:lang w:eastAsia="es-ES"/>
    </w:rPr>
  </w:style>
  <w:style w:type="character" w:customStyle="1" w:styleId="AsuntodelcomentarioCar">
    <w:name w:val="Asunto del comentario Car"/>
    <w:link w:val="Asuntodelcomentario"/>
    <w:semiHidden/>
    <w:locked/>
    <w:rsid w:val="007700A9"/>
    <w:rPr>
      <w:rFonts w:ascii="Garamond" w:hAnsi="Garamond"/>
      <w:b/>
      <w:sz w:val="20"/>
      <w:lang w:eastAsia="es-CO"/>
    </w:rPr>
  </w:style>
  <w:style w:type="paragraph" w:styleId="Asuntodelcomentario">
    <w:name w:val="annotation subject"/>
    <w:basedOn w:val="Textocomentario"/>
    <w:next w:val="Textocomentario"/>
    <w:link w:val="AsuntodelcomentarioCar"/>
    <w:semiHidden/>
    <w:rsid w:val="007700A9"/>
    <w:rPr>
      <w:rFonts w:ascii="Garamond" w:eastAsiaTheme="minorHAnsi" w:hAnsi="Garamond" w:cstheme="minorBidi"/>
      <w:b/>
      <w:szCs w:val="22"/>
    </w:rPr>
  </w:style>
  <w:style w:type="character" w:customStyle="1" w:styleId="AsuntodelcomentarioCar1">
    <w:name w:val="Asunto del comentario Car1"/>
    <w:basedOn w:val="TextocomentarioCar"/>
    <w:uiPriority w:val="99"/>
    <w:semiHidden/>
    <w:rsid w:val="007700A9"/>
    <w:rPr>
      <w:rFonts w:ascii="Calibri" w:eastAsia="Calibri" w:hAnsi="Calibri" w:cs="Times New Roman"/>
      <w:b/>
      <w:bCs/>
      <w:sz w:val="20"/>
      <w:szCs w:val="20"/>
      <w:lang w:eastAsia="es-CO"/>
    </w:rPr>
  </w:style>
  <w:style w:type="character" w:customStyle="1" w:styleId="MapadeldocumentoCar">
    <w:name w:val="Mapa del documento Car"/>
    <w:link w:val="Mapadeldocumento"/>
    <w:semiHidden/>
    <w:locked/>
    <w:rsid w:val="007700A9"/>
    <w:rPr>
      <w:rFonts w:ascii="Lucida Grande" w:hAnsi="Lucida Grande"/>
      <w:sz w:val="24"/>
    </w:rPr>
  </w:style>
  <w:style w:type="paragraph" w:styleId="Mapadeldocumento">
    <w:name w:val="Document Map"/>
    <w:basedOn w:val="Normal"/>
    <w:link w:val="MapadeldocumentoCar"/>
    <w:semiHidden/>
    <w:rsid w:val="007700A9"/>
    <w:pPr>
      <w:spacing w:line="240" w:lineRule="auto"/>
    </w:pPr>
    <w:rPr>
      <w:rFonts w:ascii="Lucida Grande" w:hAnsi="Lucida Grande"/>
      <w:sz w:val="24"/>
    </w:rPr>
  </w:style>
  <w:style w:type="character" w:customStyle="1" w:styleId="MapadeldocumentoCar1">
    <w:name w:val="Mapa del documento Car1"/>
    <w:basedOn w:val="Fuentedeprrafopredeter"/>
    <w:uiPriority w:val="99"/>
    <w:semiHidden/>
    <w:rsid w:val="007700A9"/>
    <w:rPr>
      <w:rFonts w:ascii="Tahoma" w:hAnsi="Tahoma" w:cs="Tahoma"/>
      <w:sz w:val="16"/>
      <w:szCs w:val="16"/>
    </w:rPr>
  </w:style>
  <w:style w:type="table" w:customStyle="1" w:styleId="Listaclara-nfasis11">
    <w:name w:val="Lista clara - Énfasis 11"/>
    <w:rsid w:val="007700A9"/>
    <w:pPr>
      <w:spacing w:after="0" w:line="240" w:lineRule="auto"/>
    </w:pPr>
    <w:rPr>
      <w:rFonts w:ascii="Calibri" w:eastAsia="Calibri" w:hAnsi="Calibri" w:cs="Times New Roman"/>
      <w:lang w:eastAsia="es-CO"/>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character" w:customStyle="1" w:styleId="apple-style-span">
    <w:name w:val="apple-style-span"/>
    <w:rsid w:val="007700A9"/>
  </w:style>
  <w:style w:type="table" w:customStyle="1" w:styleId="Sombreadomediano2-nfasis11">
    <w:name w:val="Sombreado mediano 2 - Énfasis 11"/>
    <w:rsid w:val="007700A9"/>
    <w:pPr>
      <w:spacing w:after="0" w:line="240" w:lineRule="auto"/>
    </w:pPr>
    <w:rPr>
      <w:rFonts w:ascii="Calibri" w:eastAsia="Calibri" w:hAnsi="Calibri" w:cs="Times New Roman"/>
      <w:lang w:eastAsia="es-CO"/>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Listaclara-nfasis12">
    <w:name w:val="Lista clara - Énfasis 12"/>
    <w:rsid w:val="007700A9"/>
    <w:pPr>
      <w:spacing w:after="0" w:line="240" w:lineRule="auto"/>
    </w:pPr>
    <w:rPr>
      <w:rFonts w:ascii="Calibri" w:eastAsia="Calibri" w:hAnsi="Calibri" w:cs="Times New Roman"/>
      <w:lang w:eastAsia="es-CO"/>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TituloINTRO">
    <w:name w:val="TituloINTRO"/>
    <w:basedOn w:val="Normal"/>
    <w:next w:val="Normal"/>
    <w:qFormat/>
    <w:rsid w:val="006127B0"/>
    <w:pPr>
      <w:pBdr>
        <w:bottom w:val="single" w:sz="12" w:space="12" w:color="808080" w:themeColor="background1" w:themeShade="80"/>
      </w:pBdr>
      <w:spacing w:before="720" w:line="240" w:lineRule="auto"/>
      <w:contextualSpacing/>
      <w:jc w:val="left"/>
    </w:pPr>
    <w:rPr>
      <w:rFonts w:ascii="Century Gothic" w:hAnsi="Century Gothic"/>
      <w:smallCaps/>
      <w:color w:val="C00000"/>
      <w:sz w:val="36"/>
    </w:rPr>
  </w:style>
  <w:style w:type="character" w:styleId="MquinadeescribirHTML">
    <w:name w:val="HTML Typewriter"/>
    <w:uiPriority w:val="99"/>
    <w:semiHidden/>
    <w:rsid w:val="007700A9"/>
    <w:rPr>
      <w:rFonts w:ascii="Courier New" w:hAnsi="Courier New"/>
      <w:sz w:val="20"/>
    </w:rPr>
  </w:style>
  <w:style w:type="table" w:customStyle="1" w:styleId="LightGrid-Accent41">
    <w:name w:val="Light Grid - Accent 41"/>
    <w:rsid w:val="007700A9"/>
    <w:pPr>
      <w:spacing w:after="0" w:line="240" w:lineRule="auto"/>
    </w:pPr>
    <w:rPr>
      <w:rFonts w:ascii="Calibri" w:eastAsia="Calibri" w:hAnsi="Calibri" w:cs="Times New Roman"/>
      <w:lang w:eastAsia="es-CO"/>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style>
  <w:style w:type="table" w:customStyle="1" w:styleId="LightShading-Accent21">
    <w:name w:val="Light Shading - Accent 21"/>
    <w:rsid w:val="007700A9"/>
    <w:pPr>
      <w:spacing w:after="0" w:line="240" w:lineRule="auto"/>
    </w:pPr>
    <w:rPr>
      <w:rFonts w:ascii="Calibri" w:eastAsia="Calibri" w:hAnsi="Calibri" w:cs="Times New Roman"/>
      <w:color w:val="943634"/>
      <w:lang w:eastAsia="es-CO"/>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character" w:customStyle="1" w:styleId="apple-converted-space">
    <w:name w:val="apple-converted-space"/>
    <w:rsid w:val="007700A9"/>
  </w:style>
  <w:style w:type="character" w:customStyle="1" w:styleId="spelle">
    <w:name w:val="spelle"/>
    <w:rsid w:val="007700A9"/>
  </w:style>
  <w:style w:type="character" w:customStyle="1" w:styleId="IntenseReference1">
    <w:name w:val="Intense Reference1"/>
    <w:rsid w:val="007700A9"/>
    <w:rPr>
      <w:b/>
      <w:smallCaps/>
      <w:color w:val="C0504D"/>
      <w:spacing w:val="5"/>
      <w:u w:val="single"/>
    </w:rPr>
  </w:style>
  <w:style w:type="paragraph" w:customStyle="1" w:styleId="Titulocaptulo-Econometra">
    <w:name w:val="Titulo capítulo - Econometría"/>
    <w:basedOn w:val="Normal"/>
    <w:next w:val="Normal"/>
    <w:link w:val="Titulocaptulo-EconometraCar"/>
    <w:qFormat/>
    <w:rsid w:val="00273E57"/>
    <w:pPr>
      <w:pBdr>
        <w:bottom w:val="single" w:sz="4" w:space="5" w:color="BFBFBF" w:themeColor="background1" w:themeShade="BF"/>
      </w:pBdr>
      <w:spacing w:after="240" w:line="240" w:lineRule="auto"/>
      <w:contextualSpacing/>
    </w:pPr>
    <w:rPr>
      <w:rFonts w:ascii="Century Gothic" w:eastAsiaTheme="majorEastAsia" w:hAnsi="Century Gothic" w:cstheme="majorBidi"/>
      <w:bCs/>
      <w:smallCaps/>
      <w:color w:val="C00000"/>
      <w:sz w:val="36"/>
      <w:szCs w:val="36"/>
    </w:rPr>
  </w:style>
  <w:style w:type="character" w:customStyle="1" w:styleId="Titulocaptulo-EconometraCar">
    <w:name w:val="Titulo capítulo - Econometría Car"/>
    <w:basedOn w:val="Ttulo1Car"/>
    <w:link w:val="Titulocaptulo-Econometra"/>
    <w:locked/>
    <w:rsid w:val="00273E57"/>
    <w:rPr>
      <w:rFonts w:ascii="Century Gothic" w:eastAsiaTheme="majorEastAsia" w:hAnsi="Century Gothic" w:cstheme="majorBidi"/>
      <w:bCs/>
      <w:smallCaps/>
      <w:color w:val="C00000"/>
      <w:sz w:val="36"/>
      <w:szCs w:val="36"/>
      <w:lang w:val="es-ES_tradnl"/>
    </w:rPr>
  </w:style>
  <w:style w:type="paragraph" w:customStyle="1" w:styleId="CM25">
    <w:name w:val="CM25"/>
    <w:basedOn w:val="Default"/>
    <w:next w:val="Default"/>
    <w:rsid w:val="007700A9"/>
    <w:rPr>
      <w:rFonts w:eastAsia="Times New Roman"/>
      <w:color w:val="auto"/>
      <w:lang w:val="es-ES" w:eastAsia="es-ES"/>
    </w:rPr>
  </w:style>
  <w:style w:type="paragraph" w:customStyle="1" w:styleId="CM26">
    <w:name w:val="CM26"/>
    <w:basedOn w:val="Default"/>
    <w:next w:val="Default"/>
    <w:rsid w:val="007700A9"/>
    <w:rPr>
      <w:rFonts w:eastAsia="Times New Roman"/>
      <w:color w:val="auto"/>
      <w:lang w:val="es-ES" w:eastAsia="es-ES"/>
    </w:rPr>
  </w:style>
  <w:style w:type="paragraph" w:customStyle="1" w:styleId="CM27">
    <w:name w:val="CM27"/>
    <w:basedOn w:val="Default"/>
    <w:next w:val="Default"/>
    <w:rsid w:val="007700A9"/>
    <w:rPr>
      <w:rFonts w:eastAsia="Times New Roman"/>
      <w:color w:val="auto"/>
      <w:lang w:val="es-ES" w:eastAsia="es-ES"/>
    </w:rPr>
  </w:style>
  <w:style w:type="paragraph" w:customStyle="1" w:styleId="estilo3">
    <w:name w:val="estilo3"/>
    <w:basedOn w:val="Normal"/>
    <w:rsid w:val="007700A9"/>
    <w:pPr>
      <w:spacing w:before="100" w:beforeAutospacing="1" w:after="100" w:afterAutospacing="1" w:line="240" w:lineRule="auto"/>
    </w:pPr>
    <w:rPr>
      <w:rFonts w:ascii="Arial" w:eastAsia="Times New Roman" w:hAnsi="Arial" w:cs="Arial"/>
      <w:sz w:val="18"/>
      <w:szCs w:val="18"/>
      <w:lang w:val="es-ES" w:eastAsia="es-ES"/>
    </w:rPr>
  </w:style>
  <w:style w:type="paragraph" w:customStyle="1" w:styleId="Prrafodelista1">
    <w:name w:val="Párrafo de lista1"/>
    <w:basedOn w:val="Normal"/>
    <w:rsid w:val="007700A9"/>
    <w:pPr>
      <w:ind w:left="720"/>
    </w:pPr>
    <w:rPr>
      <w:rFonts w:ascii="Calibri" w:eastAsia="Times New Roman" w:hAnsi="Calibri" w:cs="Iskoola Pota"/>
      <w:lang w:val="es-ES" w:eastAsia="es-ES"/>
    </w:rPr>
  </w:style>
  <w:style w:type="table" w:customStyle="1" w:styleId="LightShading-Accent11">
    <w:name w:val="Light Shading - Accent 11"/>
    <w:rsid w:val="007700A9"/>
    <w:pPr>
      <w:spacing w:after="0" w:line="240" w:lineRule="auto"/>
    </w:pPr>
    <w:rPr>
      <w:rFonts w:ascii="Calibri" w:eastAsia="Calibri" w:hAnsi="Calibri" w:cs="Times New Roman"/>
      <w:color w:val="365F91"/>
      <w:lang w:eastAsia="es-CO"/>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paragraph" w:customStyle="1" w:styleId="Bibliography1">
    <w:name w:val="Bibliography1"/>
    <w:basedOn w:val="Normal"/>
    <w:next w:val="Normal"/>
    <w:semiHidden/>
    <w:rsid w:val="007700A9"/>
    <w:rPr>
      <w:rFonts w:ascii="Calibri" w:eastAsia="Times New Roman" w:hAnsi="Calibri" w:cs="Times New Roman"/>
      <w:lang w:val="es-ES" w:eastAsia="es-ES"/>
    </w:rPr>
  </w:style>
  <w:style w:type="paragraph" w:customStyle="1" w:styleId="Prrafodelista2">
    <w:name w:val="Párrafo de lista2"/>
    <w:basedOn w:val="Normal"/>
    <w:rsid w:val="007700A9"/>
    <w:pPr>
      <w:ind w:left="708"/>
    </w:pPr>
    <w:rPr>
      <w:rFonts w:ascii="Calibri" w:eastAsia="Calibri" w:hAnsi="Calibri" w:cs="Times New Roman"/>
    </w:rPr>
  </w:style>
  <w:style w:type="paragraph" w:styleId="Epgrafe">
    <w:name w:val="caption"/>
    <w:basedOn w:val="Normal"/>
    <w:next w:val="Normal"/>
    <w:rsid w:val="007700A9"/>
    <w:pPr>
      <w:spacing w:line="240" w:lineRule="auto"/>
    </w:pPr>
    <w:rPr>
      <w:rFonts w:ascii="Times New Roman" w:eastAsia="Times New Roman" w:hAnsi="Times New Roman" w:cs="Times New Roman"/>
      <w:b/>
      <w:bCs/>
      <w:sz w:val="20"/>
      <w:szCs w:val="20"/>
      <w:lang w:val="es-ES" w:eastAsia="es-ES"/>
    </w:rPr>
  </w:style>
  <w:style w:type="paragraph" w:styleId="Prrafodelista">
    <w:name w:val="List Paragraph"/>
    <w:basedOn w:val="Normal"/>
    <w:link w:val="PrrafodelistaCar"/>
    <w:uiPriority w:val="34"/>
    <w:qFormat/>
    <w:rsid w:val="006127B0"/>
    <w:pPr>
      <w:ind w:left="720"/>
      <w:contextualSpacing/>
    </w:pPr>
  </w:style>
  <w:style w:type="character" w:customStyle="1" w:styleId="PrrafodelistaCar">
    <w:name w:val="Párrafo de lista Car"/>
    <w:basedOn w:val="Fuentedeprrafopredeter"/>
    <w:link w:val="Prrafodelista"/>
    <w:uiPriority w:val="34"/>
    <w:rsid w:val="006127B0"/>
    <w:rPr>
      <w:rFonts w:ascii="Garamond" w:hAnsi="Garamond"/>
      <w:sz w:val="26"/>
      <w:szCs w:val="26"/>
      <w:lang w:val="es-ES_tradnl"/>
    </w:rPr>
  </w:style>
  <w:style w:type="character" w:styleId="Hipervnculovisitado">
    <w:name w:val="FollowedHyperlink"/>
    <w:uiPriority w:val="99"/>
    <w:unhideWhenUsed/>
    <w:rsid w:val="007700A9"/>
    <w:rPr>
      <w:color w:val="954F72"/>
      <w:u w:val="single"/>
    </w:rPr>
  </w:style>
  <w:style w:type="character" w:styleId="Textodelmarcadordeposicin">
    <w:name w:val="Placeholder Text"/>
    <w:basedOn w:val="Fuentedeprrafopredeter"/>
    <w:uiPriority w:val="99"/>
    <w:semiHidden/>
    <w:rsid w:val="003A2765"/>
    <w:rPr>
      <w:color w:val="808080"/>
    </w:rPr>
  </w:style>
  <w:style w:type="paragraph" w:styleId="HTMLconformatoprevio">
    <w:name w:val="HTML Preformatted"/>
    <w:basedOn w:val="Normal"/>
    <w:link w:val="HTMLconformatoprevioCar"/>
    <w:semiHidden/>
    <w:rsid w:val="002F51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Calibri" w:hAnsi="Courier New" w:cs="Courier New"/>
      <w:sz w:val="20"/>
      <w:szCs w:val="20"/>
      <w:lang w:eastAsia="es-CO"/>
    </w:rPr>
  </w:style>
  <w:style w:type="character" w:customStyle="1" w:styleId="HTMLconformatoprevioCar">
    <w:name w:val="HTML con formato previo Car"/>
    <w:basedOn w:val="Fuentedeprrafopredeter"/>
    <w:link w:val="HTMLconformatoprevio"/>
    <w:semiHidden/>
    <w:rsid w:val="002F513B"/>
    <w:rPr>
      <w:rFonts w:ascii="Courier New" w:eastAsia="Calibri" w:hAnsi="Courier New" w:cs="Courier New"/>
      <w:sz w:val="20"/>
      <w:szCs w:val="20"/>
      <w:lang w:eastAsia="es-CO"/>
    </w:rPr>
  </w:style>
  <w:style w:type="paragraph" w:styleId="TDC4">
    <w:name w:val="toc 4"/>
    <w:basedOn w:val="Normal"/>
    <w:next w:val="Normal"/>
    <w:autoRedefine/>
    <w:uiPriority w:val="39"/>
    <w:unhideWhenUsed/>
    <w:rsid w:val="00555FC7"/>
    <w:pPr>
      <w:spacing w:after="100"/>
      <w:ind w:left="660"/>
    </w:pPr>
    <w:rPr>
      <w:lang w:eastAsia="es-CO"/>
    </w:rPr>
  </w:style>
  <w:style w:type="paragraph" w:styleId="TDC5">
    <w:name w:val="toc 5"/>
    <w:basedOn w:val="Normal"/>
    <w:next w:val="Normal"/>
    <w:autoRedefine/>
    <w:uiPriority w:val="39"/>
    <w:unhideWhenUsed/>
    <w:rsid w:val="00555FC7"/>
    <w:pPr>
      <w:spacing w:after="100"/>
      <w:ind w:left="880"/>
    </w:pPr>
    <w:rPr>
      <w:lang w:eastAsia="es-CO"/>
    </w:rPr>
  </w:style>
  <w:style w:type="paragraph" w:styleId="TDC6">
    <w:name w:val="toc 6"/>
    <w:basedOn w:val="Normal"/>
    <w:next w:val="Normal"/>
    <w:autoRedefine/>
    <w:uiPriority w:val="39"/>
    <w:unhideWhenUsed/>
    <w:rsid w:val="00555FC7"/>
    <w:pPr>
      <w:spacing w:after="100"/>
      <w:ind w:left="1100"/>
    </w:pPr>
    <w:rPr>
      <w:lang w:eastAsia="es-CO"/>
    </w:rPr>
  </w:style>
  <w:style w:type="paragraph" w:styleId="TDC7">
    <w:name w:val="toc 7"/>
    <w:basedOn w:val="Normal"/>
    <w:next w:val="Normal"/>
    <w:autoRedefine/>
    <w:uiPriority w:val="39"/>
    <w:unhideWhenUsed/>
    <w:rsid w:val="00555FC7"/>
    <w:pPr>
      <w:spacing w:after="100"/>
      <w:ind w:left="1320"/>
    </w:pPr>
    <w:rPr>
      <w:lang w:eastAsia="es-CO"/>
    </w:rPr>
  </w:style>
  <w:style w:type="paragraph" w:styleId="TDC8">
    <w:name w:val="toc 8"/>
    <w:basedOn w:val="Normal"/>
    <w:next w:val="Normal"/>
    <w:autoRedefine/>
    <w:uiPriority w:val="39"/>
    <w:unhideWhenUsed/>
    <w:rsid w:val="00555FC7"/>
    <w:pPr>
      <w:spacing w:after="100"/>
      <w:ind w:left="1540"/>
    </w:pPr>
    <w:rPr>
      <w:lang w:eastAsia="es-CO"/>
    </w:rPr>
  </w:style>
  <w:style w:type="paragraph" w:styleId="TDC9">
    <w:name w:val="toc 9"/>
    <w:basedOn w:val="Normal"/>
    <w:next w:val="Normal"/>
    <w:autoRedefine/>
    <w:uiPriority w:val="39"/>
    <w:unhideWhenUsed/>
    <w:rsid w:val="00555FC7"/>
    <w:pPr>
      <w:spacing w:after="100"/>
      <w:ind w:left="1760"/>
    </w:pPr>
    <w:rPr>
      <w:lang w:eastAsia="es-CO"/>
    </w:rPr>
  </w:style>
  <w:style w:type="paragraph" w:customStyle="1" w:styleId="pa12">
    <w:name w:val="pa12"/>
    <w:basedOn w:val="Normal"/>
    <w:rsid w:val="00382F97"/>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a21">
    <w:name w:val="a21"/>
    <w:basedOn w:val="Fuentedeprrafopredeter"/>
    <w:rsid w:val="00382F97"/>
  </w:style>
  <w:style w:type="paragraph" w:customStyle="1" w:styleId="default0">
    <w:name w:val="default"/>
    <w:basedOn w:val="Normal"/>
    <w:rsid w:val="00382F97"/>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pa20">
    <w:name w:val="pa20"/>
    <w:basedOn w:val="Normal"/>
    <w:rsid w:val="00382F97"/>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a0">
    <w:name w:val="a0"/>
    <w:basedOn w:val="Fuentedeprrafopredeter"/>
    <w:rsid w:val="00382F97"/>
  </w:style>
  <w:style w:type="character" w:customStyle="1" w:styleId="a7">
    <w:name w:val="a7"/>
    <w:basedOn w:val="Fuentedeprrafopredeter"/>
    <w:rsid w:val="00382F97"/>
  </w:style>
  <w:style w:type="paragraph" w:customStyle="1" w:styleId="Car4">
    <w:name w:val="Car4"/>
    <w:basedOn w:val="Normal"/>
    <w:rsid w:val="00382F97"/>
    <w:pPr>
      <w:spacing w:after="160" w:line="240" w:lineRule="exact"/>
    </w:pPr>
    <w:rPr>
      <w:rFonts w:ascii="Tahoma" w:eastAsia="Times New Roman" w:hAnsi="Tahoma" w:cs="Tahoma"/>
      <w:sz w:val="20"/>
      <w:szCs w:val="20"/>
      <w:lang w:val="en-US"/>
    </w:rPr>
  </w:style>
  <w:style w:type="character" w:customStyle="1" w:styleId="Ttulo7Car">
    <w:name w:val="Título 7 Car"/>
    <w:basedOn w:val="Fuentedeprrafopredeter"/>
    <w:link w:val="Ttulo7"/>
    <w:uiPriority w:val="9"/>
    <w:rsid w:val="006127B0"/>
    <w:rPr>
      <w:rFonts w:ascii="Century Gothic" w:hAnsi="Century Gothic"/>
      <w:b/>
      <w:smallCaps/>
      <w:color w:val="FFFFFF" w:themeColor="background1"/>
      <w:sz w:val="36"/>
    </w:rPr>
  </w:style>
  <w:style w:type="paragraph" w:customStyle="1" w:styleId="vieta1">
    <w:name w:val="viñeta 1"/>
    <w:basedOn w:val="Prrafodelista"/>
    <w:link w:val="vieta1Car"/>
    <w:qFormat/>
    <w:rsid w:val="006127B0"/>
    <w:pPr>
      <w:spacing w:before="120"/>
      <w:ind w:left="432" w:hanging="432"/>
    </w:pPr>
  </w:style>
  <w:style w:type="character" w:customStyle="1" w:styleId="vieta1Car">
    <w:name w:val="viñeta 1 Car"/>
    <w:basedOn w:val="Fuentedeprrafopredeter"/>
    <w:link w:val="vieta1"/>
    <w:rsid w:val="006127B0"/>
    <w:rPr>
      <w:rFonts w:ascii="Garamond" w:hAnsi="Garamond"/>
      <w:sz w:val="26"/>
      <w:szCs w:val="26"/>
      <w:lang w:val="es-ES_tradnl"/>
    </w:rPr>
  </w:style>
  <w:style w:type="paragraph" w:customStyle="1" w:styleId="vieta2">
    <w:name w:val="viñeta2"/>
    <w:basedOn w:val="Prrafodelista"/>
    <w:link w:val="vieta2Car"/>
    <w:qFormat/>
    <w:rsid w:val="006127B0"/>
    <w:pPr>
      <w:spacing w:before="60"/>
      <w:ind w:left="864" w:hanging="432"/>
    </w:pPr>
    <w:rPr>
      <w:sz w:val="24"/>
    </w:rPr>
  </w:style>
  <w:style w:type="character" w:customStyle="1" w:styleId="vieta2Car">
    <w:name w:val="viñeta2 Car"/>
    <w:basedOn w:val="Fuentedeprrafopredeter"/>
    <w:link w:val="vieta2"/>
    <w:rsid w:val="006127B0"/>
    <w:rPr>
      <w:rFonts w:ascii="Garamond" w:hAnsi="Garamond"/>
      <w:sz w:val="24"/>
      <w:szCs w:val="26"/>
      <w:lang w:val="es-ES_tradnl"/>
    </w:rPr>
  </w:style>
  <w:style w:type="paragraph" w:customStyle="1" w:styleId="TextCuadro">
    <w:name w:val="TextCuadro"/>
    <w:basedOn w:val="Normal"/>
    <w:link w:val="TextCuadroCar"/>
    <w:qFormat/>
    <w:rsid w:val="006127B0"/>
    <w:pPr>
      <w:spacing w:before="0"/>
    </w:pPr>
    <w:rPr>
      <w:rFonts w:ascii="Arial Narrow" w:eastAsia="Times New Roman" w:hAnsi="Arial Narrow" w:cs="Times New Roman"/>
      <w:sz w:val="20"/>
      <w:szCs w:val="20"/>
    </w:rPr>
  </w:style>
  <w:style w:type="character" w:customStyle="1" w:styleId="TextCuadroCar">
    <w:name w:val="TextCuadro Car"/>
    <w:basedOn w:val="Fuentedeprrafopredeter"/>
    <w:link w:val="TextCuadro"/>
    <w:rsid w:val="006127B0"/>
    <w:rPr>
      <w:rFonts w:ascii="Arial Narrow" w:eastAsia="Times New Roman" w:hAnsi="Arial Narrow" w:cs="Times New Roman"/>
      <w:lang w:val="es-ES_tradnl"/>
    </w:rPr>
  </w:style>
  <w:style w:type="paragraph" w:customStyle="1" w:styleId="PiedePagina">
    <w:name w:val="Pie de Pagina"/>
    <w:basedOn w:val="Normal"/>
    <w:link w:val="PiedePaginaCar"/>
    <w:qFormat/>
    <w:rsid w:val="006127B0"/>
    <w:pPr>
      <w:spacing w:before="0" w:line="240" w:lineRule="auto"/>
      <w:jc w:val="left"/>
    </w:pPr>
    <w:rPr>
      <w:rFonts w:cs="Times New Roman"/>
      <w:sz w:val="18"/>
      <w:szCs w:val="18"/>
    </w:rPr>
  </w:style>
  <w:style w:type="character" w:customStyle="1" w:styleId="PiedePaginaCar">
    <w:name w:val="Pie de Pagina Car"/>
    <w:basedOn w:val="Fuentedeprrafopredeter"/>
    <w:link w:val="PiedePagina"/>
    <w:rsid w:val="006127B0"/>
    <w:rPr>
      <w:rFonts w:ascii="Garamond" w:hAnsi="Garamond" w:cs="Times New Roman"/>
      <w:sz w:val="18"/>
      <w:szCs w:val="18"/>
      <w:lang w:val="es-ES_tradnl"/>
    </w:rPr>
  </w:style>
  <w:style w:type="paragraph" w:customStyle="1" w:styleId="PiedeCuadro">
    <w:name w:val="Pie de Cuadro"/>
    <w:basedOn w:val="PiedePagina"/>
    <w:link w:val="PiedeCuadroCar"/>
    <w:qFormat/>
    <w:rsid w:val="0062594C"/>
    <w:pPr>
      <w:spacing w:before="180"/>
      <w:ind w:left="1134" w:right="1134"/>
      <w:jc w:val="center"/>
    </w:pPr>
    <w:rPr>
      <w:rFonts w:ascii="Century Gothic" w:hAnsi="Century Gothic" w:cs="Arial"/>
      <w:color w:val="404040" w:themeColor="text1" w:themeTint="BF"/>
    </w:rPr>
  </w:style>
  <w:style w:type="character" w:customStyle="1" w:styleId="PiedeCuadroCar">
    <w:name w:val="Pie de Cuadro Car"/>
    <w:basedOn w:val="PiedePaginaCar"/>
    <w:link w:val="PiedeCuadro"/>
    <w:rsid w:val="0062594C"/>
    <w:rPr>
      <w:rFonts w:ascii="Century Gothic" w:hAnsi="Century Gothic" w:cs="Arial"/>
      <w:color w:val="404040" w:themeColor="text1" w:themeTint="BF"/>
      <w:sz w:val="18"/>
      <w:szCs w:val="18"/>
      <w:lang w:val="es-ES_tradnl"/>
    </w:rPr>
  </w:style>
  <w:style w:type="paragraph" w:customStyle="1" w:styleId="PargrafodaLista">
    <w:name w:val="Parágrafo da Lista"/>
    <w:basedOn w:val="Normal"/>
    <w:qFormat/>
    <w:rsid w:val="006127B0"/>
    <w:pPr>
      <w:ind w:left="680" w:right="680"/>
      <w:contextualSpacing/>
    </w:pPr>
    <w:rPr>
      <w:rFonts w:ascii="Times New Roman" w:eastAsia="Calibri" w:hAnsi="Times New Roman" w:cs="Times New Roman"/>
      <w:i/>
      <w:sz w:val="20"/>
      <w:szCs w:val="24"/>
      <w:lang w:val="en-GB"/>
    </w:rPr>
  </w:style>
  <w:style w:type="paragraph" w:customStyle="1" w:styleId="IdeaCentral">
    <w:name w:val="IdeaCentral"/>
    <w:basedOn w:val="Normal"/>
    <w:link w:val="IdeaCentralCar"/>
    <w:qFormat/>
    <w:rsid w:val="006127B0"/>
    <w:pPr>
      <w:framePr w:w="3969" w:h="57" w:wrap="around" w:vAnchor="text" w:hAnchor="margin" w:xAlign="right" w:y="1"/>
      <w:pBdr>
        <w:top w:val="single" w:sz="12" w:space="12" w:color="808080" w:themeColor="background1" w:themeShade="80"/>
        <w:bottom w:val="single" w:sz="12" w:space="12" w:color="808080" w:themeColor="background1" w:themeShade="80"/>
      </w:pBdr>
      <w:spacing w:line="240" w:lineRule="auto"/>
      <w:ind w:left="284" w:right="284"/>
      <w:jc w:val="center"/>
    </w:pPr>
    <w:rPr>
      <w:rFonts w:ascii="Century Gothic" w:hAnsi="Century Gothic"/>
      <w:b/>
      <w:color w:val="C00000"/>
      <w:sz w:val="28"/>
      <w:szCs w:val="28"/>
    </w:rPr>
  </w:style>
  <w:style w:type="character" w:customStyle="1" w:styleId="IdeaCentralCar">
    <w:name w:val="IdeaCentral Car"/>
    <w:basedOn w:val="Fuentedeprrafopredeter"/>
    <w:link w:val="IdeaCentral"/>
    <w:rsid w:val="006127B0"/>
    <w:rPr>
      <w:rFonts w:ascii="Century Gothic" w:hAnsi="Century Gothic"/>
      <w:b/>
      <w:color w:val="C00000"/>
      <w:sz w:val="28"/>
      <w:szCs w:val="28"/>
      <w:lang w:val="es-ES_tradnl"/>
    </w:rPr>
  </w:style>
  <w:style w:type="paragraph" w:customStyle="1" w:styleId="Testimonio">
    <w:name w:val="Testimonio"/>
    <w:basedOn w:val="IdeaCentral"/>
    <w:link w:val="TestimonioCar"/>
    <w:qFormat/>
    <w:rsid w:val="006127B0"/>
    <w:pPr>
      <w:framePr w:w="4471" w:wrap="around" w:vAnchor="margin" w:hAnchor="page" w:x="6331" w:y="2"/>
    </w:pPr>
    <w:rPr>
      <w:rFonts w:ascii="Garamond" w:hAnsi="Garamond"/>
      <w:b w:val="0"/>
      <w:i/>
      <w:sz w:val="24"/>
      <w:szCs w:val="24"/>
    </w:rPr>
  </w:style>
  <w:style w:type="character" w:customStyle="1" w:styleId="TestimonioCar">
    <w:name w:val="Testimonio Car"/>
    <w:basedOn w:val="IdeaCentralCar"/>
    <w:link w:val="Testimonio"/>
    <w:rsid w:val="006127B0"/>
    <w:rPr>
      <w:rFonts w:ascii="Garamond" w:hAnsi="Garamond"/>
      <w:b w:val="0"/>
      <w:i/>
      <w:color w:val="C00000"/>
      <w:sz w:val="24"/>
      <w:szCs w:val="24"/>
      <w:lang w:val="es-ES_tradnl"/>
    </w:rPr>
  </w:style>
  <w:style w:type="paragraph" w:customStyle="1" w:styleId="TITcuadro">
    <w:name w:val="TIT cuadro"/>
    <w:basedOn w:val="Normal"/>
    <w:link w:val="TITcuadroCar"/>
    <w:qFormat/>
    <w:rsid w:val="006127B0"/>
    <w:pPr>
      <w:jc w:val="center"/>
    </w:pPr>
    <w:rPr>
      <w:rFonts w:ascii="Arial Narrow" w:eastAsia="Calibri" w:hAnsi="Arial Narrow" w:cs="Arial"/>
      <w:b/>
      <w:caps/>
      <w:sz w:val="20"/>
      <w:szCs w:val="18"/>
      <w:lang w:val="es-CO"/>
    </w:rPr>
  </w:style>
  <w:style w:type="character" w:customStyle="1" w:styleId="TITcuadroCar">
    <w:name w:val="TIT cuadro Car"/>
    <w:link w:val="TITcuadro"/>
    <w:rsid w:val="006127B0"/>
    <w:rPr>
      <w:rFonts w:ascii="Arial Narrow" w:eastAsia="Calibri" w:hAnsi="Arial Narrow" w:cs="Arial"/>
      <w:b/>
      <w:caps/>
      <w:szCs w:val="18"/>
    </w:rPr>
  </w:style>
  <w:style w:type="paragraph" w:styleId="TtulodeTDC">
    <w:name w:val="TOC Heading"/>
    <w:basedOn w:val="Ttulo1"/>
    <w:next w:val="Normal"/>
    <w:uiPriority w:val="39"/>
    <w:semiHidden/>
    <w:unhideWhenUsed/>
    <w:qFormat/>
    <w:rsid w:val="006127B0"/>
    <w:pPr>
      <w:numPr>
        <w:numId w:val="0"/>
      </w:numPr>
      <w:outlineLvl w:val="9"/>
    </w:pPr>
    <w:rPr>
      <w:lang w:bidi="en-US"/>
    </w:rPr>
  </w:style>
  <w:style w:type="paragraph" w:styleId="Bibliografa">
    <w:name w:val="Bibliography"/>
    <w:basedOn w:val="Normal"/>
    <w:next w:val="Normal"/>
    <w:uiPriority w:val="37"/>
    <w:semiHidden/>
    <w:unhideWhenUsed/>
    <w:rsid w:val="000256A7"/>
  </w:style>
  <w:style w:type="paragraph" w:customStyle="1" w:styleId="Prrafodelista3">
    <w:name w:val="Párrafo de lista3"/>
    <w:basedOn w:val="Normal"/>
    <w:link w:val="ListParagraphChar1"/>
    <w:rsid w:val="00A8719D"/>
    <w:pPr>
      <w:ind w:left="720"/>
    </w:pPr>
    <w:rPr>
      <w:rFonts w:eastAsia="Times New Roman" w:cs="Times New Roman"/>
    </w:rPr>
  </w:style>
  <w:style w:type="character" w:customStyle="1" w:styleId="ListParagraphChar1">
    <w:name w:val="List Paragraph Char1"/>
    <w:link w:val="Prrafodelista3"/>
    <w:locked/>
    <w:rsid w:val="00A8719D"/>
    <w:rPr>
      <w:rFonts w:ascii="Garamond" w:eastAsia="Times New Roman" w:hAnsi="Garamond" w:cs="Times New Roman"/>
      <w:sz w:val="26"/>
      <w:szCs w:val="26"/>
      <w:lang w:val="es-ES_tradnl"/>
    </w:rPr>
  </w:style>
</w:styles>
</file>

<file path=word/webSettings.xml><?xml version="1.0" encoding="utf-8"?>
<w:webSettings xmlns:r="http://schemas.openxmlformats.org/officeDocument/2006/relationships" xmlns:w="http://schemas.openxmlformats.org/wordprocessingml/2006/main">
  <w:divs>
    <w:div w:id="1589595">
      <w:bodyDiv w:val="1"/>
      <w:marLeft w:val="0"/>
      <w:marRight w:val="0"/>
      <w:marTop w:val="0"/>
      <w:marBottom w:val="0"/>
      <w:divBdr>
        <w:top w:val="none" w:sz="0" w:space="0" w:color="auto"/>
        <w:left w:val="none" w:sz="0" w:space="0" w:color="auto"/>
        <w:bottom w:val="none" w:sz="0" w:space="0" w:color="auto"/>
        <w:right w:val="none" w:sz="0" w:space="0" w:color="auto"/>
      </w:divBdr>
    </w:div>
    <w:div w:id="9457553">
      <w:bodyDiv w:val="1"/>
      <w:marLeft w:val="0"/>
      <w:marRight w:val="0"/>
      <w:marTop w:val="0"/>
      <w:marBottom w:val="0"/>
      <w:divBdr>
        <w:top w:val="none" w:sz="0" w:space="0" w:color="auto"/>
        <w:left w:val="none" w:sz="0" w:space="0" w:color="auto"/>
        <w:bottom w:val="none" w:sz="0" w:space="0" w:color="auto"/>
        <w:right w:val="none" w:sz="0" w:space="0" w:color="auto"/>
      </w:divBdr>
    </w:div>
    <w:div w:id="306665638">
      <w:bodyDiv w:val="1"/>
      <w:marLeft w:val="0"/>
      <w:marRight w:val="0"/>
      <w:marTop w:val="0"/>
      <w:marBottom w:val="0"/>
      <w:divBdr>
        <w:top w:val="none" w:sz="0" w:space="0" w:color="auto"/>
        <w:left w:val="none" w:sz="0" w:space="0" w:color="auto"/>
        <w:bottom w:val="none" w:sz="0" w:space="0" w:color="auto"/>
        <w:right w:val="none" w:sz="0" w:space="0" w:color="auto"/>
      </w:divBdr>
    </w:div>
    <w:div w:id="542211167">
      <w:bodyDiv w:val="1"/>
      <w:marLeft w:val="0"/>
      <w:marRight w:val="0"/>
      <w:marTop w:val="0"/>
      <w:marBottom w:val="0"/>
      <w:divBdr>
        <w:top w:val="none" w:sz="0" w:space="0" w:color="auto"/>
        <w:left w:val="none" w:sz="0" w:space="0" w:color="auto"/>
        <w:bottom w:val="none" w:sz="0" w:space="0" w:color="auto"/>
        <w:right w:val="none" w:sz="0" w:space="0" w:color="auto"/>
      </w:divBdr>
    </w:div>
    <w:div w:id="550850604">
      <w:bodyDiv w:val="1"/>
      <w:marLeft w:val="0"/>
      <w:marRight w:val="0"/>
      <w:marTop w:val="0"/>
      <w:marBottom w:val="0"/>
      <w:divBdr>
        <w:top w:val="none" w:sz="0" w:space="0" w:color="auto"/>
        <w:left w:val="none" w:sz="0" w:space="0" w:color="auto"/>
        <w:bottom w:val="none" w:sz="0" w:space="0" w:color="auto"/>
        <w:right w:val="none" w:sz="0" w:space="0" w:color="auto"/>
      </w:divBdr>
    </w:div>
    <w:div w:id="587619572">
      <w:bodyDiv w:val="1"/>
      <w:marLeft w:val="0"/>
      <w:marRight w:val="0"/>
      <w:marTop w:val="0"/>
      <w:marBottom w:val="0"/>
      <w:divBdr>
        <w:top w:val="none" w:sz="0" w:space="0" w:color="auto"/>
        <w:left w:val="none" w:sz="0" w:space="0" w:color="auto"/>
        <w:bottom w:val="none" w:sz="0" w:space="0" w:color="auto"/>
        <w:right w:val="none" w:sz="0" w:space="0" w:color="auto"/>
      </w:divBdr>
    </w:div>
    <w:div w:id="1024870186">
      <w:bodyDiv w:val="1"/>
      <w:marLeft w:val="0"/>
      <w:marRight w:val="0"/>
      <w:marTop w:val="0"/>
      <w:marBottom w:val="0"/>
      <w:divBdr>
        <w:top w:val="none" w:sz="0" w:space="0" w:color="auto"/>
        <w:left w:val="none" w:sz="0" w:space="0" w:color="auto"/>
        <w:bottom w:val="none" w:sz="0" w:space="0" w:color="auto"/>
        <w:right w:val="none" w:sz="0" w:space="0" w:color="auto"/>
      </w:divBdr>
    </w:div>
    <w:div w:id="1079013738">
      <w:bodyDiv w:val="1"/>
      <w:marLeft w:val="0"/>
      <w:marRight w:val="0"/>
      <w:marTop w:val="0"/>
      <w:marBottom w:val="0"/>
      <w:divBdr>
        <w:top w:val="none" w:sz="0" w:space="0" w:color="auto"/>
        <w:left w:val="none" w:sz="0" w:space="0" w:color="auto"/>
        <w:bottom w:val="none" w:sz="0" w:space="0" w:color="auto"/>
        <w:right w:val="none" w:sz="0" w:space="0" w:color="auto"/>
      </w:divBdr>
    </w:div>
    <w:div w:id="1123116960">
      <w:bodyDiv w:val="1"/>
      <w:marLeft w:val="0"/>
      <w:marRight w:val="0"/>
      <w:marTop w:val="0"/>
      <w:marBottom w:val="0"/>
      <w:divBdr>
        <w:top w:val="none" w:sz="0" w:space="0" w:color="auto"/>
        <w:left w:val="none" w:sz="0" w:space="0" w:color="auto"/>
        <w:bottom w:val="none" w:sz="0" w:space="0" w:color="auto"/>
        <w:right w:val="none" w:sz="0" w:space="0" w:color="auto"/>
      </w:divBdr>
    </w:div>
    <w:div w:id="1178273593">
      <w:bodyDiv w:val="1"/>
      <w:marLeft w:val="0"/>
      <w:marRight w:val="0"/>
      <w:marTop w:val="0"/>
      <w:marBottom w:val="0"/>
      <w:divBdr>
        <w:top w:val="none" w:sz="0" w:space="0" w:color="auto"/>
        <w:left w:val="none" w:sz="0" w:space="0" w:color="auto"/>
        <w:bottom w:val="none" w:sz="0" w:space="0" w:color="auto"/>
        <w:right w:val="none" w:sz="0" w:space="0" w:color="auto"/>
      </w:divBdr>
    </w:div>
    <w:div w:id="1212886680">
      <w:bodyDiv w:val="1"/>
      <w:marLeft w:val="0"/>
      <w:marRight w:val="0"/>
      <w:marTop w:val="0"/>
      <w:marBottom w:val="0"/>
      <w:divBdr>
        <w:top w:val="none" w:sz="0" w:space="0" w:color="auto"/>
        <w:left w:val="none" w:sz="0" w:space="0" w:color="auto"/>
        <w:bottom w:val="none" w:sz="0" w:space="0" w:color="auto"/>
        <w:right w:val="none" w:sz="0" w:space="0" w:color="auto"/>
      </w:divBdr>
    </w:div>
    <w:div w:id="1216938232">
      <w:bodyDiv w:val="1"/>
      <w:marLeft w:val="0"/>
      <w:marRight w:val="0"/>
      <w:marTop w:val="0"/>
      <w:marBottom w:val="0"/>
      <w:divBdr>
        <w:top w:val="none" w:sz="0" w:space="0" w:color="auto"/>
        <w:left w:val="none" w:sz="0" w:space="0" w:color="auto"/>
        <w:bottom w:val="none" w:sz="0" w:space="0" w:color="auto"/>
        <w:right w:val="none" w:sz="0" w:space="0" w:color="auto"/>
      </w:divBdr>
    </w:div>
    <w:div w:id="1256941831">
      <w:bodyDiv w:val="1"/>
      <w:marLeft w:val="0"/>
      <w:marRight w:val="0"/>
      <w:marTop w:val="0"/>
      <w:marBottom w:val="0"/>
      <w:divBdr>
        <w:top w:val="none" w:sz="0" w:space="0" w:color="auto"/>
        <w:left w:val="none" w:sz="0" w:space="0" w:color="auto"/>
        <w:bottom w:val="none" w:sz="0" w:space="0" w:color="auto"/>
        <w:right w:val="none" w:sz="0" w:space="0" w:color="auto"/>
      </w:divBdr>
    </w:div>
    <w:div w:id="1324814994">
      <w:bodyDiv w:val="1"/>
      <w:marLeft w:val="0"/>
      <w:marRight w:val="0"/>
      <w:marTop w:val="0"/>
      <w:marBottom w:val="0"/>
      <w:divBdr>
        <w:top w:val="none" w:sz="0" w:space="0" w:color="auto"/>
        <w:left w:val="none" w:sz="0" w:space="0" w:color="auto"/>
        <w:bottom w:val="none" w:sz="0" w:space="0" w:color="auto"/>
        <w:right w:val="none" w:sz="0" w:space="0" w:color="auto"/>
      </w:divBdr>
    </w:div>
    <w:div w:id="1391227738">
      <w:bodyDiv w:val="1"/>
      <w:marLeft w:val="0"/>
      <w:marRight w:val="0"/>
      <w:marTop w:val="0"/>
      <w:marBottom w:val="0"/>
      <w:divBdr>
        <w:top w:val="none" w:sz="0" w:space="0" w:color="auto"/>
        <w:left w:val="none" w:sz="0" w:space="0" w:color="auto"/>
        <w:bottom w:val="none" w:sz="0" w:space="0" w:color="auto"/>
        <w:right w:val="none" w:sz="0" w:space="0" w:color="auto"/>
      </w:divBdr>
    </w:div>
    <w:div w:id="1500461333">
      <w:bodyDiv w:val="1"/>
      <w:marLeft w:val="0"/>
      <w:marRight w:val="0"/>
      <w:marTop w:val="0"/>
      <w:marBottom w:val="0"/>
      <w:divBdr>
        <w:top w:val="none" w:sz="0" w:space="0" w:color="auto"/>
        <w:left w:val="none" w:sz="0" w:space="0" w:color="auto"/>
        <w:bottom w:val="none" w:sz="0" w:space="0" w:color="auto"/>
        <w:right w:val="none" w:sz="0" w:space="0" w:color="auto"/>
      </w:divBdr>
      <w:divsChild>
        <w:div w:id="277681655">
          <w:marLeft w:val="547"/>
          <w:marRight w:val="0"/>
          <w:marTop w:val="0"/>
          <w:marBottom w:val="0"/>
          <w:divBdr>
            <w:top w:val="none" w:sz="0" w:space="0" w:color="auto"/>
            <w:left w:val="none" w:sz="0" w:space="0" w:color="auto"/>
            <w:bottom w:val="none" w:sz="0" w:space="0" w:color="auto"/>
            <w:right w:val="none" w:sz="0" w:space="0" w:color="auto"/>
          </w:divBdr>
        </w:div>
        <w:div w:id="481850511">
          <w:marLeft w:val="547"/>
          <w:marRight w:val="0"/>
          <w:marTop w:val="0"/>
          <w:marBottom w:val="0"/>
          <w:divBdr>
            <w:top w:val="none" w:sz="0" w:space="0" w:color="auto"/>
            <w:left w:val="none" w:sz="0" w:space="0" w:color="auto"/>
            <w:bottom w:val="none" w:sz="0" w:space="0" w:color="auto"/>
            <w:right w:val="none" w:sz="0" w:space="0" w:color="auto"/>
          </w:divBdr>
        </w:div>
        <w:div w:id="1913853962">
          <w:marLeft w:val="547"/>
          <w:marRight w:val="0"/>
          <w:marTop w:val="0"/>
          <w:marBottom w:val="0"/>
          <w:divBdr>
            <w:top w:val="none" w:sz="0" w:space="0" w:color="auto"/>
            <w:left w:val="none" w:sz="0" w:space="0" w:color="auto"/>
            <w:bottom w:val="none" w:sz="0" w:space="0" w:color="auto"/>
            <w:right w:val="none" w:sz="0" w:space="0" w:color="auto"/>
          </w:divBdr>
        </w:div>
        <w:div w:id="2083411083">
          <w:marLeft w:val="547"/>
          <w:marRight w:val="0"/>
          <w:marTop w:val="0"/>
          <w:marBottom w:val="0"/>
          <w:divBdr>
            <w:top w:val="none" w:sz="0" w:space="0" w:color="auto"/>
            <w:left w:val="none" w:sz="0" w:space="0" w:color="auto"/>
            <w:bottom w:val="none" w:sz="0" w:space="0" w:color="auto"/>
            <w:right w:val="none" w:sz="0" w:space="0" w:color="auto"/>
          </w:divBdr>
        </w:div>
      </w:divsChild>
    </w:div>
    <w:div w:id="1531605683">
      <w:bodyDiv w:val="1"/>
      <w:marLeft w:val="0"/>
      <w:marRight w:val="0"/>
      <w:marTop w:val="0"/>
      <w:marBottom w:val="0"/>
      <w:divBdr>
        <w:top w:val="none" w:sz="0" w:space="0" w:color="auto"/>
        <w:left w:val="none" w:sz="0" w:space="0" w:color="auto"/>
        <w:bottom w:val="none" w:sz="0" w:space="0" w:color="auto"/>
        <w:right w:val="none" w:sz="0" w:space="0" w:color="auto"/>
      </w:divBdr>
      <w:divsChild>
        <w:div w:id="924269388">
          <w:marLeft w:val="547"/>
          <w:marRight w:val="0"/>
          <w:marTop w:val="0"/>
          <w:marBottom w:val="0"/>
          <w:divBdr>
            <w:top w:val="none" w:sz="0" w:space="0" w:color="auto"/>
            <w:left w:val="none" w:sz="0" w:space="0" w:color="auto"/>
            <w:bottom w:val="none" w:sz="0" w:space="0" w:color="auto"/>
            <w:right w:val="none" w:sz="0" w:space="0" w:color="auto"/>
          </w:divBdr>
        </w:div>
      </w:divsChild>
    </w:div>
    <w:div w:id="1577548014">
      <w:bodyDiv w:val="1"/>
      <w:marLeft w:val="0"/>
      <w:marRight w:val="0"/>
      <w:marTop w:val="0"/>
      <w:marBottom w:val="0"/>
      <w:divBdr>
        <w:top w:val="none" w:sz="0" w:space="0" w:color="auto"/>
        <w:left w:val="none" w:sz="0" w:space="0" w:color="auto"/>
        <w:bottom w:val="none" w:sz="0" w:space="0" w:color="auto"/>
        <w:right w:val="none" w:sz="0" w:space="0" w:color="auto"/>
      </w:divBdr>
    </w:div>
    <w:div w:id="1612975335">
      <w:bodyDiv w:val="1"/>
      <w:marLeft w:val="0"/>
      <w:marRight w:val="0"/>
      <w:marTop w:val="0"/>
      <w:marBottom w:val="0"/>
      <w:divBdr>
        <w:top w:val="none" w:sz="0" w:space="0" w:color="auto"/>
        <w:left w:val="none" w:sz="0" w:space="0" w:color="auto"/>
        <w:bottom w:val="none" w:sz="0" w:space="0" w:color="auto"/>
        <w:right w:val="none" w:sz="0" w:space="0" w:color="auto"/>
      </w:divBdr>
      <w:divsChild>
        <w:div w:id="77606517">
          <w:marLeft w:val="547"/>
          <w:marRight w:val="0"/>
          <w:marTop w:val="0"/>
          <w:marBottom w:val="0"/>
          <w:divBdr>
            <w:top w:val="none" w:sz="0" w:space="0" w:color="auto"/>
            <w:left w:val="none" w:sz="0" w:space="0" w:color="auto"/>
            <w:bottom w:val="none" w:sz="0" w:space="0" w:color="auto"/>
            <w:right w:val="none" w:sz="0" w:space="0" w:color="auto"/>
          </w:divBdr>
        </w:div>
      </w:divsChild>
    </w:div>
    <w:div w:id="1652785083">
      <w:bodyDiv w:val="1"/>
      <w:marLeft w:val="0"/>
      <w:marRight w:val="0"/>
      <w:marTop w:val="0"/>
      <w:marBottom w:val="0"/>
      <w:divBdr>
        <w:top w:val="none" w:sz="0" w:space="0" w:color="auto"/>
        <w:left w:val="none" w:sz="0" w:space="0" w:color="auto"/>
        <w:bottom w:val="none" w:sz="0" w:space="0" w:color="auto"/>
        <w:right w:val="none" w:sz="0" w:space="0" w:color="auto"/>
      </w:divBdr>
    </w:div>
    <w:div w:id="1707169984">
      <w:bodyDiv w:val="1"/>
      <w:marLeft w:val="0"/>
      <w:marRight w:val="0"/>
      <w:marTop w:val="0"/>
      <w:marBottom w:val="0"/>
      <w:divBdr>
        <w:top w:val="none" w:sz="0" w:space="0" w:color="auto"/>
        <w:left w:val="none" w:sz="0" w:space="0" w:color="auto"/>
        <w:bottom w:val="none" w:sz="0" w:space="0" w:color="auto"/>
        <w:right w:val="none" w:sz="0" w:space="0" w:color="auto"/>
      </w:divBdr>
    </w:div>
    <w:div w:id="1713574794">
      <w:bodyDiv w:val="1"/>
      <w:marLeft w:val="0"/>
      <w:marRight w:val="0"/>
      <w:marTop w:val="0"/>
      <w:marBottom w:val="0"/>
      <w:divBdr>
        <w:top w:val="none" w:sz="0" w:space="0" w:color="auto"/>
        <w:left w:val="none" w:sz="0" w:space="0" w:color="auto"/>
        <w:bottom w:val="none" w:sz="0" w:space="0" w:color="auto"/>
        <w:right w:val="none" w:sz="0" w:space="0" w:color="auto"/>
      </w:divBdr>
    </w:div>
    <w:div w:id="1760786874">
      <w:bodyDiv w:val="1"/>
      <w:marLeft w:val="0"/>
      <w:marRight w:val="0"/>
      <w:marTop w:val="0"/>
      <w:marBottom w:val="0"/>
      <w:divBdr>
        <w:top w:val="none" w:sz="0" w:space="0" w:color="auto"/>
        <w:left w:val="none" w:sz="0" w:space="0" w:color="auto"/>
        <w:bottom w:val="none" w:sz="0" w:space="0" w:color="auto"/>
        <w:right w:val="none" w:sz="0" w:space="0" w:color="auto"/>
      </w:divBdr>
    </w:div>
    <w:div w:id="2058701786">
      <w:bodyDiv w:val="1"/>
      <w:marLeft w:val="0"/>
      <w:marRight w:val="0"/>
      <w:marTop w:val="0"/>
      <w:marBottom w:val="0"/>
      <w:divBdr>
        <w:top w:val="none" w:sz="0" w:space="0" w:color="auto"/>
        <w:left w:val="none" w:sz="0" w:space="0" w:color="auto"/>
        <w:bottom w:val="none" w:sz="0" w:space="0" w:color="auto"/>
        <w:right w:val="none" w:sz="0" w:space="0" w:color="auto"/>
      </w:divBdr>
    </w:div>
    <w:div w:id="2072384690">
      <w:bodyDiv w:val="1"/>
      <w:marLeft w:val="0"/>
      <w:marRight w:val="0"/>
      <w:marTop w:val="0"/>
      <w:marBottom w:val="0"/>
      <w:divBdr>
        <w:top w:val="none" w:sz="0" w:space="0" w:color="auto"/>
        <w:left w:val="none" w:sz="0" w:space="0" w:color="auto"/>
        <w:bottom w:val="none" w:sz="0" w:space="0" w:color="auto"/>
        <w:right w:val="none" w:sz="0" w:space="0" w:color="auto"/>
      </w:divBdr>
    </w:div>
    <w:div w:id="2104063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theme" Target="theme/theme1.xml"/><Relationship Id="rId21" Type="http://schemas.openxmlformats.org/officeDocument/2006/relationships/image" Target="media/image7.png"/><Relationship Id="rId42" Type="http://schemas.openxmlformats.org/officeDocument/2006/relationships/hyperlink" Target="http://www.tdt.com.co" TargetMode="External"/><Relationship Id="rId47" Type="http://schemas.openxmlformats.org/officeDocument/2006/relationships/chart" Target="charts/chart4.xml"/><Relationship Id="rId63" Type="http://schemas.openxmlformats.org/officeDocument/2006/relationships/diagramLayout" Target="diagrams/layout2.xml"/><Relationship Id="rId68" Type="http://schemas.openxmlformats.org/officeDocument/2006/relationships/diagramLayout" Target="diagrams/layout3.xml"/><Relationship Id="rId84" Type="http://schemas.openxmlformats.org/officeDocument/2006/relationships/image" Target="media/image32.png"/><Relationship Id="rId89" Type="http://schemas.openxmlformats.org/officeDocument/2006/relationships/image" Target="media/image37.png"/><Relationship Id="rId112" Type="http://schemas.openxmlformats.org/officeDocument/2006/relationships/hyperlink" Target="http://www.itu.int/md/D10-WTIM8-C-0019/en" TargetMode="External"/><Relationship Id="rId16" Type="http://schemas.openxmlformats.org/officeDocument/2006/relationships/footer" Target="footer3.xml"/><Relationship Id="rId107" Type="http://schemas.openxmlformats.org/officeDocument/2006/relationships/hyperlink" Target="http://www.eltiempo.com/tecnologia/telecomunicaciones/ARTICULO-WEB-NEW_NOTA_INTERIOR-13123255.html" TargetMode="Externa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hyperlink" Target="http://www.codigopostal.gov.co" TargetMode="External"/><Relationship Id="rId37" Type="http://schemas.openxmlformats.org/officeDocument/2006/relationships/image" Target="media/image18.png"/><Relationship Id="rId40" Type="http://schemas.openxmlformats.org/officeDocument/2006/relationships/hyperlink" Target="http://www.tdt.com.co" TargetMode="External"/><Relationship Id="rId45" Type="http://schemas.openxmlformats.org/officeDocument/2006/relationships/chart" Target="charts/chart2.xml"/><Relationship Id="rId53" Type="http://schemas.openxmlformats.org/officeDocument/2006/relationships/chart" Target="charts/chart10.xml"/><Relationship Id="rId58" Type="http://schemas.openxmlformats.org/officeDocument/2006/relationships/diagramLayout" Target="diagrams/layout1.xml"/><Relationship Id="rId66" Type="http://schemas.microsoft.com/office/2007/relationships/diagramDrawing" Target="diagrams/drawing2.xml"/><Relationship Id="rId74" Type="http://schemas.openxmlformats.org/officeDocument/2006/relationships/diagramQuickStyle" Target="diagrams/quickStyle4.xml"/><Relationship Id="rId79" Type="http://schemas.openxmlformats.org/officeDocument/2006/relationships/image" Target="media/image27.emf"/><Relationship Id="rId87" Type="http://schemas.openxmlformats.org/officeDocument/2006/relationships/image" Target="media/image35.png"/><Relationship Id="rId102" Type="http://schemas.microsoft.com/office/2007/relationships/diagramDrawing" Target="diagrams/drawing5.xml"/><Relationship Id="rId110" Type="http://schemas.openxmlformats.org/officeDocument/2006/relationships/hyperlink" Target="http://www.researchgate.net/...ARIMA.../79e415057140bac31f.pdf" TargetMode="External"/><Relationship Id="rId115" Type="http://schemas.openxmlformats.org/officeDocument/2006/relationships/footer" Target="footer5.xml"/><Relationship Id="rId5" Type="http://schemas.openxmlformats.org/officeDocument/2006/relationships/webSettings" Target="webSettings.xml"/><Relationship Id="rId61" Type="http://schemas.microsoft.com/office/2007/relationships/diagramDrawing" Target="diagrams/drawing1.xml"/><Relationship Id="rId82" Type="http://schemas.openxmlformats.org/officeDocument/2006/relationships/image" Target="media/image30.emf"/><Relationship Id="rId90" Type="http://schemas.openxmlformats.org/officeDocument/2006/relationships/image" Target="media/image38.png"/><Relationship Id="rId95" Type="http://schemas.openxmlformats.org/officeDocument/2006/relationships/image" Target="media/image43.png"/><Relationship Id="rId19" Type="http://schemas.openxmlformats.org/officeDocument/2006/relationships/image" Target="media/image6.emf"/><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hyperlink" Target="http://www.codigopostal4-72.com.co/codigospostalesPN/" TargetMode="External"/><Relationship Id="rId35" Type="http://schemas.openxmlformats.org/officeDocument/2006/relationships/image" Target="media/image17.png"/><Relationship Id="rId43" Type="http://schemas.openxmlformats.org/officeDocument/2006/relationships/image" Target="media/image21.emf"/><Relationship Id="rId48" Type="http://schemas.openxmlformats.org/officeDocument/2006/relationships/chart" Target="charts/chart5.xml"/><Relationship Id="rId56" Type="http://schemas.openxmlformats.org/officeDocument/2006/relationships/image" Target="media/image24.emf"/><Relationship Id="rId64" Type="http://schemas.openxmlformats.org/officeDocument/2006/relationships/diagramQuickStyle" Target="diagrams/quickStyle2.xml"/><Relationship Id="rId69" Type="http://schemas.openxmlformats.org/officeDocument/2006/relationships/diagramQuickStyle" Target="diagrams/quickStyle3.xml"/><Relationship Id="rId77" Type="http://schemas.openxmlformats.org/officeDocument/2006/relationships/image" Target="media/image25.png"/><Relationship Id="rId100" Type="http://schemas.openxmlformats.org/officeDocument/2006/relationships/diagramQuickStyle" Target="diagrams/quickStyle5.xml"/><Relationship Id="rId105" Type="http://schemas.openxmlformats.org/officeDocument/2006/relationships/hyperlink" Target="http://www.vivedigital.gov.co/pvd/puntos-vive-digital-plus/" TargetMode="External"/><Relationship Id="rId113" Type="http://schemas.openxmlformats.org/officeDocument/2006/relationships/hyperlink" Target="http://www.infodev.org/infodev-files/resource/InfodevDocuments_934.pdf" TargetMode="External"/><Relationship Id="rId8" Type="http://schemas.openxmlformats.org/officeDocument/2006/relationships/image" Target="media/image1.emf"/><Relationship Id="rId51" Type="http://schemas.openxmlformats.org/officeDocument/2006/relationships/chart" Target="charts/chart8.xml"/><Relationship Id="rId72" Type="http://schemas.openxmlformats.org/officeDocument/2006/relationships/diagramData" Target="diagrams/data4.xml"/><Relationship Id="rId80" Type="http://schemas.openxmlformats.org/officeDocument/2006/relationships/image" Target="media/image28.emf"/><Relationship Id="rId85" Type="http://schemas.openxmlformats.org/officeDocument/2006/relationships/image" Target="media/image33.png"/><Relationship Id="rId93" Type="http://schemas.openxmlformats.org/officeDocument/2006/relationships/image" Target="media/image41.png"/><Relationship Id="rId98" Type="http://schemas.openxmlformats.org/officeDocument/2006/relationships/diagramData" Target="diagrams/data5.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image" Target="media/image16.emf"/><Relationship Id="rId38" Type="http://schemas.openxmlformats.org/officeDocument/2006/relationships/hyperlink" Target="http://www.tdt.com.co" TargetMode="External"/><Relationship Id="rId46" Type="http://schemas.openxmlformats.org/officeDocument/2006/relationships/chart" Target="charts/chart3.xml"/><Relationship Id="rId59" Type="http://schemas.openxmlformats.org/officeDocument/2006/relationships/diagramQuickStyle" Target="diagrams/quickStyle1.xml"/><Relationship Id="rId67" Type="http://schemas.openxmlformats.org/officeDocument/2006/relationships/diagramData" Target="diagrams/data3.xml"/><Relationship Id="rId103" Type="http://schemas.openxmlformats.org/officeDocument/2006/relationships/hyperlink" Target="http://www.portafolio.co/economia/conectividad-el-pais-crece-dos-digitos" TargetMode="External"/><Relationship Id="rId108" Type="http://schemas.openxmlformats.org/officeDocument/2006/relationships/hyperlink" Target="http://antv.gov.co/InfoSectorial/130627_Informe_anual_television_2012.pdf" TargetMode="External"/><Relationship Id="rId116" Type="http://schemas.openxmlformats.org/officeDocument/2006/relationships/fontTable" Target="fontTable.xml"/><Relationship Id="rId20" Type="http://schemas.openxmlformats.org/officeDocument/2006/relationships/footer" Target="footer4.xml"/><Relationship Id="rId41" Type="http://schemas.openxmlformats.org/officeDocument/2006/relationships/image" Target="media/image20.png"/><Relationship Id="rId54" Type="http://schemas.openxmlformats.org/officeDocument/2006/relationships/image" Target="media/image22.emf"/><Relationship Id="rId62" Type="http://schemas.openxmlformats.org/officeDocument/2006/relationships/diagramData" Target="diagrams/data2.xml"/><Relationship Id="rId70" Type="http://schemas.openxmlformats.org/officeDocument/2006/relationships/diagramColors" Target="diagrams/colors3.xml"/><Relationship Id="rId75" Type="http://schemas.openxmlformats.org/officeDocument/2006/relationships/diagramColors" Target="diagrams/colors4.xml"/><Relationship Id="rId83" Type="http://schemas.openxmlformats.org/officeDocument/2006/relationships/image" Target="media/image31.emf"/><Relationship Id="rId88" Type="http://schemas.openxmlformats.org/officeDocument/2006/relationships/image" Target="media/image36.png"/><Relationship Id="rId91" Type="http://schemas.openxmlformats.org/officeDocument/2006/relationships/image" Target="media/image39.emf"/><Relationship Id="rId96" Type="http://schemas.openxmlformats.org/officeDocument/2006/relationships/image" Target="media/image44.png"/><Relationship Id="rId111" Type="http://schemas.openxmlformats.org/officeDocument/2006/relationships/hyperlink" Target="http://adage.com/article/media/guide-measures-online-space/22985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emf"/><Relationship Id="rId36" Type="http://schemas.openxmlformats.org/officeDocument/2006/relationships/hyperlink" Target="http://www.dvb.org" TargetMode="External"/><Relationship Id="rId49" Type="http://schemas.openxmlformats.org/officeDocument/2006/relationships/chart" Target="charts/chart6.xml"/><Relationship Id="rId57" Type="http://schemas.openxmlformats.org/officeDocument/2006/relationships/diagramData" Target="diagrams/data1.xml"/><Relationship Id="rId106" Type="http://schemas.openxmlformats.org/officeDocument/2006/relationships/hyperlink" Target="http://www.mintic.gov.co/index.php/vive-digital-plan" TargetMode="External"/><Relationship Id="rId114"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image" Target="media/image15.jpeg"/><Relationship Id="rId44" Type="http://schemas.openxmlformats.org/officeDocument/2006/relationships/chart" Target="charts/chart1.xml"/><Relationship Id="rId52" Type="http://schemas.openxmlformats.org/officeDocument/2006/relationships/chart" Target="charts/chart9.xml"/><Relationship Id="rId60" Type="http://schemas.openxmlformats.org/officeDocument/2006/relationships/diagramColors" Target="diagrams/colors1.xml"/><Relationship Id="rId65" Type="http://schemas.openxmlformats.org/officeDocument/2006/relationships/diagramColors" Target="diagrams/colors2.xml"/><Relationship Id="rId73" Type="http://schemas.openxmlformats.org/officeDocument/2006/relationships/diagramLayout" Target="diagrams/layout4.xml"/><Relationship Id="rId78" Type="http://schemas.openxmlformats.org/officeDocument/2006/relationships/image" Target="media/image26.emf"/><Relationship Id="rId81" Type="http://schemas.openxmlformats.org/officeDocument/2006/relationships/image" Target="media/image29.emf"/><Relationship Id="rId86" Type="http://schemas.openxmlformats.org/officeDocument/2006/relationships/image" Target="media/image34.png"/><Relationship Id="rId94" Type="http://schemas.openxmlformats.org/officeDocument/2006/relationships/image" Target="media/image42.png"/><Relationship Id="rId99" Type="http://schemas.openxmlformats.org/officeDocument/2006/relationships/diagramLayout" Target="diagrams/layout5.xml"/><Relationship Id="rId101" Type="http://schemas.openxmlformats.org/officeDocument/2006/relationships/diagramColors" Target="diagrams/colors5.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image" Target="media/image19.png"/><Relationship Id="rId109" Type="http://schemas.openxmlformats.org/officeDocument/2006/relationships/hyperlink" Target="http://www.cce.org.co/noticias/reporte-ecommerce-comscore-agosto-2013" TargetMode="External"/><Relationship Id="rId34" Type="http://schemas.openxmlformats.org/officeDocument/2006/relationships/hyperlink" Target="http://www.dvb.org" TargetMode="External"/><Relationship Id="rId50" Type="http://schemas.openxmlformats.org/officeDocument/2006/relationships/chart" Target="charts/chart7.xml"/><Relationship Id="rId55" Type="http://schemas.openxmlformats.org/officeDocument/2006/relationships/image" Target="media/image23.emf"/><Relationship Id="rId76" Type="http://schemas.microsoft.com/office/2007/relationships/diagramDrawing" Target="diagrams/drawing4.xml"/><Relationship Id="rId97" Type="http://schemas.openxmlformats.org/officeDocument/2006/relationships/image" Target="media/image45.png"/><Relationship Id="rId104" Type="http://schemas.openxmlformats.org/officeDocument/2006/relationships/hyperlink" Target="http://www.programa.gobiernoenlinea.gov.co/" TargetMode="External"/><Relationship Id="rId7" Type="http://schemas.openxmlformats.org/officeDocument/2006/relationships/endnotes" Target="endnotes.xml"/><Relationship Id="rId71" Type="http://schemas.microsoft.com/office/2007/relationships/diagramDrawing" Target="diagrams/drawing3.xml"/><Relationship Id="rId92" Type="http://schemas.openxmlformats.org/officeDocument/2006/relationships/image" Target="media/image40.png"/><Relationship Id="rId2" Type="http://schemas.openxmlformats.org/officeDocument/2006/relationships/numbering" Target="numbering.xml"/><Relationship Id="rId29" Type="http://schemas.openxmlformats.org/officeDocument/2006/relationships/hyperlink" Target="http://www.codigopostal.gov.co"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iioa.org/"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alvaro.reyes\Desktop\Archivos%20para%20Proyecto%20TICs\Gr&#225;ficos%20Participaciones,%20PIB.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samsung\Documents\Dropbox\Documenti\Proyectos\Matriz%20Insumo%20Producto%20PL\Simulaci&#243;n\MODELO%20MACRO%20V5%20Escenario%20Bas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lvaro.reyes\Desktop\Archivos%20para%20Proyecto%20TICs\Gr&#225;ficos%20Participaciones,%20PIB.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lvaro.reyes\Desktop\Archivos%20para%20Proyecto%20TICs\Gr&#225;ficos%20Participaciones,%20PIB.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lvaro.reyes\Desktop\Gr&#225;ficos%20TICS%20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lvaro.reyes\Desktop\Gr&#225;ficos%20TICS%20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lvaro.reyes\Desktop\Gr&#225;ficos%20TICS%20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samsung\Documents\Dropbox\Documenti\Proyectos\Matriz%20Insumo%20Producto%20PL\Simulaci&#243;n\MODELO%20MACRO%20V5%20Escenario%20Base.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samsung\Documents\Dropbox\Documenti\Proyectos\Matriz%20Insumo%20Producto%20PL\Simulaci&#243;n\MODELO%20MACRO%20V5%20Escenario%20Base.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samsung\Documents\Dropbox\Documenti\Proyectos\Matriz%20Insumo%20Producto%20PL\Simulaci&#243;n\MODELO%20MACRO%20V5%20Escenario%20Bas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lang val="es-CO"/>
  <c:chart>
    <c:autoTitleDeleted val="1"/>
    <c:plotArea>
      <c:layout/>
      <c:lineChart>
        <c:grouping val="standard"/>
        <c:ser>
          <c:idx val="0"/>
          <c:order val="0"/>
          <c:marker>
            <c:symbol val="none"/>
          </c:marker>
          <c:cat>
            <c:multiLvlStrRef>
              <c:f>'PIB Telecom'!$A$2:$B$57</c:f>
              <c:multiLvlStrCache>
                <c:ptCount val="5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pt idx="26">
                    <c:v>III</c:v>
                  </c:pt>
                  <c:pt idx="27">
                    <c:v>IV</c:v>
                  </c:pt>
                  <c:pt idx="28">
                    <c:v>I</c:v>
                  </c:pt>
                  <c:pt idx="29">
                    <c:v>II</c:v>
                  </c:pt>
                  <c:pt idx="30">
                    <c:v>III</c:v>
                  </c:pt>
                  <c:pt idx="31">
                    <c:v>IV</c:v>
                  </c:pt>
                  <c:pt idx="32">
                    <c:v>I</c:v>
                  </c:pt>
                  <c:pt idx="33">
                    <c:v>II</c:v>
                  </c:pt>
                  <c:pt idx="34">
                    <c:v>III</c:v>
                  </c:pt>
                  <c:pt idx="35">
                    <c:v>IV</c:v>
                  </c:pt>
                  <c:pt idx="36">
                    <c:v>I</c:v>
                  </c:pt>
                  <c:pt idx="37">
                    <c:v>II</c:v>
                  </c:pt>
                  <c:pt idx="38">
                    <c:v>III</c:v>
                  </c:pt>
                  <c:pt idx="39">
                    <c:v>IV</c:v>
                  </c:pt>
                  <c:pt idx="40">
                    <c:v>I</c:v>
                  </c:pt>
                  <c:pt idx="41">
                    <c:v>II</c:v>
                  </c:pt>
                  <c:pt idx="42">
                    <c:v>III</c:v>
                  </c:pt>
                  <c:pt idx="43">
                    <c:v>IV</c:v>
                  </c:pt>
                  <c:pt idx="44">
                    <c:v>I</c:v>
                  </c:pt>
                  <c:pt idx="45">
                    <c:v>II</c:v>
                  </c:pt>
                  <c:pt idx="46">
                    <c:v>III</c:v>
                  </c:pt>
                  <c:pt idx="47">
                    <c:v>IV</c:v>
                  </c:pt>
                  <c:pt idx="48">
                    <c:v>I</c:v>
                  </c:pt>
                  <c:pt idx="49">
                    <c:v>II</c:v>
                  </c:pt>
                  <c:pt idx="50">
                    <c:v>III</c:v>
                  </c:pt>
                  <c:pt idx="51">
                    <c:v>IV</c:v>
                  </c:pt>
                  <c:pt idx="52">
                    <c:v>I</c:v>
                  </c:pt>
                  <c:pt idx="53">
                    <c:v>II</c:v>
                  </c:pt>
                  <c:pt idx="54">
                    <c:v>III</c:v>
                  </c:pt>
                  <c:pt idx="55">
                    <c:v>IV</c:v>
                  </c:pt>
                </c:lvl>
                <c:lvl>
                  <c:pt idx="0">
                    <c:v>2000</c:v>
                  </c:pt>
                  <c:pt idx="4">
                    <c:v>2001</c:v>
                  </c:pt>
                  <c:pt idx="8">
                    <c:v>2002</c:v>
                  </c:pt>
                  <c:pt idx="12">
                    <c:v>2003</c:v>
                  </c:pt>
                  <c:pt idx="16">
                    <c:v>2004</c:v>
                  </c:pt>
                  <c:pt idx="20">
                    <c:v>2005</c:v>
                  </c:pt>
                  <c:pt idx="24">
                    <c:v>2006</c:v>
                  </c:pt>
                  <c:pt idx="28">
                    <c:v>2007</c:v>
                  </c:pt>
                  <c:pt idx="32">
                    <c:v>2008</c:v>
                  </c:pt>
                  <c:pt idx="36">
                    <c:v>2009</c:v>
                  </c:pt>
                  <c:pt idx="40">
                    <c:v>2010</c:v>
                  </c:pt>
                  <c:pt idx="44">
                    <c:v>2011</c:v>
                  </c:pt>
                  <c:pt idx="48">
                    <c:v>2012p</c:v>
                  </c:pt>
                  <c:pt idx="52">
                    <c:v>2013pr</c:v>
                  </c:pt>
                </c:lvl>
              </c:multiLvlStrCache>
            </c:multiLvlStrRef>
          </c:cat>
          <c:val>
            <c:numRef>
              <c:f>'PIB Telecom'!$C$2:$C$57</c:f>
              <c:numCache>
                <c:formatCode>_(* #.##0_);_(* \(#.##0\);_(* "-"??_);_(@_)</c:formatCode>
                <c:ptCount val="56"/>
                <c:pt idx="0">
                  <c:v>1504</c:v>
                </c:pt>
                <c:pt idx="1">
                  <c:v>1426</c:v>
                </c:pt>
                <c:pt idx="2">
                  <c:v>1649</c:v>
                </c:pt>
                <c:pt idx="3">
                  <c:v>1580</c:v>
                </c:pt>
                <c:pt idx="4">
                  <c:v>1525</c:v>
                </c:pt>
                <c:pt idx="5">
                  <c:v>1578</c:v>
                </c:pt>
                <c:pt idx="6">
                  <c:v>1785</c:v>
                </c:pt>
                <c:pt idx="7">
                  <c:v>1688</c:v>
                </c:pt>
                <c:pt idx="8">
                  <c:v>1621</c:v>
                </c:pt>
                <c:pt idx="9">
                  <c:v>1683</c:v>
                </c:pt>
                <c:pt idx="10">
                  <c:v>1831</c:v>
                </c:pt>
                <c:pt idx="11">
                  <c:v>1711</c:v>
                </c:pt>
                <c:pt idx="12">
                  <c:v>1701</c:v>
                </c:pt>
                <c:pt idx="13">
                  <c:v>1690</c:v>
                </c:pt>
                <c:pt idx="14">
                  <c:v>1867</c:v>
                </c:pt>
                <c:pt idx="15">
                  <c:v>1816</c:v>
                </c:pt>
                <c:pt idx="16">
                  <c:v>1918</c:v>
                </c:pt>
                <c:pt idx="17">
                  <c:v>1834</c:v>
                </c:pt>
                <c:pt idx="18">
                  <c:v>1895</c:v>
                </c:pt>
                <c:pt idx="19">
                  <c:v>2020</c:v>
                </c:pt>
                <c:pt idx="20">
                  <c:v>1964</c:v>
                </c:pt>
                <c:pt idx="21">
                  <c:v>2115</c:v>
                </c:pt>
                <c:pt idx="22">
                  <c:v>2184</c:v>
                </c:pt>
                <c:pt idx="23">
                  <c:v>2188</c:v>
                </c:pt>
                <c:pt idx="24">
                  <c:v>2417</c:v>
                </c:pt>
                <c:pt idx="25">
                  <c:v>2439</c:v>
                </c:pt>
                <c:pt idx="26">
                  <c:v>2481</c:v>
                </c:pt>
                <c:pt idx="27">
                  <c:v>2698</c:v>
                </c:pt>
                <c:pt idx="28">
                  <c:v>2860</c:v>
                </c:pt>
                <c:pt idx="29">
                  <c:v>2883</c:v>
                </c:pt>
                <c:pt idx="30">
                  <c:v>2987</c:v>
                </c:pt>
                <c:pt idx="31">
                  <c:v>3085</c:v>
                </c:pt>
                <c:pt idx="32">
                  <c:v>3140</c:v>
                </c:pt>
                <c:pt idx="33">
                  <c:v>3126</c:v>
                </c:pt>
                <c:pt idx="34">
                  <c:v>3246</c:v>
                </c:pt>
                <c:pt idx="35">
                  <c:v>3272</c:v>
                </c:pt>
                <c:pt idx="36">
                  <c:v>3203</c:v>
                </c:pt>
                <c:pt idx="37">
                  <c:v>3095</c:v>
                </c:pt>
                <c:pt idx="38">
                  <c:v>3029</c:v>
                </c:pt>
                <c:pt idx="39">
                  <c:v>3270</c:v>
                </c:pt>
                <c:pt idx="40">
                  <c:v>3297</c:v>
                </c:pt>
                <c:pt idx="41">
                  <c:v>3300</c:v>
                </c:pt>
                <c:pt idx="42">
                  <c:v>3352</c:v>
                </c:pt>
                <c:pt idx="43">
                  <c:v>3552</c:v>
                </c:pt>
                <c:pt idx="44">
                  <c:v>3514</c:v>
                </c:pt>
                <c:pt idx="45">
                  <c:v>3465</c:v>
                </c:pt>
                <c:pt idx="46">
                  <c:v>3601</c:v>
                </c:pt>
                <c:pt idx="47">
                  <c:v>3765</c:v>
                </c:pt>
                <c:pt idx="48">
                  <c:v>3805</c:v>
                </c:pt>
                <c:pt idx="49">
                  <c:v>3594</c:v>
                </c:pt>
                <c:pt idx="50">
                  <c:v>3741</c:v>
                </c:pt>
                <c:pt idx="51">
                  <c:v>3931</c:v>
                </c:pt>
                <c:pt idx="52">
                  <c:v>3928</c:v>
                </c:pt>
                <c:pt idx="53">
                  <c:v>3667</c:v>
                </c:pt>
                <c:pt idx="54">
                  <c:v>3843</c:v>
                </c:pt>
                <c:pt idx="55">
                  <c:v>4036</c:v>
                </c:pt>
              </c:numCache>
            </c:numRef>
          </c:val>
        </c:ser>
        <c:dLbls/>
        <c:marker val="1"/>
        <c:axId val="63335040"/>
        <c:axId val="69751168"/>
      </c:lineChart>
      <c:catAx>
        <c:axId val="63335040"/>
        <c:scaling>
          <c:orientation val="minMax"/>
        </c:scaling>
        <c:axPos val="b"/>
        <c:majorTickMark val="none"/>
        <c:tickLblPos val="nextTo"/>
        <c:crossAx val="69751168"/>
        <c:crosses val="autoZero"/>
        <c:auto val="1"/>
        <c:lblAlgn val="ctr"/>
        <c:lblOffset val="100"/>
      </c:catAx>
      <c:valAx>
        <c:axId val="69751168"/>
        <c:scaling>
          <c:orientation val="minMax"/>
        </c:scaling>
        <c:axPos val="l"/>
        <c:majorGridlines/>
        <c:title>
          <c:tx>
            <c:rich>
              <a:bodyPr/>
              <a:lstStyle/>
              <a:p>
                <a:pPr>
                  <a:defRPr/>
                </a:pPr>
                <a:r>
                  <a:rPr lang="es-CO"/>
                  <a:t>Miles de millones de pesos de 2005</a:t>
                </a:r>
              </a:p>
            </c:rich>
          </c:tx>
          <c:layout/>
        </c:title>
        <c:numFmt formatCode="_(* #.##0_);_(* \(#.##0\);_(* &quot;-&quot;??_);_(@_)" sourceLinked="1"/>
        <c:majorTickMark val="none"/>
        <c:tickLblPos val="nextTo"/>
        <c:crossAx val="63335040"/>
        <c:crosses val="autoZero"/>
        <c:crossBetween val="between"/>
      </c:valAx>
    </c:plotArea>
    <c:plotVisOnly val="1"/>
    <c:dispBlanksAs val="gap"/>
  </c:chart>
  <c:txPr>
    <a:bodyPr/>
    <a:lstStyle/>
    <a:p>
      <a:pPr>
        <a:defRPr>
          <a:latin typeface="Arial Narrow" pitchFamily="34" charset="0"/>
        </a:defRPr>
      </a:pPr>
      <a:endParaRPr lang="es-CO"/>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es-CO"/>
  <c:chart>
    <c:autoTitleDeleted val="1"/>
    <c:plotArea>
      <c:layout/>
      <c:barChart>
        <c:barDir val="bar"/>
        <c:grouping val="clustered"/>
        <c:ser>
          <c:idx val="0"/>
          <c:order val="0"/>
          <c:tx>
            <c:strRef>
              <c:f>'2011'!$C$154</c:f>
              <c:strCache>
                <c:ptCount val="1"/>
                <c:pt idx="0">
                  <c:v>Impacto de la demanda sobre el Ingreso Mixto para el año 2011</c:v>
                </c:pt>
              </c:strCache>
            </c:strRef>
          </c:tx>
          <c:spPr>
            <a:solidFill>
              <a:srgbClr val="0070C0"/>
            </a:solidFill>
            <a:ln>
              <a:noFill/>
            </a:ln>
            <a:effectLst/>
          </c:spPr>
          <c:dPt>
            <c:idx val="7"/>
            <c:spPr>
              <a:solidFill>
                <a:srgbClr val="92D050"/>
              </a:solidFill>
              <a:ln>
                <a:noFill/>
              </a:ln>
              <a:effectLst/>
            </c:spPr>
          </c:dPt>
          <c:dLbls>
            <c:dLbl>
              <c:idx val="7"/>
              <c:layout/>
              <c:tx>
                <c:rich>
                  <a:bodyPr/>
                  <a:lstStyle/>
                  <a:p>
                    <a:r>
                      <a:rPr lang="en-US"/>
                      <a:t>0.112</a:t>
                    </a:r>
                  </a:p>
                </c:rich>
              </c:tx>
              <c:showVal val="1"/>
              <c:extLst>
                <c:ext xmlns:c15="http://schemas.microsoft.com/office/drawing/2012/chart" uri="{CE6537A1-D6FC-4f65-9D91-7224C49458BB}"/>
              </c:extLst>
            </c:dLbl>
            <c:delete val="1"/>
            <c:spPr>
              <a:noFill/>
              <a:ln>
                <a:noFill/>
              </a:ln>
              <a:effectLst/>
            </c:spPr>
            <c:txPr>
              <a:bodyPr rot="0" vert="horz"/>
              <a:lstStyle/>
              <a:p>
                <a:pPr>
                  <a:defRPr/>
                </a:pPr>
                <a:endParaRPr lang="es-CO"/>
              </a:p>
            </c:txPr>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'2011'!$D$153:$M$153</c:f>
              <c:strCache>
                <c:ptCount val="10"/>
                <c:pt idx="0">
                  <c:v>Agropecuario</c:v>
                </c:pt>
                <c:pt idx="1">
                  <c:v>Comercio, Hoteles Y Restaurantes</c:v>
                </c:pt>
                <c:pt idx="2">
                  <c:v>Transporte</c:v>
                </c:pt>
                <c:pt idx="3">
                  <c:v>Industria Liviana</c:v>
                </c:pt>
                <c:pt idx="4">
                  <c:v>Servicios Privados A Las Empresas Y Personas</c:v>
                </c:pt>
                <c:pt idx="5">
                  <c:v>Construccion Obras Publicas</c:v>
                </c:pt>
                <c:pt idx="6">
                  <c:v>Industria Pesada</c:v>
                </c:pt>
                <c:pt idx="7">
                  <c:v>Telecomunicaciones Y Correo</c:v>
                </c:pt>
                <c:pt idx="8">
                  <c:v>Gobierno, Ss.Pp,Y Otros Servicios Sociales</c:v>
                </c:pt>
                <c:pt idx="9">
                  <c:v>Mineria Y Petroleo</c:v>
                </c:pt>
              </c:strCache>
            </c:strRef>
          </c:cat>
          <c:val>
            <c:numRef>
              <c:f>'2011'!$D$154:$M$154</c:f>
              <c:numCache>
                <c:formatCode>General</c:formatCode>
                <c:ptCount val="10"/>
                <c:pt idx="0">
                  <c:v>0.51538347637064308</c:v>
                </c:pt>
                <c:pt idx="1">
                  <c:v>0.34951447695884547</c:v>
                </c:pt>
                <c:pt idx="2">
                  <c:v>0.33323423661009033</c:v>
                </c:pt>
                <c:pt idx="3">
                  <c:v>0.26831237752318782</c:v>
                </c:pt>
                <c:pt idx="4">
                  <c:v>0.21451717317425428</c:v>
                </c:pt>
                <c:pt idx="5">
                  <c:v>0.1902969798436431</c:v>
                </c:pt>
                <c:pt idx="6">
                  <c:v>0.15699943787137952</c:v>
                </c:pt>
                <c:pt idx="7">
                  <c:v>0.11221900644342142</c:v>
                </c:pt>
                <c:pt idx="8">
                  <c:v>9.7190986186935349E-2</c:v>
                </c:pt>
                <c:pt idx="9">
                  <c:v>8.0270409554119723E-2</c:v>
                </c:pt>
              </c:numCache>
            </c:numRef>
          </c:val>
        </c:ser>
        <c:dLbls/>
        <c:gapWidth val="182"/>
        <c:axId val="86368640"/>
        <c:axId val="86370176"/>
      </c:barChart>
      <c:catAx>
        <c:axId val="8636864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s-CO"/>
          </a:p>
        </c:txPr>
        <c:crossAx val="86370176"/>
        <c:crosses val="autoZero"/>
        <c:auto val="1"/>
        <c:lblAlgn val="ctr"/>
        <c:lblOffset val="100"/>
      </c:catAx>
      <c:valAx>
        <c:axId val="86370176"/>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vert="horz"/>
          <a:lstStyle/>
          <a:p>
            <a:pPr>
              <a:defRPr/>
            </a:pPr>
            <a:endParaRPr lang="es-CO"/>
          </a:p>
        </c:txPr>
        <c:crossAx val="86368640"/>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Arial Narrow" pitchFamily="34" charset="0"/>
        </a:defRPr>
      </a:pPr>
      <a:endParaRPr lang="es-CO"/>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s-CO"/>
  <c:chart>
    <c:autoTitleDeleted val="1"/>
    <c:plotArea>
      <c:layout/>
      <c:lineChart>
        <c:grouping val="standard"/>
        <c:ser>
          <c:idx val="0"/>
          <c:order val="0"/>
          <c:marker>
            <c:symbol val="none"/>
          </c:marker>
          <c:cat>
            <c:multiLvlStrRef>
              <c:f>'PIB Telecom'!$A$2:$B$57</c:f>
              <c:multiLvlStrCache>
                <c:ptCount val="5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pt idx="26">
                    <c:v>III</c:v>
                  </c:pt>
                  <c:pt idx="27">
                    <c:v>IV</c:v>
                  </c:pt>
                  <c:pt idx="28">
                    <c:v>I</c:v>
                  </c:pt>
                  <c:pt idx="29">
                    <c:v>II</c:v>
                  </c:pt>
                  <c:pt idx="30">
                    <c:v>III</c:v>
                  </c:pt>
                  <c:pt idx="31">
                    <c:v>IV</c:v>
                  </c:pt>
                  <c:pt idx="32">
                    <c:v>I</c:v>
                  </c:pt>
                  <c:pt idx="33">
                    <c:v>II</c:v>
                  </c:pt>
                  <c:pt idx="34">
                    <c:v>III</c:v>
                  </c:pt>
                  <c:pt idx="35">
                    <c:v>IV</c:v>
                  </c:pt>
                  <c:pt idx="36">
                    <c:v>I</c:v>
                  </c:pt>
                  <c:pt idx="37">
                    <c:v>II</c:v>
                  </c:pt>
                  <c:pt idx="38">
                    <c:v>III</c:v>
                  </c:pt>
                  <c:pt idx="39">
                    <c:v>IV</c:v>
                  </c:pt>
                  <c:pt idx="40">
                    <c:v>I</c:v>
                  </c:pt>
                  <c:pt idx="41">
                    <c:v>II</c:v>
                  </c:pt>
                  <c:pt idx="42">
                    <c:v>III</c:v>
                  </c:pt>
                  <c:pt idx="43">
                    <c:v>IV</c:v>
                  </c:pt>
                  <c:pt idx="44">
                    <c:v>I</c:v>
                  </c:pt>
                  <c:pt idx="45">
                    <c:v>II</c:v>
                  </c:pt>
                  <c:pt idx="46">
                    <c:v>III</c:v>
                  </c:pt>
                  <c:pt idx="47">
                    <c:v>IV</c:v>
                  </c:pt>
                  <c:pt idx="48">
                    <c:v>I</c:v>
                  </c:pt>
                  <c:pt idx="49">
                    <c:v>II</c:v>
                  </c:pt>
                  <c:pt idx="50">
                    <c:v>III</c:v>
                  </c:pt>
                  <c:pt idx="51">
                    <c:v>IV</c:v>
                  </c:pt>
                  <c:pt idx="52">
                    <c:v>I</c:v>
                  </c:pt>
                  <c:pt idx="53">
                    <c:v>II</c:v>
                  </c:pt>
                  <c:pt idx="54">
                    <c:v>III</c:v>
                  </c:pt>
                  <c:pt idx="55">
                    <c:v>IV</c:v>
                  </c:pt>
                </c:lvl>
                <c:lvl>
                  <c:pt idx="0">
                    <c:v>2000</c:v>
                  </c:pt>
                  <c:pt idx="4">
                    <c:v>2001</c:v>
                  </c:pt>
                  <c:pt idx="8">
                    <c:v>2002</c:v>
                  </c:pt>
                  <c:pt idx="12">
                    <c:v>2003</c:v>
                  </c:pt>
                  <c:pt idx="16">
                    <c:v>2004</c:v>
                  </c:pt>
                  <c:pt idx="20">
                    <c:v>2005</c:v>
                  </c:pt>
                  <c:pt idx="24">
                    <c:v>2006</c:v>
                  </c:pt>
                  <c:pt idx="28">
                    <c:v>2007</c:v>
                  </c:pt>
                  <c:pt idx="32">
                    <c:v>2008</c:v>
                  </c:pt>
                  <c:pt idx="36">
                    <c:v>2009</c:v>
                  </c:pt>
                  <c:pt idx="40">
                    <c:v>2010</c:v>
                  </c:pt>
                  <c:pt idx="44">
                    <c:v>2011</c:v>
                  </c:pt>
                  <c:pt idx="48">
                    <c:v>2012p</c:v>
                  </c:pt>
                  <c:pt idx="52">
                    <c:v>2013pr</c:v>
                  </c:pt>
                </c:lvl>
              </c:multiLvlStrCache>
            </c:multiLvlStrRef>
          </c:cat>
          <c:val>
            <c:numRef>
              <c:f>'PIB Telecom'!$E$2:$E$57</c:f>
              <c:numCache>
                <c:formatCode>0.00%</c:formatCode>
                <c:ptCount val="56"/>
                <c:pt idx="0">
                  <c:v>2.2618922292572168E-2</c:v>
                </c:pt>
                <c:pt idx="1">
                  <c:v>2.0660678064329207E-2</c:v>
                </c:pt>
                <c:pt idx="2">
                  <c:v>2.3053586657160029E-2</c:v>
                </c:pt>
                <c:pt idx="3">
                  <c:v>2.0329649120549676E-2</c:v>
                </c:pt>
                <c:pt idx="4">
                  <c:v>2.2662426439992868E-2</c:v>
                </c:pt>
                <c:pt idx="5">
                  <c:v>2.2548655368523355E-2</c:v>
                </c:pt>
                <c:pt idx="6">
                  <c:v>2.4556335121749914E-2</c:v>
                </c:pt>
                <c:pt idx="7">
                  <c:v>2.1212692428526591E-2</c:v>
                </c:pt>
                <c:pt idx="8">
                  <c:v>2.3917020774315401E-2</c:v>
                </c:pt>
                <c:pt idx="9">
                  <c:v>2.3129569567368467E-2</c:v>
                </c:pt>
                <c:pt idx="10">
                  <c:v>2.4523854169457002E-2</c:v>
                </c:pt>
                <c:pt idx="11">
                  <c:v>2.0971478299238847E-2</c:v>
                </c:pt>
                <c:pt idx="12">
                  <c:v>2.408359172577838E-2</c:v>
                </c:pt>
                <c:pt idx="13">
                  <c:v>2.2679388595890901E-2</c:v>
                </c:pt>
                <c:pt idx="14">
                  <c:v>2.4084107327141401E-2</c:v>
                </c:pt>
                <c:pt idx="15">
                  <c:v>2.1177348633268055E-2</c:v>
                </c:pt>
                <c:pt idx="16">
                  <c:v>2.5605425466584803E-2</c:v>
                </c:pt>
                <c:pt idx="17">
                  <c:v>2.3587210947346778E-2</c:v>
                </c:pt>
                <c:pt idx="18">
                  <c:v>2.3417612021452785E-2</c:v>
                </c:pt>
                <c:pt idx="19">
                  <c:v>2.2128741071819814E-2</c:v>
                </c:pt>
                <c:pt idx="20">
                  <c:v>2.5157232704402538E-2</c:v>
                </c:pt>
                <c:pt idx="21">
                  <c:v>2.5654088279174727E-2</c:v>
                </c:pt>
                <c:pt idx="22">
                  <c:v>2.5592950220305614E-2</c:v>
                </c:pt>
                <c:pt idx="23">
                  <c:v>2.3200576833354542E-2</c:v>
                </c:pt>
                <c:pt idx="24">
                  <c:v>2.9399958643003998E-2</c:v>
                </c:pt>
                <c:pt idx="25">
                  <c:v>2.7981735578908769E-2</c:v>
                </c:pt>
                <c:pt idx="26">
                  <c:v>2.7016726195661644E-2</c:v>
                </c:pt>
                <c:pt idx="27">
                  <c:v>2.6520922825883968E-2</c:v>
                </c:pt>
                <c:pt idx="28">
                  <c:v>3.2250789354984211E-2</c:v>
                </c:pt>
                <c:pt idx="29">
                  <c:v>3.1107034958998706E-2</c:v>
                </c:pt>
                <c:pt idx="30">
                  <c:v>3.0632127327918635E-2</c:v>
                </c:pt>
                <c:pt idx="31">
                  <c:v>2.8273959545783652E-2</c:v>
                </c:pt>
                <c:pt idx="32">
                  <c:v>3.368556562784962E-2</c:v>
                </c:pt>
                <c:pt idx="33">
                  <c:v>3.196809326583832E-2</c:v>
                </c:pt>
                <c:pt idx="34">
                  <c:v>3.2095078952312235E-2</c:v>
                </c:pt>
                <c:pt idx="35">
                  <c:v>2.9852107985803865E-2</c:v>
                </c:pt>
                <c:pt idx="36">
                  <c:v>3.400753835536445E-2</c:v>
                </c:pt>
                <c:pt idx="37">
                  <c:v>3.125946874053126E-2</c:v>
                </c:pt>
                <c:pt idx="38">
                  <c:v>2.9593661153068287E-2</c:v>
                </c:pt>
                <c:pt idx="39">
                  <c:v>2.8981396956510197E-2</c:v>
                </c:pt>
                <c:pt idx="40">
                  <c:v>3.3815384615384615E-2</c:v>
                </c:pt>
                <c:pt idx="41">
                  <c:v>3.2149015558175162E-2</c:v>
                </c:pt>
                <c:pt idx="42">
                  <c:v>3.1711793532761941E-2</c:v>
                </c:pt>
                <c:pt idx="43">
                  <c:v>2.9911578947368421E-2</c:v>
                </c:pt>
                <c:pt idx="44">
                  <c:v>3.4143023707734171E-2</c:v>
                </c:pt>
                <c:pt idx="45">
                  <c:v>3.1718860134931026E-2</c:v>
                </c:pt>
                <c:pt idx="46">
                  <c:v>3.1592153284671541E-2</c:v>
                </c:pt>
                <c:pt idx="47">
                  <c:v>2.9778617924117932E-2</c:v>
                </c:pt>
                <c:pt idx="48">
                  <c:v>3.4836028051929056E-2</c:v>
                </c:pt>
                <c:pt idx="49">
                  <c:v>3.1228277492006153E-2</c:v>
                </c:pt>
                <c:pt idx="50">
                  <c:v>3.2008830022075087E-2</c:v>
                </c:pt>
                <c:pt idx="51">
                  <c:v>3.0304899202096905E-2</c:v>
                </c:pt>
                <c:pt idx="52">
                  <c:v>3.5079572043510129E-2</c:v>
                </c:pt>
                <c:pt idx="53">
                  <c:v>3.0635176567891168E-2</c:v>
                </c:pt>
                <c:pt idx="54">
                  <c:v>3.1208887589533729E-2</c:v>
                </c:pt>
                <c:pt idx="55">
                  <c:v>2.9646170458134734E-2</c:v>
                </c:pt>
              </c:numCache>
            </c:numRef>
          </c:val>
        </c:ser>
        <c:dLbls/>
        <c:marker val="1"/>
        <c:axId val="69775360"/>
        <c:axId val="69776896"/>
      </c:lineChart>
      <c:catAx>
        <c:axId val="69775360"/>
        <c:scaling>
          <c:orientation val="minMax"/>
        </c:scaling>
        <c:axPos val="b"/>
        <c:majorTickMark val="none"/>
        <c:tickLblPos val="nextTo"/>
        <c:crossAx val="69776896"/>
        <c:crosses val="autoZero"/>
        <c:auto val="1"/>
        <c:lblAlgn val="ctr"/>
        <c:lblOffset val="100"/>
      </c:catAx>
      <c:valAx>
        <c:axId val="69776896"/>
        <c:scaling>
          <c:orientation val="minMax"/>
        </c:scaling>
        <c:axPos val="l"/>
        <c:majorGridlines/>
        <c:title>
          <c:tx>
            <c:rich>
              <a:bodyPr/>
              <a:lstStyle/>
              <a:p>
                <a:pPr>
                  <a:defRPr/>
                </a:pPr>
                <a:r>
                  <a:rPr lang="es-CO"/>
                  <a:t>Porcentaje</a:t>
                </a:r>
              </a:p>
            </c:rich>
          </c:tx>
          <c:layout/>
        </c:title>
        <c:numFmt formatCode="0.00%" sourceLinked="1"/>
        <c:majorTickMark val="none"/>
        <c:tickLblPos val="nextTo"/>
        <c:crossAx val="69775360"/>
        <c:crosses val="autoZero"/>
        <c:crossBetween val="between"/>
      </c:valAx>
    </c:plotArea>
    <c:plotVisOnly val="1"/>
    <c:dispBlanksAs val="gap"/>
  </c:chart>
  <c:txPr>
    <a:bodyPr/>
    <a:lstStyle/>
    <a:p>
      <a:pPr>
        <a:defRPr>
          <a:latin typeface="Arial Narrow" pitchFamily="34" charset="0"/>
        </a:defRPr>
      </a:pPr>
      <a:endParaRPr lang="es-CO"/>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es-CO"/>
  <c:chart>
    <c:autoTitleDeleted val="1"/>
    <c:plotArea>
      <c:layout>
        <c:manualLayout>
          <c:layoutTarget val="inner"/>
          <c:xMode val="edge"/>
          <c:yMode val="edge"/>
          <c:x val="0.12385566669031237"/>
          <c:y val="0.1060556873037244"/>
          <c:w val="0.64370133913441074"/>
          <c:h val="0.81749315581011828"/>
        </c:manualLayout>
      </c:layout>
      <c:lineChart>
        <c:grouping val="standard"/>
        <c:ser>
          <c:idx val="0"/>
          <c:order val="0"/>
          <c:tx>
            <c:strRef>
              <c:f>'[MODELO MACRO V5 Escenario Base.xlsx]Proy Part Sect'!$B$20:$C$20</c:f>
              <c:strCache>
                <c:ptCount val="1"/>
                <c:pt idx="0">
                  <c:v>Consumo</c:v>
                </c:pt>
              </c:strCache>
            </c:strRef>
          </c:tx>
          <c:marker>
            <c:symbol val="none"/>
          </c:marker>
          <c:cat>
            <c:numRef>
              <c:f>'[MODELO MACRO V5 Escenario Base.xlsx]Proy Part Sect'!$D$4:$M$4</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Particpaciones!$C$24:$I$24</c:f>
              <c:numCache>
                <c:formatCode>0.00%</c:formatCode>
                <c:ptCount val="7"/>
                <c:pt idx="0">
                  <c:v>3.6594747323694589E-2</c:v>
                </c:pt>
                <c:pt idx="1">
                  <c:v>4.4254666256619654E-2</c:v>
                </c:pt>
                <c:pt idx="2">
                  <c:v>4.9889131748175698E-2</c:v>
                </c:pt>
                <c:pt idx="3">
                  <c:v>5.3043185710790287E-2</c:v>
                </c:pt>
                <c:pt idx="4">
                  <c:v>5.0939750042141324E-2</c:v>
                </c:pt>
                <c:pt idx="5">
                  <c:v>5.2844609197211963E-2</c:v>
                </c:pt>
                <c:pt idx="6">
                  <c:v>5.3817027523333429E-2</c:v>
                </c:pt>
              </c:numCache>
            </c:numRef>
          </c:val>
        </c:ser>
        <c:ser>
          <c:idx val="1"/>
          <c:order val="1"/>
          <c:tx>
            <c:strRef>
              <c:f>'[MODELO MACRO V5 Escenario Base.xlsx]Proy Part Sect'!$B$4:$C$4</c:f>
              <c:strCache>
                <c:ptCount val="1"/>
                <c:pt idx="0">
                  <c:v>Exportaciones</c:v>
                </c:pt>
              </c:strCache>
            </c:strRef>
          </c:tx>
          <c:marker>
            <c:symbol val="none"/>
          </c:marker>
          <c:cat>
            <c:numRef>
              <c:f>'[MODELO MACRO V5 Escenario Base.xlsx]Proy Part Sect'!$D$4:$M$4</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Particpaciones!$C$10:$I$10</c:f>
              <c:numCache>
                <c:formatCode>0.00%</c:formatCode>
                <c:ptCount val="7"/>
                <c:pt idx="0">
                  <c:v>9.2793754833007999E-3</c:v>
                </c:pt>
                <c:pt idx="1">
                  <c:v>1.0177248044807213E-2</c:v>
                </c:pt>
                <c:pt idx="2">
                  <c:v>8.6063123446301019E-3</c:v>
                </c:pt>
                <c:pt idx="3">
                  <c:v>7.224328901812082E-3</c:v>
                </c:pt>
                <c:pt idx="4">
                  <c:v>9.1608358472983539E-3</c:v>
                </c:pt>
                <c:pt idx="5">
                  <c:v>6.7428357370294062E-3</c:v>
                </c:pt>
                <c:pt idx="6">
                  <c:v>6.7142778359896389E-3</c:v>
                </c:pt>
              </c:numCache>
            </c:numRef>
          </c:val>
        </c:ser>
        <c:ser>
          <c:idx val="2"/>
          <c:order val="2"/>
          <c:tx>
            <c:strRef>
              <c:f>'[MODELO MACRO V5 Escenario Base.xlsx]Proy Part Sect'!$B$50:$C$50</c:f>
              <c:strCache>
                <c:ptCount val="1"/>
                <c:pt idx="0">
                  <c:v>Importaciones</c:v>
                </c:pt>
              </c:strCache>
            </c:strRef>
          </c:tx>
          <c:marker>
            <c:symbol val="none"/>
          </c:marker>
          <c:val>
            <c:numRef>
              <c:f>Particpaciones!$C$51:$I$51</c:f>
              <c:numCache>
                <c:formatCode>0.00%</c:formatCode>
                <c:ptCount val="7"/>
                <c:pt idx="0">
                  <c:v>5.7123236359096089E-3</c:v>
                </c:pt>
                <c:pt idx="1">
                  <c:v>6.2307838815879018E-3</c:v>
                </c:pt>
                <c:pt idx="2">
                  <c:v>5.3352387757532533E-3</c:v>
                </c:pt>
                <c:pt idx="3">
                  <c:v>4.0635548579905766E-3</c:v>
                </c:pt>
                <c:pt idx="4">
                  <c:v>5.8403711193053438E-3</c:v>
                </c:pt>
                <c:pt idx="5">
                  <c:v>4.3843663572240245E-3</c:v>
                </c:pt>
                <c:pt idx="6">
                  <c:v>3.5270421222062943E-3</c:v>
                </c:pt>
              </c:numCache>
            </c:numRef>
          </c:val>
        </c:ser>
        <c:ser>
          <c:idx val="3"/>
          <c:order val="3"/>
          <c:tx>
            <c:v>P. Consumo</c:v>
          </c:tx>
          <c:spPr>
            <a:ln>
              <a:solidFill>
                <a:schemeClr val="accent1"/>
              </a:solidFill>
              <a:prstDash val="dash"/>
            </a:ln>
          </c:spPr>
          <c:marker>
            <c:symbol val="none"/>
          </c:marker>
          <c:dLbls>
            <c:dLbl>
              <c:idx val="9"/>
              <c:layout/>
              <c:showVal val="1"/>
            </c:dLbl>
            <c:delete val="1"/>
          </c:dLbls>
          <c:val>
            <c:numRef>
              <c:f>Particpaciones!$C$29:$L$29</c:f>
              <c:numCache>
                <c:formatCode>General</c:formatCode>
                <c:ptCount val="10"/>
                <c:pt idx="6" formatCode="0.00%">
                  <c:v>5.3817027523333429E-2</c:v>
                </c:pt>
                <c:pt idx="7" formatCode="0.00%">
                  <c:v>5.2533795587562167E-2</c:v>
                </c:pt>
                <c:pt idx="8" formatCode="0.00%">
                  <c:v>5.3065144102702487E-2</c:v>
                </c:pt>
                <c:pt idx="9" formatCode="0.00%">
                  <c:v>5.3138655737865977E-2</c:v>
                </c:pt>
              </c:numCache>
            </c:numRef>
          </c:val>
        </c:ser>
        <c:ser>
          <c:idx val="4"/>
          <c:order val="4"/>
          <c:tx>
            <c:v>P. Import</c:v>
          </c:tx>
          <c:spPr>
            <a:ln>
              <a:solidFill>
                <a:schemeClr val="accent3">
                  <a:lumMod val="75000"/>
                </a:schemeClr>
              </a:solidFill>
              <a:prstDash val="dash"/>
            </a:ln>
          </c:spPr>
          <c:marker>
            <c:symbol val="none"/>
          </c:marker>
          <c:dLbls>
            <c:dLbl>
              <c:idx val="9"/>
              <c:layout/>
              <c:showVal val="1"/>
            </c:dLbl>
            <c:delete val="1"/>
          </c:dLbls>
          <c:val>
            <c:numRef>
              <c:f>Particpaciones!$C$56:$L$56</c:f>
              <c:numCache>
                <c:formatCode>General</c:formatCode>
                <c:ptCount val="10"/>
                <c:pt idx="6" formatCode="0.00%">
                  <c:v>3.5270421222062943E-3</c:v>
                </c:pt>
                <c:pt idx="7" formatCode="0.00%">
                  <c:v>4.5839265329118885E-3</c:v>
                </c:pt>
                <c:pt idx="8" formatCode="0.00%">
                  <c:v>4.1651116707807278E-3</c:v>
                </c:pt>
                <c:pt idx="9" formatCode="0.00%">
                  <c:v>4.0920267752996408E-3</c:v>
                </c:pt>
              </c:numCache>
            </c:numRef>
          </c:val>
        </c:ser>
        <c:ser>
          <c:idx val="5"/>
          <c:order val="5"/>
          <c:tx>
            <c:v>P.  Export</c:v>
          </c:tx>
          <c:spPr>
            <a:ln>
              <a:solidFill>
                <a:schemeClr val="accent2">
                  <a:lumMod val="75000"/>
                </a:schemeClr>
              </a:solidFill>
              <a:prstDash val="dash"/>
            </a:ln>
          </c:spPr>
          <c:marker>
            <c:symbol val="none"/>
          </c:marker>
          <c:dLbls>
            <c:dLbl>
              <c:idx val="9"/>
              <c:layout/>
              <c:showVal val="1"/>
            </c:dLbl>
            <c:delete val="1"/>
          </c:dLbls>
          <c:val>
            <c:numRef>
              <c:f>Particpaciones!$C$15:$L$15</c:f>
              <c:numCache>
                <c:formatCode>General</c:formatCode>
                <c:ptCount val="10"/>
                <c:pt idx="6" formatCode="0.00%">
                  <c:v>6.7142778359896389E-3</c:v>
                </c:pt>
                <c:pt idx="7" formatCode="0.00%">
                  <c:v>7.5393164734391376E-3</c:v>
                </c:pt>
                <c:pt idx="8" formatCode="0.00%">
                  <c:v>6.9988100154860589E-3</c:v>
                </c:pt>
                <c:pt idx="9" formatCode="0.00%">
                  <c:v>7.0841347749716083E-3</c:v>
                </c:pt>
              </c:numCache>
            </c:numRef>
          </c:val>
        </c:ser>
        <c:dLbls/>
        <c:marker val="1"/>
        <c:axId val="69827584"/>
        <c:axId val="69841664"/>
      </c:lineChart>
      <c:catAx>
        <c:axId val="69827584"/>
        <c:scaling>
          <c:orientation val="minMax"/>
        </c:scaling>
        <c:axPos val="b"/>
        <c:numFmt formatCode="General" sourceLinked="1"/>
        <c:majorTickMark val="none"/>
        <c:tickLblPos val="nextTo"/>
        <c:crossAx val="69841664"/>
        <c:crosses val="autoZero"/>
        <c:auto val="1"/>
        <c:lblAlgn val="ctr"/>
        <c:lblOffset val="100"/>
      </c:catAx>
      <c:valAx>
        <c:axId val="69841664"/>
        <c:scaling>
          <c:orientation val="minMax"/>
        </c:scaling>
        <c:axPos val="l"/>
        <c:majorGridlines/>
        <c:title>
          <c:tx>
            <c:rich>
              <a:bodyPr/>
              <a:lstStyle/>
              <a:p>
                <a:pPr>
                  <a:defRPr/>
                </a:pPr>
                <a:r>
                  <a:rPr lang="es-CO"/>
                  <a:t>Porcentaje</a:t>
                </a:r>
              </a:p>
            </c:rich>
          </c:tx>
          <c:layout/>
        </c:title>
        <c:numFmt formatCode="0.00%" sourceLinked="1"/>
        <c:majorTickMark val="none"/>
        <c:tickLblPos val="nextTo"/>
        <c:crossAx val="69827584"/>
        <c:crosses val="autoZero"/>
        <c:crossBetween val="between"/>
      </c:valAx>
    </c:plotArea>
    <c:legend>
      <c:legendPos val="r"/>
      <c:layout/>
    </c:legend>
    <c:plotVisOnly val="1"/>
    <c:dispBlanksAs val="gap"/>
  </c:chart>
  <c:txPr>
    <a:bodyPr/>
    <a:lstStyle/>
    <a:p>
      <a:pPr>
        <a:defRPr>
          <a:latin typeface="Arial Narrow" pitchFamily="34" charset="0"/>
        </a:defRPr>
      </a:pPr>
      <a:endParaRPr lang="es-CO"/>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es-CO"/>
  <c:chart>
    <c:autoTitleDeleted val="1"/>
    <c:plotArea>
      <c:layout/>
      <c:barChart>
        <c:barDir val="bar"/>
        <c:grouping val="clustered"/>
        <c:ser>
          <c:idx val="0"/>
          <c:order val="0"/>
          <c:dPt>
            <c:idx val="3"/>
            <c:spPr>
              <a:solidFill>
                <a:schemeClr val="accent3">
                  <a:lumMod val="75000"/>
                </a:schemeClr>
              </a:solidFill>
            </c:spPr>
          </c:dPt>
          <c:dLbls>
            <c:dLbl>
              <c:idx val="3"/>
              <c:layout/>
              <c:tx>
                <c:rich>
                  <a:bodyPr/>
                  <a:lstStyle/>
                  <a:p>
                    <a:r>
                      <a:rPr lang="en-US"/>
                      <a:t>1.617</a:t>
                    </a:r>
                  </a:p>
                </c:rich>
              </c:tx>
              <c:showVal val="1"/>
            </c:dLbl>
            <c:delete val="1"/>
          </c:dLbls>
          <c:cat>
            <c:strRef>
              <c:f>'[MODELO MACRO V5 Escenario Base.xlsx]2005'!$D$169:$M$169</c:f>
              <c:strCache>
                <c:ptCount val="10"/>
                <c:pt idx="0">
                  <c:v>INDUSTRIA LIVIANA</c:v>
                </c:pt>
                <c:pt idx="1">
                  <c:v>CONSTRUCCION OBRAS PUBLICAS</c:v>
                </c:pt>
                <c:pt idx="2">
                  <c:v>INDUSTRIA PESADA</c:v>
                </c:pt>
                <c:pt idx="3">
                  <c:v>TELECOMUNICACIONES Y CORREO</c:v>
                </c:pt>
                <c:pt idx="4">
                  <c:v>AGROPECUARIO</c:v>
                </c:pt>
                <c:pt idx="5">
                  <c:v>TRANSPORTE</c:v>
                </c:pt>
                <c:pt idx="6">
                  <c:v>GOBIERNO, SS.PP,Y OTROS SERVICIOS SOCIALES</c:v>
                </c:pt>
                <c:pt idx="7">
                  <c:v>SERVICIOS PRIVADOS A LAS EMPRESAS Y PERSONAS</c:v>
                </c:pt>
                <c:pt idx="8">
                  <c:v>MINERIA Y PETROLEO</c:v>
                </c:pt>
                <c:pt idx="9">
                  <c:v>COMERCIO, HOTELES Y RESTAURANTES</c:v>
                </c:pt>
              </c:strCache>
            </c:strRef>
          </c:cat>
          <c:val>
            <c:numRef>
              <c:f>'[MODELO MACRO V5 Escenario Base.xlsx]2005'!$D$170:$M$170</c:f>
              <c:numCache>
                <c:formatCode>#,##0.00</c:formatCode>
                <c:ptCount val="10"/>
                <c:pt idx="0">
                  <c:v>2.0043286210876112</c:v>
                </c:pt>
                <c:pt idx="1">
                  <c:v>1.8296805621702741</c:v>
                </c:pt>
                <c:pt idx="2">
                  <c:v>1.8075802707301418</c:v>
                </c:pt>
                <c:pt idx="3">
                  <c:v>1.6170903125419374</c:v>
                </c:pt>
                <c:pt idx="4">
                  <c:v>1.5640613053421548</c:v>
                </c:pt>
                <c:pt idx="5">
                  <c:v>1.5555605715758161</c:v>
                </c:pt>
                <c:pt idx="6">
                  <c:v>1.5275335393553131</c:v>
                </c:pt>
                <c:pt idx="7">
                  <c:v>1.4342502491268707</c:v>
                </c:pt>
                <c:pt idx="8">
                  <c:v>1.3755525563369075</c:v>
                </c:pt>
                <c:pt idx="9">
                  <c:v>1.1608042223770054</c:v>
                </c:pt>
              </c:numCache>
            </c:numRef>
          </c:val>
        </c:ser>
        <c:dLbls/>
        <c:gapWidth val="75"/>
        <c:overlap val="-25"/>
        <c:axId val="70198400"/>
        <c:axId val="70199936"/>
      </c:barChart>
      <c:catAx>
        <c:axId val="70198400"/>
        <c:scaling>
          <c:orientation val="minMax"/>
        </c:scaling>
        <c:axPos val="l"/>
        <c:majorTickMark val="none"/>
        <c:tickLblPos val="nextTo"/>
        <c:crossAx val="70199936"/>
        <c:crosses val="autoZero"/>
        <c:auto val="1"/>
        <c:lblAlgn val="ctr"/>
        <c:lblOffset val="100"/>
      </c:catAx>
      <c:valAx>
        <c:axId val="70199936"/>
        <c:scaling>
          <c:orientation val="minMax"/>
        </c:scaling>
        <c:axPos val="b"/>
        <c:majorGridlines/>
        <c:numFmt formatCode="#,##0.00" sourceLinked="1"/>
        <c:majorTickMark val="none"/>
        <c:tickLblPos val="nextTo"/>
        <c:spPr>
          <a:ln w="9525">
            <a:noFill/>
          </a:ln>
        </c:spPr>
        <c:crossAx val="70198400"/>
        <c:crosses val="autoZero"/>
        <c:crossBetween val="between"/>
      </c:valAx>
    </c:plotArea>
    <c:plotVisOnly val="1"/>
    <c:dispBlanksAs val="gap"/>
  </c:chart>
  <c:txPr>
    <a:bodyPr/>
    <a:lstStyle/>
    <a:p>
      <a:pPr>
        <a:defRPr>
          <a:latin typeface="Arial Narrow" pitchFamily="34" charset="0"/>
        </a:defRPr>
      </a:pPr>
      <a:endParaRPr lang="es-CO"/>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es-CO"/>
  <c:chart>
    <c:autoTitleDeleted val="1"/>
    <c:plotArea>
      <c:layout/>
      <c:barChart>
        <c:barDir val="bar"/>
        <c:grouping val="clustered"/>
        <c:ser>
          <c:idx val="0"/>
          <c:order val="0"/>
          <c:dPt>
            <c:idx val="3"/>
            <c:spPr>
              <a:solidFill>
                <a:schemeClr val="accent3">
                  <a:lumMod val="75000"/>
                </a:schemeClr>
              </a:solidFill>
            </c:spPr>
          </c:dPt>
          <c:dLbls>
            <c:dLbl>
              <c:idx val="3"/>
              <c:layout/>
              <c:tx>
                <c:rich>
                  <a:bodyPr/>
                  <a:lstStyle/>
                  <a:p>
                    <a:r>
                      <a:rPr lang="en-US"/>
                      <a:t>1.622</a:t>
                    </a:r>
                  </a:p>
                </c:rich>
              </c:tx>
              <c:showVal val="1"/>
            </c:dLbl>
            <c:delete val="1"/>
          </c:dLbls>
          <c:cat>
            <c:strRef>
              <c:f>'F:\Matriz Insumo Producto PL\Simulación\[MODELO MACRO V5 Escenario Base.xlsx]2010'!$D$138:$M$138</c:f>
              <c:strCache>
                <c:ptCount val="10"/>
                <c:pt idx="0">
                  <c:v>INDUSTRIA LIVIANA</c:v>
                </c:pt>
                <c:pt idx="1">
                  <c:v>CONSTRUCCION OBRAS PUBLICAS</c:v>
                </c:pt>
                <c:pt idx="2">
                  <c:v>INDUSTRIA PESADA</c:v>
                </c:pt>
                <c:pt idx="3">
                  <c:v>TELECOMUNICACIONES Y CORREO</c:v>
                </c:pt>
                <c:pt idx="4">
                  <c:v>TRANSPORTE</c:v>
                </c:pt>
                <c:pt idx="5">
                  <c:v>AGROPECUARIO</c:v>
                </c:pt>
                <c:pt idx="6">
                  <c:v>GOBIERNO, SS.PP,Y OTROS SERVICIOS SOCIALES</c:v>
                </c:pt>
                <c:pt idx="7">
                  <c:v>SERVICIOS PRIVADOS A LAS EMPRESAS Y PERSONAS</c:v>
                </c:pt>
                <c:pt idx="8">
                  <c:v>MINERIA Y PETROLEO</c:v>
                </c:pt>
                <c:pt idx="9">
                  <c:v>COMERCIO, HOTELES Y RESTAURANTES</c:v>
                </c:pt>
              </c:strCache>
            </c:strRef>
          </c:cat>
          <c:val>
            <c:numRef>
              <c:f>'F:\Matriz Insumo Producto PL\Simulación\[MODELO MACRO V5 Escenario Base.xlsx]2010'!$D$139:$M$139</c:f>
              <c:numCache>
                <c:formatCode>General</c:formatCode>
                <c:ptCount val="10"/>
                <c:pt idx="0">
                  <c:v>1.9973443842766141</c:v>
                </c:pt>
                <c:pt idx="1">
                  <c:v>1.8107087251723353</c:v>
                </c:pt>
                <c:pt idx="2">
                  <c:v>1.8008045325761812</c:v>
                </c:pt>
                <c:pt idx="3">
                  <c:v>1.6225460607671829</c:v>
                </c:pt>
                <c:pt idx="4">
                  <c:v>1.586667608228068</c:v>
                </c:pt>
                <c:pt idx="5">
                  <c:v>1.570555600288422</c:v>
                </c:pt>
                <c:pt idx="6">
                  <c:v>1.5317045379775598</c:v>
                </c:pt>
                <c:pt idx="7">
                  <c:v>1.4299587137573098</c:v>
                </c:pt>
                <c:pt idx="8">
                  <c:v>1.3666338380545031</c:v>
                </c:pt>
                <c:pt idx="9">
                  <c:v>1.1412373376408567</c:v>
                </c:pt>
              </c:numCache>
            </c:numRef>
          </c:val>
        </c:ser>
        <c:dLbls/>
        <c:gapWidth val="75"/>
        <c:overlap val="-25"/>
        <c:axId val="70236416"/>
        <c:axId val="70246400"/>
      </c:barChart>
      <c:catAx>
        <c:axId val="70236416"/>
        <c:scaling>
          <c:orientation val="minMax"/>
        </c:scaling>
        <c:axPos val="l"/>
        <c:majorTickMark val="none"/>
        <c:tickLblPos val="nextTo"/>
        <c:crossAx val="70246400"/>
        <c:crosses val="autoZero"/>
        <c:auto val="1"/>
        <c:lblAlgn val="ctr"/>
        <c:lblOffset val="100"/>
      </c:catAx>
      <c:valAx>
        <c:axId val="70246400"/>
        <c:scaling>
          <c:orientation val="minMax"/>
        </c:scaling>
        <c:axPos val="b"/>
        <c:majorGridlines/>
        <c:numFmt formatCode="General" sourceLinked="1"/>
        <c:majorTickMark val="none"/>
        <c:tickLblPos val="nextTo"/>
        <c:spPr>
          <a:ln w="9525">
            <a:noFill/>
          </a:ln>
        </c:spPr>
        <c:crossAx val="70236416"/>
        <c:crosses val="autoZero"/>
        <c:crossBetween val="between"/>
      </c:valAx>
    </c:plotArea>
    <c:plotVisOnly val="1"/>
    <c:dispBlanksAs val="gap"/>
  </c:chart>
  <c:txPr>
    <a:bodyPr/>
    <a:lstStyle/>
    <a:p>
      <a:pPr>
        <a:defRPr>
          <a:latin typeface="Arial Narrow" pitchFamily="34" charset="0"/>
        </a:defRPr>
      </a:pPr>
      <a:endParaRPr lang="es-CO"/>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es-CO"/>
  <c:chart>
    <c:autoTitleDeleted val="1"/>
    <c:plotArea>
      <c:layout/>
      <c:barChart>
        <c:barDir val="bar"/>
        <c:grouping val="clustered"/>
        <c:ser>
          <c:idx val="0"/>
          <c:order val="0"/>
          <c:dPt>
            <c:idx val="3"/>
            <c:spPr>
              <a:solidFill>
                <a:schemeClr val="accent3">
                  <a:lumMod val="75000"/>
                </a:schemeClr>
              </a:solidFill>
            </c:spPr>
          </c:dPt>
          <c:dLbls>
            <c:dLbl>
              <c:idx val="3"/>
              <c:layout/>
              <c:tx>
                <c:rich>
                  <a:bodyPr/>
                  <a:lstStyle/>
                  <a:p>
                    <a:r>
                      <a:rPr lang="en-US"/>
                      <a:t>1.626</a:t>
                    </a:r>
                  </a:p>
                </c:rich>
              </c:tx>
              <c:showVal val="1"/>
            </c:dLbl>
            <c:delete val="1"/>
          </c:dLbls>
          <c:cat>
            <c:strRef>
              <c:f>'F:\Matriz Insumo Producto PL\Simulación\[MODELO MACRO V5 Escenario Base.xlsx]2011'!$D$137:$M$137</c:f>
              <c:strCache>
                <c:ptCount val="10"/>
                <c:pt idx="0">
                  <c:v>INDUSTRIA LIVIANA</c:v>
                </c:pt>
                <c:pt idx="1">
                  <c:v>CONSTRUCCION OBRAS PUBLICAS</c:v>
                </c:pt>
                <c:pt idx="2">
                  <c:v>INDUSTRIA PESADA</c:v>
                </c:pt>
                <c:pt idx="3">
                  <c:v>TELECOMUNICACIONES Y CORREO</c:v>
                </c:pt>
                <c:pt idx="4">
                  <c:v>TRANSPORTE</c:v>
                </c:pt>
                <c:pt idx="5">
                  <c:v>AGROPECUARIO</c:v>
                </c:pt>
                <c:pt idx="6">
                  <c:v>GOBIERNO, SS.PP,Y OTROS SERVICIOS SOCIALES</c:v>
                </c:pt>
                <c:pt idx="7">
                  <c:v>SERVICIOS PRIVADOS A LAS EMPRESAS Y PERSONAS</c:v>
                </c:pt>
                <c:pt idx="8">
                  <c:v>MINERIA Y PETROLEO</c:v>
                </c:pt>
                <c:pt idx="9">
                  <c:v>COMERCIO, HOTELES Y RESTAURANTES</c:v>
                </c:pt>
              </c:strCache>
            </c:strRef>
          </c:cat>
          <c:val>
            <c:numRef>
              <c:f>'F:\Matriz Insumo Producto PL\Simulación\[MODELO MACRO V5 Escenario Base.xlsx]2011'!$D$138:$M$138</c:f>
              <c:numCache>
                <c:formatCode>General</c:formatCode>
                <c:ptCount val="10"/>
                <c:pt idx="0">
                  <c:v>1.987050526802469</c:v>
                </c:pt>
                <c:pt idx="1">
                  <c:v>1.8221932652586879</c:v>
                </c:pt>
                <c:pt idx="2">
                  <c:v>1.7860004749954581</c:v>
                </c:pt>
                <c:pt idx="3">
                  <c:v>1.6261978100593093</c:v>
                </c:pt>
                <c:pt idx="4">
                  <c:v>1.5858362526624785</c:v>
                </c:pt>
                <c:pt idx="5">
                  <c:v>1.5730019143153322</c:v>
                </c:pt>
                <c:pt idx="6">
                  <c:v>1.5312763240086071</c:v>
                </c:pt>
                <c:pt idx="7">
                  <c:v>1.426176647392142</c:v>
                </c:pt>
                <c:pt idx="8">
                  <c:v>1.3648288376948277</c:v>
                </c:pt>
                <c:pt idx="9">
                  <c:v>1.1317252789388177</c:v>
                </c:pt>
              </c:numCache>
            </c:numRef>
          </c:val>
        </c:ser>
        <c:dLbls/>
        <c:gapWidth val="75"/>
        <c:overlap val="-25"/>
        <c:axId val="70253952"/>
        <c:axId val="70145152"/>
      </c:barChart>
      <c:catAx>
        <c:axId val="70253952"/>
        <c:scaling>
          <c:orientation val="minMax"/>
        </c:scaling>
        <c:axPos val="l"/>
        <c:majorTickMark val="none"/>
        <c:tickLblPos val="nextTo"/>
        <c:crossAx val="70145152"/>
        <c:crosses val="autoZero"/>
        <c:auto val="1"/>
        <c:lblAlgn val="ctr"/>
        <c:lblOffset val="100"/>
      </c:catAx>
      <c:valAx>
        <c:axId val="70145152"/>
        <c:scaling>
          <c:orientation val="minMax"/>
        </c:scaling>
        <c:axPos val="b"/>
        <c:majorGridlines/>
        <c:numFmt formatCode="General" sourceLinked="1"/>
        <c:majorTickMark val="none"/>
        <c:tickLblPos val="nextTo"/>
        <c:spPr>
          <a:ln w="9525">
            <a:noFill/>
          </a:ln>
        </c:spPr>
        <c:crossAx val="70253952"/>
        <c:crosses val="autoZero"/>
        <c:crossBetween val="between"/>
      </c:valAx>
    </c:plotArea>
    <c:plotVisOnly val="1"/>
    <c:dispBlanksAs val="gap"/>
  </c:chart>
  <c:txPr>
    <a:bodyPr/>
    <a:lstStyle/>
    <a:p>
      <a:pPr>
        <a:defRPr>
          <a:latin typeface="Arial Narrow" pitchFamily="34" charset="0"/>
        </a:defRPr>
      </a:pPr>
      <a:endParaRPr lang="es-CO"/>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es-CO"/>
  <c:chart>
    <c:autoTitleDeleted val="1"/>
    <c:plotArea>
      <c:layout/>
      <c:barChart>
        <c:barDir val="bar"/>
        <c:grouping val="clustered"/>
        <c:ser>
          <c:idx val="0"/>
          <c:order val="0"/>
          <c:tx>
            <c:strRef>
              <c:f>'2005'!$C$184</c:f>
              <c:strCache>
                <c:ptCount val="1"/>
                <c:pt idx="0">
                  <c:v>Impacto de la demanda sobre la Remuneración a Asalariados para el año 2005</c:v>
                </c:pt>
              </c:strCache>
            </c:strRef>
          </c:tx>
          <c:spPr>
            <a:solidFill>
              <a:srgbClr val="0070C0"/>
            </a:solidFill>
            <a:ln>
              <a:noFill/>
            </a:ln>
            <a:effectLst/>
          </c:spPr>
          <c:dPt>
            <c:idx val="5"/>
            <c:spPr>
              <a:solidFill>
                <a:srgbClr val="92D050"/>
              </a:solidFill>
              <a:ln>
                <a:noFill/>
              </a:ln>
              <a:effectLst/>
            </c:spPr>
          </c:dPt>
          <c:dLbls>
            <c:dLbl>
              <c:idx val="5"/>
              <c:layout/>
              <c:tx>
                <c:rich>
                  <a:bodyPr/>
                  <a:lstStyle/>
                  <a:p>
                    <a:r>
                      <a:rPr lang="en-US"/>
                      <a:t>0.216</a:t>
                    </a:r>
                  </a:p>
                </c:rich>
              </c:tx>
              <c:showVal val="1"/>
              <c:extLst>
                <c:ext xmlns:c15="http://schemas.microsoft.com/office/drawing/2012/chart" uri="{CE6537A1-D6FC-4f65-9D91-7224C49458BB}"/>
              </c:extLst>
            </c:dLbl>
            <c:delete val="1"/>
            <c:spPr>
              <a:noFill/>
              <a:ln>
                <a:noFill/>
              </a:ln>
              <a:effectLst/>
            </c:spPr>
            <c:txPr>
              <a:bodyPr rot="0" vert="horz"/>
              <a:lstStyle/>
              <a:p>
                <a:pPr>
                  <a:defRPr/>
                </a:pPr>
                <a:endParaRPr lang="es-CO"/>
              </a:p>
            </c:txPr>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'2005'!$D$183:$M$183</c:f>
              <c:strCache>
                <c:ptCount val="10"/>
                <c:pt idx="0">
                  <c:v>Gobierno, Ss.Pp,Y Otros Servicios Sociales</c:v>
                </c:pt>
                <c:pt idx="1">
                  <c:v>Comercio, Hoteles Y Restaurantes</c:v>
                </c:pt>
                <c:pt idx="2">
                  <c:v>Agropecuario</c:v>
                </c:pt>
                <c:pt idx="3">
                  <c:v>Industria Liviana</c:v>
                </c:pt>
                <c:pt idx="4">
                  <c:v>Servicios Privados A Las Empresas Y Personas</c:v>
                </c:pt>
                <c:pt idx="5">
                  <c:v>Telecomunicaciones Y Correo</c:v>
                </c:pt>
                <c:pt idx="6">
                  <c:v>Transporte</c:v>
                </c:pt>
                <c:pt idx="7">
                  <c:v>Construccion Obras Publicas</c:v>
                </c:pt>
                <c:pt idx="8">
                  <c:v>Industria Pesada</c:v>
                </c:pt>
                <c:pt idx="9">
                  <c:v>Mineria Y Petroleo</c:v>
                </c:pt>
              </c:strCache>
            </c:strRef>
          </c:cat>
          <c:val>
            <c:numRef>
              <c:f>'2005'!$D$184:$M$184</c:f>
              <c:numCache>
                <c:formatCode>General</c:formatCode>
                <c:ptCount val="10"/>
                <c:pt idx="0">
                  <c:v>0.57323798781686108</c:v>
                </c:pt>
                <c:pt idx="1">
                  <c:v>0.31281550924360496</c:v>
                </c:pt>
                <c:pt idx="2">
                  <c:v>0.27436597422678538</c:v>
                </c:pt>
                <c:pt idx="3">
                  <c:v>0.26129816122848876</c:v>
                </c:pt>
                <c:pt idx="4">
                  <c:v>0.21816177340795434</c:v>
                </c:pt>
                <c:pt idx="5">
                  <c:v>0.21623902706660514</c:v>
                </c:pt>
                <c:pt idx="6">
                  <c:v>0.20327340398576868</c:v>
                </c:pt>
                <c:pt idx="7">
                  <c:v>0.20233795900733706</c:v>
                </c:pt>
                <c:pt idx="8">
                  <c:v>0.20007247580321036</c:v>
                </c:pt>
                <c:pt idx="9">
                  <c:v>0.13304334769901391</c:v>
                </c:pt>
              </c:numCache>
            </c:numRef>
          </c:val>
        </c:ser>
        <c:dLbls/>
        <c:gapWidth val="182"/>
        <c:axId val="70182016"/>
        <c:axId val="70183552"/>
      </c:barChart>
      <c:catAx>
        <c:axId val="70182016"/>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s-CO"/>
          </a:p>
        </c:txPr>
        <c:crossAx val="70183552"/>
        <c:crosses val="autoZero"/>
        <c:auto val="1"/>
        <c:lblAlgn val="ctr"/>
        <c:lblOffset val="100"/>
      </c:catAx>
      <c:valAx>
        <c:axId val="70183552"/>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vert="horz"/>
          <a:lstStyle/>
          <a:p>
            <a:pPr>
              <a:defRPr/>
            </a:pPr>
            <a:endParaRPr lang="es-CO"/>
          </a:p>
        </c:txPr>
        <c:crossAx val="70182016"/>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Arial Narrow" pitchFamily="34" charset="0"/>
        </a:defRPr>
      </a:pPr>
      <a:endParaRPr lang="es-CO"/>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es-CO"/>
  <c:chart>
    <c:autoTitleDeleted val="1"/>
    <c:plotArea>
      <c:layout/>
      <c:barChart>
        <c:barDir val="bar"/>
        <c:grouping val="clustered"/>
        <c:ser>
          <c:idx val="0"/>
          <c:order val="0"/>
          <c:tx>
            <c:strRef>
              <c:f>'2011'!$C$152</c:f>
              <c:strCache>
                <c:ptCount val="1"/>
                <c:pt idx="0">
                  <c:v>Impacto de la demanda sobre la Remuneración a Asalariados para el año 2011</c:v>
                </c:pt>
              </c:strCache>
            </c:strRef>
          </c:tx>
          <c:spPr>
            <a:solidFill>
              <a:srgbClr val="0070C0"/>
            </a:solidFill>
            <a:ln>
              <a:noFill/>
            </a:ln>
            <a:effectLst/>
          </c:spPr>
          <c:dPt>
            <c:idx val="7"/>
            <c:spPr>
              <a:solidFill>
                <a:srgbClr val="92D050"/>
              </a:solidFill>
              <a:ln>
                <a:noFill/>
              </a:ln>
              <a:effectLst/>
            </c:spPr>
          </c:dPt>
          <c:dLbls>
            <c:dLbl>
              <c:idx val="7"/>
              <c:layout/>
              <c:tx>
                <c:rich>
                  <a:bodyPr/>
                  <a:lstStyle/>
                  <a:p>
                    <a:r>
                      <a:rPr lang="en-US"/>
                      <a:t>0.209</a:t>
                    </a:r>
                  </a:p>
                </c:rich>
              </c:tx>
              <c:showVal val="1"/>
              <c:extLst>
                <c:ext xmlns:c15="http://schemas.microsoft.com/office/drawing/2012/chart" uri="{CE6537A1-D6FC-4f65-9D91-7224C49458BB}"/>
              </c:extLst>
            </c:dLbl>
            <c:delete val="1"/>
            <c:spPr>
              <a:noFill/>
              <a:ln>
                <a:noFill/>
              </a:ln>
              <a:effectLst/>
            </c:spPr>
            <c:txPr>
              <a:bodyPr rot="0" vert="horz"/>
              <a:lstStyle/>
              <a:p>
                <a:pPr>
                  <a:defRPr/>
                </a:pPr>
                <a:endParaRPr lang="es-CO"/>
              </a:p>
            </c:txPr>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'2011'!$D$151:$M$151</c:f>
              <c:strCache>
                <c:ptCount val="10"/>
                <c:pt idx="0">
                  <c:v>Gobierno, Ss.Pp,Y Otros Servicios Sociales</c:v>
                </c:pt>
                <c:pt idx="1">
                  <c:v>Comercio, Hoteles Y Restaurantes</c:v>
                </c:pt>
                <c:pt idx="2">
                  <c:v>Industria Liviana</c:v>
                </c:pt>
                <c:pt idx="3">
                  <c:v>Agropecuario</c:v>
                </c:pt>
                <c:pt idx="4">
                  <c:v>Servicios Privados A Las Empresas Y Personas</c:v>
                </c:pt>
                <c:pt idx="5">
                  <c:v>Transporte</c:v>
                </c:pt>
                <c:pt idx="6">
                  <c:v>Industria Pesada</c:v>
                </c:pt>
                <c:pt idx="7">
                  <c:v>Telecomunicaciones Y Correo</c:v>
                </c:pt>
                <c:pt idx="8">
                  <c:v>Construccion Obras Publicas</c:v>
                </c:pt>
                <c:pt idx="9">
                  <c:v>Mineria Y Petroleo</c:v>
                </c:pt>
              </c:strCache>
            </c:strRef>
          </c:cat>
          <c:val>
            <c:numRef>
              <c:f>'2011'!$D$152:$M$152</c:f>
              <c:numCache>
                <c:formatCode>General</c:formatCode>
                <c:ptCount val="10"/>
                <c:pt idx="0">
                  <c:v>0.5945982499781719</c:v>
                </c:pt>
                <c:pt idx="1">
                  <c:v>0.31932783254281905</c:v>
                </c:pt>
                <c:pt idx="2">
                  <c:v>0.26557911904925097</c:v>
                </c:pt>
                <c:pt idx="3">
                  <c:v>0.25195652701910248</c:v>
                </c:pt>
                <c:pt idx="4">
                  <c:v>0.24526113457311649</c:v>
                </c:pt>
                <c:pt idx="5">
                  <c:v>0.23762058963544508</c:v>
                </c:pt>
                <c:pt idx="6">
                  <c:v>0.21113843010046293</c:v>
                </c:pt>
                <c:pt idx="7">
                  <c:v>0.20851160472983271</c:v>
                </c:pt>
                <c:pt idx="8">
                  <c:v>0.19500431150272998</c:v>
                </c:pt>
                <c:pt idx="9">
                  <c:v>0.1238019750094914</c:v>
                </c:pt>
              </c:numCache>
            </c:numRef>
          </c:val>
        </c:ser>
        <c:dLbls/>
        <c:gapWidth val="182"/>
        <c:axId val="86219008"/>
        <c:axId val="86233088"/>
      </c:barChart>
      <c:catAx>
        <c:axId val="86219008"/>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s-CO"/>
          </a:p>
        </c:txPr>
        <c:crossAx val="86233088"/>
        <c:crosses val="autoZero"/>
        <c:auto val="1"/>
        <c:lblAlgn val="ctr"/>
        <c:lblOffset val="100"/>
      </c:catAx>
      <c:valAx>
        <c:axId val="86233088"/>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vert="horz"/>
          <a:lstStyle/>
          <a:p>
            <a:pPr>
              <a:defRPr/>
            </a:pPr>
            <a:endParaRPr lang="es-CO"/>
          </a:p>
        </c:txPr>
        <c:crossAx val="86219008"/>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Arial Narrow" pitchFamily="34" charset="0"/>
        </a:defRPr>
      </a:pPr>
      <a:endParaRPr lang="es-CO"/>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es-CO"/>
  <c:chart>
    <c:autoTitleDeleted val="1"/>
    <c:plotArea>
      <c:layout/>
      <c:barChart>
        <c:barDir val="bar"/>
        <c:grouping val="clustered"/>
        <c:ser>
          <c:idx val="0"/>
          <c:order val="0"/>
          <c:tx>
            <c:strRef>
              <c:f>'2005'!$C$186</c:f>
              <c:strCache>
                <c:ptCount val="1"/>
                <c:pt idx="0">
                  <c:v>Impacto de la demanda sobre el Ingreso Mixto para el año 2005</c:v>
                </c:pt>
              </c:strCache>
            </c:strRef>
          </c:tx>
          <c:spPr>
            <a:solidFill>
              <a:srgbClr val="0070C0"/>
            </a:solidFill>
            <a:ln>
              <a:noFill/>
            </a:ln>
            <a:effectLst/>
          </c:spPr>
          <c:dPt>
            <c:idx val="7"/>
            <c:spPr>
              <a:solidFill>
                <a:srgbClr val="92D050"/>
              </a:solidFill>
              <a:ln>
                <a:noFill/>
              </a:ln>
              <a:effectLst/>
            </c:spPr>
          </c:dPt>
          <c:dLbls>
            <c:dLbl>
              <c:idx val="7"/>
              <c:layout/>
              <c:tx>
                <c:rich>
                  <a:bodyPr/>
                  <a:lstStyle/>
                  <a:p>
                    <a:r>
                      <a:rPr lang="en-US"/>
                      <a:t>0.136</a:t>
                    </a:r>
                  </a:p>
                </c:rich>
              </c:tx>
              <c:showVal val="1"/>
              <c:extLst>
                <c:ext xmlns:c15="http://schemas.microsoft.com/office/drawing/2012/chart" uri="{CE6537A1-D6FC-4f65-9D91-7224C49458BB}"/>
              </c:extLst>
            </c:dLbl>
            <c:delete val="1"/>
            <c:spPr>
              <a:noFill/>
              <a:ln>
                <a:noFill/>
              </a:ln>
              <a:effectLst/>
            </c:spPr>
            <c:txPr>
              <a:bodyPr rot="0" vert="horz"/>
              <a:lstStyle/>
              <a:p>
                <a:pPr>
                  <a:defRPr/>
                </a:pPr>
                <a:endParaRPr lang="es-CO"/>
              </a:p>
            </c:txPr>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'2005'!$D$185:$M$185</c:f>
              <c:strCache>
                <c:ptCount val="10"/>
                <c:pt idx="0">
                  <c:v>Agropecuario</c:v>
                </c:pt>
                <c:pt idx="1">
                  <c:v>Transporte</c:v>
                </c:pt>
                <c:pt idx="2">
                  <c:v>Comercio, Hoteles Y Restaurantes</c:v>
                </c:pt>
                <c:pt idx="3">
                  <c:v>Industria Liviana</c:v>
                </c:pt>
                <c:pt idx="4">
                  <c:v>Servicios Privados A Las Empresas Y Personas</c:v>
                </c:pt>
                <c:pt idx="5">
                  <c:v>Construccion Obras Publicas</c:v>
                </c:pt>
                <c:pt idx="6">
                  <c:v>Industria Pesada</c:v>
                </c:pt>
                <c:pt idx="7">
                  <c:v>Telecomunicaciones Y Correo</c:v>
                </c:pt>
                <c:pt idx="8">
                  <c:v>Gobierno, Ss.Pp,Y Otros Servicios Sociales</c:v>
                </c:pt>
                <c:pt idx="9">
                  <c:v>Mineria Y Petroleo</c:v>
                </c:pt>
              </c:strCache>
            </c:strRef>
          </c:cat>
          <c:val>
            <c:numRef>
              <c:f>'2005'!$D$186:$M$186</c:f>
              <c:numCache>
                <c:formatCode>General</c:formatCode>
                <c:ptCount val="10"/>
                <c:pt idx="0">
                  <c:v>0.49929875972253418</c:v>
                </c:pt>
                <c:pt idx="1">
                  <c:v>0.35012559756200851</c:v>
                </c:pt>
                <c:pt idx="2">
                  <c:v>0.34593617008242838</c:v>
                </c:pt>
                <c:pt idx="3">
                  <c:v>0.2759532078541998</c:v>
                </c:pt>
                <c:pt idx="4">
                  <c:v>0.23467974845434225</c:v>
                </c:pt>
                <c:pt idx="5">
                  <c:v>0.20029937007387791</c:v>
                </c:pt>
                <c:pt idx="6">
                  <c:v>0.16013382614554622</c:v>
                </c:pt>
                <c:pt idx="7">
                  <c:v>0.13645538415791952</c:v>
                </c:pt>
                <c:pt idx="8">
                  <c:v>0.10570567719359369</c:v>
                </c:pt>
                <c:pt idx="9">
                  <c:v>0.10361921020780966</c:v>
                </c:pt>
              </c:numCache>
            </c:numRef>
          </c:val>
        </c:ser>
        <c:dLbls/>
        <c:gapWidth val="182"/>
        <c:axId val="86314368"/>
        <c:axId val="86328448"/>
      </c:barChart>
      <c:catAx>
        <c:axId val="86314368"/>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s-CO"/>
          </a:p>
        </c:txPr>
        <c:crossAx val="86328448"/>
        <c:crosses val="autoZero"/>
        <c:auto val="1"/>
        <c:lblAlgn val="ctr"/>
        <c:lblOffset val="100"/>
      </c:catAx>
      <c:valAx>
        <c:axId val="86328448"/>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vert="horz"/>
          <a:lstStyle/>
          <a:p>
            <a:pPr>
              <a:defRPr/>
            </a:pPr>
            <a:endParaRPr lang="es-CO"/>
          </a:p>
        </c:txPr>
        <c:crossAx val="86314368"/>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Arial Narrow" pitchFamily="34" charset="0"/>
        </a:defRPr>
      </a:pPr>
      <a:endParaRPr lang="es-CO"/>
    </a:p>
  </c:txPr>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34A1889-8904-40B2-BA32-12623BA28CFB}" type="doc">
      <dgm:prSet loTypeId="urn:microsoft.com/office/officeart/2005/8/layout/hProcess9" loCatId="process" qsTypeId="urn:microsoft.com/office/officeart/2005/8/quickstyle/simple1" qsCatId="simple" csTypeId="urn:microsoft.com/office/officeart/2005/8/colors/accent1_2" csCatId="accent1" phldr="1"/>
      <dgm:spPr/>
    </dgm:pt>
    <dgm:pt modelId="{892A7281-0CE1-45EA-8CA3-03C9DE766561}">
      <dgm:prSet phldrT="[Texto]" custT="1"/>
      <dgm:spPr/>
      <dgm:t>
        <a:bodyPr/>
        <a:lstStyle/>
        <a:p>
          <a:pPr algn="ctr"/>
          <a:r>
            <a:rPr lang="es-CO" sz="1200" b="1">
              <a:latin typeface="Arial Narrow" pitchFamily="34" charset="0"/>
            </a:rPr>
            <a:t>Insumos</a:t>
          </a:r>
        </a:p>
      </dgm:t>
    </dgm:pt>
    <dgm:pt modelId="{0D790808-131D-4374-9CCB-1D5889A87BEA}" type="parTrans" cxnId="{BACCB3EB-384E-499E-BA00-CF483C62E989}">
      <dgm:prSet/>
      <dgm:spPr/>
      <dgm:t>
        <a:bodyPr/>
        <a:lstStyle/>
        <a:p>
          <a:pPr algn="ctr"/>
          <a:endParaRPr lang="es-CO" sz="1200" b="1">
            <a:latin typeface="Arial Narrow" pitchFamily="34" charset="0"/>
          </a:endParaRPr>
        </a:p>
      </dgm:t>
    </dgm:pt>
    <dgm:pt modelId="{E1116D62-7727-4DEC-A139-099130A122EE}" type="sibTrans" cxnId="{BACCB3EB-384E-499E-BA00-CF483C62E989}">
      <dgm:prSet/>
      <dgm:spPr/>
      <dgm:t>
        <a:bodyPr/>
        <a:lstStyle/>
        <a:p>
          <a:pPr algn="ctr"/>
          <a:endParaRPr lang="es-CO" sz="1200" b="1">
            <a:latin typeface="Arial Narrow" pitchFamily="34" charset="0"/>
          </a:endParaRPr>
        </a:p>
      </dgm:t>
    </dgm:pt>
    <dgm:pt modelId="{A14AB28F-2638-4B88-87D6-E742DC44DF3A}">
      <dgm:prSet phldrT="[Texto]" custT="1"/>
      <dgm:spPr/>
      <dgm:t>
        <a:bodyPr/>
        <a:lstStyle/>
        <a:p>
          <a:pPr algn="ctr"/>
          <a:r>
            <a:rPr lang="es-CO" sz="1200" b="1">
              <a:latin typeface="Arial Narrow" pitchFamily="34" charset="0"/>
            </a:rPr>
            <a:t>Procesos</a:t>
          </a:r>
        </a:p>
      </dgm:t>
    </dgm:pt>
    <dgm:pt modelId="{5AEEA418-4027-4086-A325-767616EADDD3}" type="parTrans" cxnId="{786DAB41-3249-4B0C-A436-911143BECF31}">
      <dgm:prSet/>
      <dgm:spPr/>
      <dgm:t>
        <a:bodyPr/>
        <a:lstStyle/>
        <a:p>
          <a:pPr algn="ctr"/>
          <a:endParaRPr lang="es-CO" sz="1200" b="1">
            <a:latin typeface="Arial Narrow" pitchFamily="34" charset="0"/>
          </a:endParaRPr>
        </a:p>
      </dgm:t>
    </dgm:pt>
    <dgm:pt modelId="{7DEAE258-4013-43A9-B2B2-12561BE29064}" type="sibTrans" cxnId="{786DAB41-3249-4B0C-A436-911143BECF31}">
      <dgm:prSet/>
      <dgm:spPr/>
      <dgm:t>
        <a:bodyPr/>
        <a:lstStyle/>
        <a:p>
          <a:pPr algn="ctr"/>
          <a:endParaRPr lang="es-CO" sz="1200" b="1">
            <a:latin typeface="Arial Narrow" pitchFamily="34" charset="0"/>
          </a:endParaRPr>
        </a:p>
      </dgm:t>
    </dgm:pt>
    <dgm:pt modelId="{F0B2D4DB-C8F1-4E08-9CC6-5B2E04D80413}">
      <dgm:prSet phldrT="[Texto]" custT="1"/>
      <dgm:spPr/>
      <dgm:t>
        <a:bodyPr/>
        <a:lstStyle/>
        <a:p>
          <a:pPr algn="ctr"/>
          <a:r>
            <a:rPr lang="es-CO" sz="1200" b="1">
              <a:latin typeface="Arial Narrow" pitchFamily="34" charset="0"/>
            </a:rPr>
            <a:t>Productos</a:t>
          </a:r>
        </a:p>
      </dgm:t>
    </dgm:pt>
    <dgm:pt modelId="{93598A32-3C06-4170-8C7A-81C4DA0AFF61}" type="parTrans" cxnId="{4BD6CE20-D2BE-44ED-9358-37A5E361ABF4}">
      <dgm:prSet/>
      <dgm:spPr/>
      <dgm:t>
        <a:bodyPr/>
        <a:lstStyle/>
        <a:p>
          <a:pPr algn="ctr"/>
          <a:endParaRPr lang="es-CO" sz="1200" b="1">
            <a:latin typeface="Arial Narrow" pitchFamily="34" charset="0"/>
          </a:endParaRPr>
        </a:p>
      </dgm:t>
    </dgm:pt>
    <dgm:pt modelId="{7C80ECE2-9976-43DD-AA14-51301F3CB934}" type="sibTrans" cxnId="{4BD6CE20-D2BE-44ED-9358-37A5E361ABF4}">
      <dgm:prSet/>
      <dgm:spPr/>
      <dgm:t>
        <a:bodyPr/>
        <a:lstStyle/>
        <a:p>
          <a:pPr algn="ctr"/>
          <a:endParaRPr lang="es-CO" sz="1200" b="1">
            <a:latin typeface="Arial Narrow" pitchFamily="34" charset="0"/>
          </a:endParaRPr>
        </a:p>
      </dgm:t>
    </dgm:pt>
    <dgm:pt modelId="{DE77DFAC-F056-4441-BA36-EE2A2CB9CDB4}">
      <dgm:prSet phldrT="[Texto]" custT="1"/>
      <dgm:spPr/>
      <dgm:t>
        <a:bodyPr/>
        <a:lstStyle/>
        <a:p>
          <a:pPr algn="ctr"/>
          <a:r>
            <a:rPr lang="es-CO" sz="1200" b="1">
              <a:latin typeface="Arial Narrow" pitchFamily="34" charset="0"/>
            </a:rPr>
            <a:t>Resultados</a:t>
          </a:r>
        </a:p>
      </dgm:t>
    </dgm:pt>
    <dgm:pt modelId="{2433B37D-73AA-4730-965A-9E6F40FA3536}" type="parTrans" cxnId="{0AE9703C-454C-4F74-8196-73F761D83D93}">
      <dgm:prSet/>
      <dgm:spPr/>
      <dgm:t>
        <a:bodyPr/>
        <a:lstStyle/>
        <a:p>
          <a:pPr algn="ctr"/>
          <a:endParaRPr lang="es-CO" sz="1200" b="1">
            <a:latin typeface="Arial Narrow" pitchFamily="34" charset="0"/>
          </a:endParaRPr>
        </a:p>
      </dgm:t>
    </dgm:pt>
    <dgm:pt modelId="{445E4B1C-8B13-40C5-92A7-78F70E6DE525}" type="sibTrans" cxnId="{0AE9703C-454C-4F74-8196-73F761D83D93}">
      <dgm:prSet/>
      <dgm:spPr/>
      <dgm:t>
        <a:bodyPr/>
        <a:lstStyle/>
        <a:p>
          <a:pPr algn="ctr"/>
          <a:endParaRPr lang="es-CO" sz="1200" b="1">
            <a:latin typeface="Arial Narrow" pitchFamily="34" charset="0"/>
          </a:endParaRPr>
        </a:p>
      </dgm:t>
    </dgm:pt>
    <dgm:pt modelId="{55FEFC6A-50CB-47E6-9023-AFDD3022570C}">
      <dgm:prSet phldrT="[Texto]" custT="1"/>
      <dgm:spPr/>
      <dgm:t>
        <a:bodyPr/>
        <a:lstStyle/>
        <a:p>
          <a:pPr algn="ctr"/>
          <a:r>
            <a:rPr lang="es-CO" sz="1200" b="1">
              <a:latin typeface="Arial Narrow" pitchFamily="34" charset="0"/>
            </a:rPr>
            <a:t>Impactos</a:t>
          </a:r>
        </a:p>
      </dgm:t>
    </dgm:pt>
    <dgm:pt modelId="{AB3569CB-3481-42E8-B03E-08996083B1F0}" type="parTrans" cxnId="{E79B2F0B-F591-4D8B-8D31-22EF081FB2F5}">
      <dgm:prSet/>
      <dgm:spPr/>
      <dgm:t>
        <a:bodyPr/>
        <a:lstStyle/>
        <a:p>
          <a:pPr algn="ctr"/>
          <a:endParaRPr lang="es-CO" sz="1200" b="1">
            <a:latin typeface="Arial Narrow" pitchFamily="34" charset="0"/>
          </a:endParaRPr>
        </a:p>
      </dgm:t>
    </dgm:pt>
    <dgm:pt modelId="{5BE4C43A-F217-4E4C-9FCE-5E0DBDA3DCBB}" type="sibTrans" cxnId="{E79B2F0B-F591-4D8B-8D31-22EF081FB2F5}">
      <dgm:prSet/>
      <dgm:spPr/>
      <dgm:t>
        <a:bodyPr/>
        <a:lstStyle/>
        <a:p>
          <a:pPr algn="ctr"/>
          <a:endParaRPr lang="es-CO" sz="1200" b="1">
            <a:latin typeface="Arial Narrow" pitchFamily="34" charset="0"/>
          </a:endParaRPr>
        </a:p>
      </dgm:t>
    </dgm:pt>
    <dgm:pt modelId="{7E69BDF4-DF6F-44A2-A55A-D484ED5BB202}" type="pres">
      <dgm:prSet presAssocID="{634A1889-8904-40B2-BA32-12623BA28CFB}" presName="CompostProcess" presStyleCnt="0">
        <dgm:presLayoutVars>
          <dgm:dir/>
          <dgm:resizeHandles val="exact"/>
        </dgm:presLayoutVars>
      </dgm:prSet>
      <dgm:spPr/>
    </dgm:pt>
    <dgm:pt modelId="{F6399D7B-5D0D-49B7-8D49-F564AD1052A9}" type="pres">
      <dgm:prSet presAssocID="{634A1889-8904-40B2-BA32-12623BA28CFB}" presName="arrow" presStyleLbl="bgShp" presStyleIdx="0" presStyleCnt="1"/>
      <dgm:spPr/>
    </dgm:pt>
    <dgm:pt modelId="{BEBA40B0-7BE6-4C04-B9EA-FAD25852870E}" type="pres">
      <dgm:prSet presAssocID="{634A1889-8904-40B2-BA32-12623BA28CFB}" presName="linearProcess" presStyleCnt="0"/>
      <dgm:spPr/>
    </dgm:pt>
    <dgm:pt modelId="{0707DD12-4913-4BE8-9DD0-5C468A5B7B40}" type="pres">
      <dgm:prSet presAssocID="{892A7281-0CE1-45EA-8CA3-03C9DE766561}" presName="textNode" presStyleLbl="node1" presStyleIdx="0" presStyleCnt="5">
        <dgm:presLayoutVars>
          <dgm:bulletEnabled val="1"/>
        </dgm:presLayoutVars>
      </dgm:prSet>
      <dgm:spPr/>
      <dgm:t>
        <a:bodyPr/>
        <a:lstStyle/>
        <a:p>
          <a:endParaRPr lang="es-CO"/>
        </a:p>
      </dgm:t>
    </dgm:pt>
    <dgm:pt modelId="{DDA510DE-BADF-44CA-A33E-6AC87F699951}" type="pres">
      <dgm:prSet presAssocID="{E1116D62-7727-4DEC-A139-099130A122EE}" presName="sibTrans" presStyleCnt="0"/>
      <dgm:spPr/>
    </dgm:pt>
    <dgm:pt modelId="{7D0B2EF1-CFFD-45A7-A1F1-D08EEE59E3B9}" type="pres">
      <dgm:prSet presAssocID="{A14AB28F-2638-4B88-87D6-E742DC44DF3A}" presName="textNode" presStyleLbl="node1" presStyleIdx="1" presStyleCnt="5">
        <dgm:presLayoutVars>
          <dgm:bulletEnabled val="1"/>
        </dgm:presLayoutVars>
      </dgm:prSet>
      <dgm:spPr/>
      <dgm:t>
        <a:bodyPr/>
        <a:lstStyle/>
        <a:p>
          <a:endParaRPr lang="es-CO"/>
        </a:p>
      </dgm:t>
    </dgm:pt>
    <dgm:pt modelId="{382419B8-E694-4CFB-84DE-DAAD530D2EC3}" type="pres">
      <dgm:prSet presAssocID="{7DEAE258-4013-43A9-B2B2-12561BE29064}" presName="sibTrans" presStyleCnt="0"/>
      <dgm:spPr/>
    </dgm:pt>
    <dgm:pt modelId="{0EE740EC-9E60-47FC-A5C9-C4B332DF5B85}" type="pres">
      <dgm:prSet presAssocID="{F0B2D4DB-C8F1-4E08-9CC6-5B2E04D80413}" presName="textNode" presStyleLbl="node1" presStyleIdx="2" presStyleCnt="5">
        <dgm:presLayoutVars>
          <dgm:bulletEnabled val="1"/>
        </dgm:presLayoutVars>
      </dgm:prSet>
      <dgm:spPr/>
      <dgm:t>
        <a:bodyPr/>
        <a:lstStyle/>
        <a:p>
          <a:endParaRPr lang="es-CO"/>
        </a:p>
      </dgm:t>
    </dgm:pt>
    <dgm:pt modelId="{D81AFFE0-28E5-48D0-B3B1-E004259DD02C}" type="pres">
      <dgm:prSet presAssocID="{7C80ECE2-9976-43DD-AA14-51301F3CB934}" presName="sibTrans" presStyleCnt="0"/>
      <dgm:spPr/>
    </dgm:pt>
    <dgm:pt modelId="{319DAFE8-23B9-4AB8-B3CC-C3ECA13E7168}" type="pres">
      <dgm:prSet presAssocID="{DE77DFAC-F056-4441-BA36-EE2A2CB9CDB4}" presName="textNode" presStyleLbl="node1" presStyleIdx="3" presStyleCnt="5">
        <dgm:presLayoutVars>
          <dgm:bulletEnabled val="1"/>
        </dgm:presLayoutVars>
      </dgm:prSet>
      <dgm:spPr/>
      <dgm:t>
        <a:bodyPr/>
        <a:lstStyle/>
        <a:p>
          <a:endParaRPr lang="es-CO"/>
        </a:p>
      </dgm:t>
    </dgm:pt>
    <dgm:pt modelId="{07E900D1-9284-4084-995A-3FB4F6702F56}" type="pres">
      <dgm:prSet presAssocID="{445E4B1C-8B13-40C5-92A7-78F70E6DE525}" presName="sibTrans" presStyleCnt="0"/>
      <dgm:spPr/>
    </dgm:pt>
    <dgm:pt modelId="{DC6CDDD2-E106-4996-AA68-4985B4C663A9}" type="pres">
      <dgm:prSet presAssocID="{55FEFC6A-50CB-47E6-9023-AFDD3022570C}" presName="textNode" presStyleLbl="node1" presStyleIdx="4" presStyleCnt="5">
        <dgm:presLayoutVars>
          <dgm:bulletEnabled val="1"/>
        </dgm:presLayoutVars>
      </dgm:prSet>
      <dgm:spPr/>
      <dgm:t>
        <a:bodyPr/>
        <a:lstStyle/>
        <a:p>
          <a:endParaRPr lang="es-CO"/>
        </a:p>
      </dgm:t>
    </dgm:pt>
  </dgm:ptLst>
  <dgm:cxnLst>
    <dgm:cxn modelId="{4BD6CE20-D2BE-44ED-9358-37A5E361ABF4}" srcId="{634A1889-8904-40B2-BA32-12623BA28CFB}" destId="{F0B2D4DB-C8F1-4E08-9CC6-5B2E04D80413}" srcOrd="2" destOrd="0" parTransId="{93598A32-3C06-4170-8C7A-81C4DA0AFF61}" sibTransId="{7C80ECE2-9976-43DD-AA14-51301F3CB934}"/>
    <dgm:cxn modelId="{0AE9703C-454C-4F74-8196-73F761D83D93}" srcId="{634A1889-8904-40B2-BA32-12623BA28CFB}" destId="{DE77DFAC-F056-4441-BA36-EE2A2CB9CDB4}" srcOrd="3" destOrd="0" parTransId="{2433B37D-73AA-4730-965A-9E6F40FA3536}" sibTransId="{445E4B1C-8B13-40C5-92A7-78F70E6DE525}"/>
    <dgm:cxn modelId="{AA8F4FF1-0399-4A4D-A259-3611AB48FA89}" type="presOf" srcId="{F0B2D4DB-C8F1-4E08-9CC6-5B2E04D80413}" destId="{0EE740EC-9E60-47FC-A5C9-C4B332DF5B85}" srcOrd="0" destOrd="0" presId="urn:microsoft.com/office/officeart/2005/8/layout/hProcess9"/>
    <dgm:cxn modelId="{54331FCA-1036-4733-86F5-9FB9D63B1B93}" type="presOf" srcId="{DE77DFAC-F056-4441-BA36-EE2A2CB9CDB4}" destId="{319DAFE8-23B9-4AB8-B3CC-C3ECA13E7168}" srcOrd="0" destOrd="0" presId="urn:microsoft.com/office/officeart/2005/8/layout/hProcess9"/>
    <dgm:cxn modelId="{E79B2F0B-F591-4D8B-8D31-22EF081FB2F5}" srcId="{634A1889-8904-40B2-BA32-12623BA28CFB}" destId="{55FEFC6A-50CB-47E6-9023-AFDD3022570C}" srcOrd="4" destOrd="0" parTransId="{AB3569CB-3481-42E8-B03E-08996083B1F0}" sibTransId="{5BE4C43A-F217-4E4C-9FCE-5E0DBDA3DCBB}"/>
    <dgm:cxn modelId="{5298C76E-A256-4341-9A3D-6E1FACBB10CE}" type="presOf" srcId="{892A7281-0CE1-45EA-8CA3-03C9DE766561}" destId="{0707DD12-4913-4BE8-9DD0-5C468A5B7B40}" srcOrd="0" destOrd="0" presId="urn:microsoft.com/office/officeart/2005/8/layout/hProcess9"/>
    <dgm:cxn modelId="{A6F844B1-B7C9-4EE1-ABA2-5A1589E2E427}" type="presOf" srcId="{A14AB28F-2638-4B88-87D6-E742DC44DF3A}" destId="{7D0B2EF1-CFFD-45A7-A1F1-D08EEE59E3B9}" srcOrd="0" destOrd="0" presId="urn:microsoft.com/office/officeart/2005/8/layout/hProcess9"/>
    <dgm:cxn modelId="{786DAB41-3249-4B0C-A436-911143BECF31}" srcId="{634A1889-8904-40B2-BA32-12623BA28CFB}" destId="{A14AB28F-2638-4B88-87D6-E742DC44DF3A}" srcOrd="1" destOrd="0" parTransId="{5AEEA418-4027-4086-A325-767616EADDD3}" sibTransId="{7DEAE258-4013-43A9-B2B2-12561BE29064}"/>
    <dgm:cxn modelId="{BACCB3EB-384E-499E-BA00-CF483C62E989}" srcId="{634A1889-8904-40B2-BA32-12623BA28CFB}" destId="{892A7281-0CE1-45EA-8CA3-03C9DE766561}" srcOrd="0" destOrd="0" parTransId="{0D790808-131D-4374-9CCB-1D5889A87BEA}" sibTransId="{E1116D62-7727-4DEC-A139-099130A122EE}"/>
    <dgm:cxn modelId="{02D4B208-32D1-4E0C-AF21-0D9007CF4501}" type="presOf" srcId="{634A1889-8904-40B2-BA32-12623BA28CFB}" destId="{7E69BDF4-DF6F-44A2-A55A-D484ED5BB202}" srcOrd="0" destOrd="0" presId="urn:microsoft.com/office/officeart/2005/8/layout/hProcess9"/>
    <dgm:cxn modelId="{3D0976D7-AC3A-4CD3-9D0C-BE0F00DAC615}" type="presOf" srcId="{55FEFC6A-50CB-47E6-9023-AFDD3022570C}" destId="{DC6CDDD2-E106-4996-AA68-4985B4C663A9}" srcOrd="0" destOrd="0" presId="urn:microsoft.com/office/officeart/2005/8/layout/hProcess9"/>
    <dgm:cxn modelId="{2EE4E2C1-E356-4C66-9ABA-85D6D7EB891C}" type="presParOf" srcId="{7E69BDF4-DF6F-44A2-A55A-D484ED5BB202}" destId="{F6399D7B-5D0D-49B7-8D49-F564AD1052A9}" srcOrd="0" destOrd="0" presId="urn:microsoft.com/office/officeart/2005/8/layout/hProcess9"/>
    <dgm:cxn modelId="{7941385F-1484-450F-8D01-58B72710A12D}" type="presParOf" srcId="{7E69BDF4-DF6F-44A2-A55A-D484ED5BB202}" destId="{BEBA40B0-7BE6-4C04-B9EA-FAD25852870E}" srcOrd="1" destOrd="0" presId="urn:microsoft.com/office/officeart/2005/8/layout/hProcess9"/>
    <dgm:cxn modelId="{559C1B5B-65D8-4AC4-990E-E0ABFE0D3062}" type="presParOf" srcId="{BEBA40B0-7BE6-4C04-B9EA-FAD25852870E}" destId="{0707DD12-4913-4BE8-9DD0-5C468A5B7B40}" srcOrd="0" destOrd="0" presId="urn:microsoft.com/office/officeart/2005/8/layout/hProcess9"/>
    <dgm:cxn modelId="{30DB7E28-A28F-48FD-8E40-C74D1004337E}" type="presParOf" srcId="{BEBA40B0-7BE6-4C04-B9EA-FAD25852870E}" destId="{DDA510DE-BADF-44CA-A33E-6AC87F699951}" srcOrd="1" destOrd="0" presId="urn:microsoft.com/office/officeart/2005/8/layout/hProcess9"/>
    <dgm:cxn modelId="{5E0F9890-B00A-4E4E-B636-9567A7A8F885}" type="presParOf" srcId="{BEBA40B0-7BE6-4C04-B9EA-FAD25852870E}" destId="{7D0B2EF1-CFFD-45A7-A1F1-D08EEE59E3B9}" srcOrd="2" destOrd="0" presId="urn:microsoft.com/office/officeart/2005/8/layout/hProcess9"/>
    <dgm:cxn modelId="{EDAA48BB-92C8-49FB-A146-6B6948DDA9AF}" type="presParOf" srcId="{BEBA40B0-7BE6-4C04-B9EA-FAD25852870E}" destId="{382419B8-E694-4CFB-84DE-DAAD530D2EC3}" srcOrd="3" destOrd="0" presId="urn:microsoft.com/office/officeart/2005/8/layout/hProcess9"/>
    <dgm:cxn modelId="{6CF2B428-D1CB-44D3-BFE2-A438D3783C50}" type="presParOf" srcId="{BEBA40B0-7BE6-4C04-B9EA-FAD25852870E}" destId="{0EE740EC-9E60-47FC-A5C9-C4B332DF5B85}" srcOrd="4" destOrd="0" presId="urn:microsoft.com/office/officeart/2005/8/layout/hProcess9"/>
    <dgm:cxn modelId="{544250D3-BCE6-4FDA-958B-029F188EB817}" type="presParOf" srcId="{BEBA40B0-7BE6-4C04-B9EA-FAD25852870E}" destId="{D81AFFE0-28E5-48D0-B3B1-E004259DD02C}" srcOrd="5" destOrd="0" presId="urn:microsoft.com/office/officeart/2005/8/layout/hProcess9"/>
    <dgm:cxn modelId="{FE286442-55A6-440D-9590-ABD14F14001F}" type="presParOf" srcId="{BEBA40B0-7BE6-4C04-B9EA-FAD25852870E}" destId="{319DAFE8-23B9-4AB8-B3CC-C3ECA13E7168}" srcOrd="6" destOrd="0" presId="urn:microsoft.com/office/officeart/2005/8/layout/hProcess9"/>
    <dgm:cxn modelId="{75EDCFCE-80A3-4E45-873B-1714A0ADB9B8}" type="presParOf" srcId="{BEBA40B0-7BE6-4C04-B9EA-FAD25852870E}" destId="{07E900D1-9284-4084-995A-3FB4F6702F56}" srcOrd="7" destOrd="0" presId="urn:microsoft.com/office/officeart/2005/8/layout/hProcess9"/>
    <dgm:cxn modelId="{6C59358B-851D-4CC9-B7A3-3A2DC0E29274}" type="presParOf" srcId="{BEBA40B0-7BE6-4C04-B9EA-FAD25852870E}" destId="{DC6CDDD2-E106-4996-AA68-4985B4C663A9}" srcOrd="8" destOrd="0" presId="urn:microsoft.com/office/officeart/2005/8/layout/hProcess9"/>
  </dgm:cxnLst>
  <dgm:bg/>
  <dgm:whole/>
  <dgm:extLst>
    <a:ext uri="http://schemas.microsoft.com/office/drawing/2008/diagram">
      <dsp:dataModelExt xmlns:dsp="http://schemas.microsoft.com/office/drawing/2008/diagram" xmlns="" relId="rId6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2E8BE5C-5012-480F-9A85-5C8CBB7C2BFB}"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es-CO"/>
        </a:p>
      </dgm:t>
    </dgm:pt>
    <dgm:pt modelId="{6197A973-6F1D-45AC-9009-03A77E7596DB}">
      <dgm:prSet phldrT="[Texto]" custT="1"/>
      <dgm:spPr/>
      <dgm:t>
        <a:bodyPr/>
        <a:lstStyle/>
        <a:p>
          <a:r>
            <a:rPr lang="es-CO" sz="1100">
              <a:latin typeface="Arial Narrow" pitchFamily="34" charset="0"/>
            </a:rPr>
            <a:t>Construir la hipótesis de la evaluación</a:t>
          </a:r>
        </a:p>
      </dgm:t>
    </dgm:pt>
    <dgm:pt modelId="{AE3C820E-AFDE-4A33-8B48-D90D3E44028E}" type="parTrans" cxnId="{6D67E7DF-39CF-4980-8387-5284CCC0CB4A}">
      <dgm:prSet/>
      <dgm:spPr/>
      <dgm:t>
        <a:bodyPr/>
        <a:lstStyle/>
        <a:p>
          <a:endParaRPr lang="es-CO" sz="1100">
            <a:latin typeface="Arial Narrow" pitchFamily="34" charset="0"/>
          </a:endParaRPr>
        </a:p>
      </dgm:t>
    </dgm:pt>
    <dgm:pt modelId="{C289F98D-8077-40C1-9F0C-EE555C35C195}" type="sibTrans" cxnId="{6D67E7DF-39CF-4980-8387-5284CCC0CB4A}">
      <dgm:prSet custT="1"/>
      <dgm:spPr/>
      <dgm:t>
        <a:bodyPr/>
        <a:lstStyle/>
        <a:p>
          <a:endParaRPr lang="es-CO" sz="1100">
            <a:latin typeface="Arial Narrow" pitchFamily="34" charset="0"/>
          </a:endParaRPr>
        </a:p>
      </dgm:t>
    </dgm:pt>
    <dgm:pt modelId="{00EC42EE-4371-4C28-A1E5-649ABBFF24C9}">
      <dgm:prSet phldrT="[Texto]" custT="1"/>
      <dgm:spPr/>
      <dgm:t>
        <a:bodyPr/>
        <a:lstStyle/>
        <a:p>
          <a:r>
            <a:rPr lang="es-CO" sz="1100">
              <a:latin typeface="Arial Narrow" pitchFamily="34" charset="0"/>
            </a:rPr>
            <a:t>Definir objetivos y alcance de la evaluación </a:t>
          </a:r>
        </a:p>
      </dgm:t>
    </dgm:pt>
    <dgm:pt modelId="{BDC3C8DB-F953-47B3-8F4F-213E031CE43F}" type="parTrans" cxnId="{5CEC7D42-8BD4-442C-AF3F-0CB6F90BDA63}">
      <dgm:prSet/>
      <dgm:spPr/>
      <dgm:t>
        <a:bodyPr/>
        <a:lstStyle/>
        <a:p>
          <a:endParaRPr lang="es-CO" sz="1100">
            <a:latin typeface="Arial Narrow" pitchFamily="34" charset="0"/>
          </a:endParaRPr>
        </a:p>
      </dgm:t>
    </dgm:pt>
    <dgm:pt modelId="{3A1AFD64-556E-4013-99F9-8EB794489B95}" type="sibTrans" cxnId="{5CEC7D42-8BD4-442C-AF3F-0CB6F90BDA63}">
      <dgm:prSet custT="1"/>
      <dgm:spPr/>
      <dgm:t>
        <a:bodyPr/>
        <a:lstStyle/>
        <a:p>
          <a:endParaRPr lang="es-CO" sz="1100">
            <a:latin typeface="Arial Narrow" pitchFamily="34" charset="0"/>
          </a:endParaRPr>
        </a:p>
      </dgm:t>
    </dgm:pt>
    <dgm:pt modelId="{DB67E216-040A-43A7-9FBC-8B634078197C}">
      <dgm:prSet phldrT="[Texto]" custT="1"/>
      <dgm:spPr/>
      <dgm:t>
        <a:bodyPr/>
        <a:lstStyle/>
        <a:p>
          <a:r>
            <a:rPr lang="es-CO" sz="1100">
              <a:latin typeface="Arial Narrow" pitchFamily="34" charset="0"/>
            </a:rPr>
            <a:t>Seleccionar tipo de evaluación</a:t>
          </a:r>
        </a:p>
      </dgm:t>
    </dgm:pt>
    <dgm:pt modelId="{2AB2AF3F-0697-40AC-A953-1E5AD5CFB0C5}" type="parTrans" cxnId="{789AE607-90A7-4882-BBB0-D49C0B625AB0}">
      <dgm:prSet/>
      <dgm:spPr/>
      <dgm:t>
        <a:bodyPr/>
        <a:lstStyle/>
        <a:p>
          <a:endParaRPr lang="es-CO" sz="1100">
            <a:latin typeface="Arial Narrow" pitchFamily="34" charset="0"/>
          </a:endParaRPr>
        </a:p>
      </dgm:t>
    </dgm:pt>
    <dgm:pt modelId="{0319CEC5-6C8B-4A01-BD5A-6FC6764A1025}" type="sibTrans" cxnId="{789AE607-90A7-4882-BBB0-D49C0B625AB0}">
      <dgm:prSet/>
      <dgm:spPr/>
      <dgm:t>
        <a:bodyPr/>
        <a:lstStyle/>
        <a:p>
          <a:endParaRPr lang="es-CO" sz="1100">
            <a:latin typeface="Arial Narrow" pitchFamily="34" charset="0"/>
          </a:endParaRPr>
        </a:p>
      </dgm:t>
    </dgm:pt>
    <dgm:pt modelId="{2A96CCE8-EEAC-489B-B682-BB2ED3D6D9DC}" type="pres">
      <dgm:prSet presAssocID="{42E8BE5C-5012-480F-9A85-5C8CBB7C2BFB}" presName="outerComposite" presStyleCnt="0">
        <dgm:presLayoutVars>
          <dgm:chMax val="5"/>
          <dgm:dir/>
          <dgm:resizeHandles val="exact"/>
        </dgm:presLayoutVars>
      </dgm:prSet>
      <dgm:spPr/>
      <dgm:t>
        <a:bodyPr/>
        <a:lstStyle/>
        <a:p>
          <a:endParaRPr lang="es-CO"/>
        </a:p>
      </dgm:t>
    </dgm:pt>
    <dgm:pt modelId="{CD8252A2-8C03-49CF-A58C-E7C21B0CB433}" type="pres">
      <dgm:prSet presAssocID="{42E8BE5C-5012-480F-9A85-5C8CBB7C2BFB}" presName="dummyMaxCanvas" presStyleCnt="0">
        <dgm:presLayoutVars/>
      </dgm:prSet>
      <dgm:spPr/>
    </dgm:pt>
    <dgm:pt modelId="{974A3BFB-BD60-4DF8-80E5-FC4E49185ACD}" type="pres">
      <dgm:prSet presAssocID="{42E8BE5C-5012-480F-9A85-5C8CBB7C2BFB}" presName="ThreeNodes_1" presStyleLbl="node1" presStyleIdx="0" presStyleCnt="3" custScaleX="57897">
        <dgm:presLayoutVars>
          <dgm:bulletEnabled val="1"/>
        </dgm:presLayoutVars>
      </dgm:prSet>
      <dgm:spPr/>
      <dgm:t>
        <a:bodyPr/>
        <a:lstStyle/>
        <a:p>
          <a:endParaRPr lang="es-CO"/>
        </a:p>
      </dgm:t>
    </dgm:pt>
    <dgm:pt modelId="{3C044F0E-4866-4344-ABEE-16A6AE410BFB}" type="pres">
      <dgm:prSet presAssocID="{42E8BE5C-5012-480F-9A85-5C8CBB7C2BFB}" presName="ThreeNodes_2" presStyleLbl="node1" presStyleIdx="1" presStyleCnt="3" custScaleX="57897">
        <dgm:presLayoutVars>
          <dgm:bulletEnabled val="1"/>
        </dgm:presLayoutVars>
      </dgm:prSet>
      <dgm:spPr/>
      <dgm:t>
        <a:bodyPr/>
        <a:lstStyle/>
        <a:p>
          <a:endParaRPr lang="es-CO"/>
        </a:p>
      </dgm:t>
    </dgm:pt>
    <dgm:pt modelId="{1E8FC9E4-F864-4939-AD0B-4A89E2F7C2E2}" type="pres">
      <dgm:prSet presAssocID="{42E8BE5C-5012-480F-9A85-5C8CBB7C2BFB}" presName="ThreeNodes_3" presStyleLbl="node1" presStyleIdx="2" presStyleCnt="3" custScaleX="57897">
        <dgm:presLayoutVars>
          <dgm:bulletEnabled val="1"/>
        </dgm:presLayoutVars>
      </dgm:prSet>
      <dgm:spPr/>
      <dgm:t>
        <a:bodyPr/>
        <a:lstStyle/>
        <a:p>
          <a:endParaRPr lang="es-CO"/>
        </a:p>
      </dgm:t>
    </dgm:pt>
    <dgm:pt modelId="{FA7AE666-0BC2-43BA-BAC4-162D4F02A48D}" type="pres">
      <dgm:prSet presAssocID="{42E8BE5C-5012-480F-9A85-5C8CBB7C2BFB}" presName="ThreeConn_1-2" presStyleLbl="fgAccFollowNode1" presStyleIdx="0" presStyleCnt="2" custLinFactX="-180845" custLinFactNeighborX="-200000" custLinFactNeighborY="-15083">
        <dgm:presLayoutVars>
          <dgm:bulletEnabled val="1"/>
        </dgm:presLayoutVars>
      </dgm:prSet>
      <dgm:spPr/>
      <dgm:t>
        <a:bodyPr/>
        <a:lstStyle/>
        <a:p>
          <a:endParaRPr lang="es-CO"/>
        </a:p>
      </dgm:t>
    </dgm:pt>
    <dgm:pt modelId="{314BB451-FE2D-4360-9E8A-1CBCA14036BB}" type="pres">
      <dgm:prSet presAssocID="{42E8BE5C-5012-480F-9A85-5C8CBB7C2BFB}" presName="ThreeConn_2-3" presStyleLbl="fgAccFollowNode1" presStyleIdx="1" presStyleCnt="2" custLinFactX="-180845" custLinFactNeighborX="-200000" custLinFactNeighborY="-15083">
        <dgm:presLayoutVars>
          <dgm:bulletEnabled val="1"/>
        </dgm:presLayoutVars>
      </dgm:prSet>
      <dgm:spPr/>
      <dgm:t>
        <a:bodyPr/>
        <a:lstStyle/>
        <a:p>
          <a:endParaRPr lang="es-CO"/>
        </a:p>
      </dgm:t>
    </dgm:pt>
    <dgm:pt modelId="{BD2D534A-428A-40D7-B167-01D7216567CB}" type="pres">
      <dgm:prSet presAssocID="{42E8BE5C-5012-480F-9A85-5C8CBB7C2BFB}" presName="ThreeNodes_1_text" presStyleLbl="node1" presStyleIdx="2" presStyleCnt="3">
        <dgm:presLayoutVars>
          <dgm:bulletEnabled val="1"/>
        </dgm:presLayoutVars>
      </dgm:prSet>
      <dgm:spPr/>
      <dgm:t>
        <a:bodyPr/>
        <a:lstStyle/>
        <a:p>
          <a:endParaRPr lang="es-CO"/>
        </a:p>
      </dgm:t>
    </dgm:pt>
    <dgm:pt modelId="{4B4E6704-9F08-4BFD-B250-E39CCD5D0B43}" type="pres">
      <dgm:prSet presAssocID="{42E8BE5C-5012-480F-9A85-5C8CBB7C2BFB}" presName="ThreeNodes_2_text" presStyleLbl="node1" presStyleIdx="2" presStyleCnt="3">
        <dgm:presLayoutVars>
          <dgm:bulletEnabled val="1"/>
        </dgm:presLayoutVars>
      </dgm:prSet>
      <dgm:spPr/>
      <dgm:t>
        <a:bodyPr/>
        <a:lstStyle/>
        <a:p>
          <a:endParaRPr lang="es-CO"/>
        </a:p>
      </dgm:t>
    </dgm:pt>
    <dgm:pt modelId="{25BEC3DA-ED10-4446-837E-B8C46A9BCC36}" type="pres">
      <dgm:prSet presAssocID="{42E8BE5C-5012-480F-9A85-5C8CBB7C2BFB}" presName="ThreeNodes_3_text" presStyleLbl="node1" presStyleIdx="2" presStyleCnt="3">
        <dgm:presLayoutVars>
          <dgm:bulletEnabled val="1"/>
        </dgm:presLayoutVars>
      </dgm:prSet>
      <dgm:spPr/>
      <dgm:t>
        <a:bodyPr/>
        <a:lstStyle/>
        <a:p>
          <a:endParaRPr lang="es-CO"/>
        </a:p>
      </dgm:t>
    </dgm:pt>
  </dgm:ptLst>
  <dgm:cxnLst>
    <dgm:cxn modelId="{F0209889-1A11-422E-B13C-31E9A7984E93}" type="presOf" srcId="{DB67E216-040A-43A7-9FBC-8B634078197C}" destId="{1E8FC9E4-F864-4939-AD0B-4A89E2F7C2E2}" srcOrd="0" destOrd="0" presId="urn:microsoft.com/office/officeart/2005/8/layout/vProcess5"/>
    <dgm:cxn modelId="{6D67E7DF-39CF-4980-8387-5284CCC0CB4A}" srcId="{42E8BE5C-5012-480F-9A85-5C8CBB7C2BFB}" destId="{6197A973-6F1D-45AC-9009-03A77E7596DB}" srcOrd="0" destOrd="0" parTransId="{AE3C820E-AFDE-4A33-8B48-D90D3E44028E}" sibTransId="{C289F98D-8077-40C1-9F0C-EE555C35C195}"/>
    <dgm:cxn modelId="{C6934B7D-43C2-4FAA-886C-3E7CD7AB52FD}" type="presOf" srcId="{00EC42EE-4371-4C28-A1E5-649ABBFF24C9}" destId="{4B4E6704-9F08-4BFD-B250-E39CCD5D0B43}" srcOrd="1" destOrd="0" presId="urn:microsoft.com/office/officeart/2005/8/layout/vProcess5"/>
    <dgm:cxn modelId="{FA6DA147-D7ED-40E6-8B5F-11D5134D451E}" type="presOf" srcId="{6197A973-6F1D-45AC-9009-03A77E7596DB}" destId="{974A3BFB-BD60-4DF8-80E5-FC4E49185ACD}" srcOrd="0" destOrd="0" presId="urn:microsoft.com/office/officeart/2005/8/layout/vProcess5"/>
    <dgm:cxn modelId="{5021F340-E409-456A-909A-FAEE081D4239}" type="presOf" srcId="{DB67E216-040A-43A7-9FBC-8B634078197C}" destId="{25BEC3DA-ED10-4446-837E-B8C46A9BCC36}" srcOrd="1" destOrd="0" presId="urn:microsoft.com/office/officeart/2005/8/layout/vProcess5"/>
    <dgm:cxn modelId="{A50007F8-47F6-4EB4-A007-3ADC8AF10946}" type="presOf" srcId="{C289F98D-8077-40C1-9F0C-EE555C35C195}" destId="{FA7AE666-0BC2-43BA-BAC4-162D4F02A48D}" srcOrd="0" destOrd="0" presId="urn:microsoft.com/office/officeart/2005/8/layout/vProcess5"/>
    <dgm:cxn modelId="{0300CBD8-29AE-4CB0-9AAF-04E8060392BD}" type="presOf" srcId="{3A1AFD64-556E-4013-99F9-8EB794489B95}" destId="{314BB451-FE2D-4360-9E8A-1CBCA14036BB}" srcOrd="0" destOrd="0" presId="urn:microsoft.com/office/officeart/2005/8/layout/vProcess5"/>
    <dgm:cxn modelId="{789AE607-90A7-4882-BBB0-D49C0B625AB0}" srcId="{42E8BE5C-5012-480F-9A85-5C8CBB7C2BFB}" destId="{DB67E216-040A-43A7-9FBC-8B634078197C}" srcOrd="2" destOrd="0" parTransId="{2AB2AF3F-0697-40AC-A953-1E5AD5CFB0C5}" sibTransId="{0319CEC5-6C8B-4A01-BD5A-6FC6764A1025}"/>
    <dgm:cxn modelId="{AD5D1F72-D2C7-4B1E-93D0-ECFB3EB9C1C1}" type="presOf" srcId="{00EC42EE-4371-4C28-A1E5-649ABBFF24C9}" destId="{3C044F0E-4866-4344-ABEE-16A6AE410BFB}" srcOrd="0" destOrd="0" presId="urn:microsoft.com/office/officeart/2005/8/layout/vProcess5"/>
    <dgm:cxn modelId="{5CEC7D42-8BD4-442C-AF3F-0CB6F90BDA63}" srcId="{42E8BE5C-5012-480F-9A85-5C8CBB7C2BFB}" destId="{00EC42EE-4371-4C28-A1E5-649ABBFF24C9}" srcOrd="1" destOrd="0" parTransId="{BDC3C8DB-F953-47B3-8F4F-213E031CE43F}" sibTransId="{3A1AFD64-556E-4013-99F9-8EB794489B95}"/>
    <dgm:cxn modelId="{54E6BBDC-3E44-46E2-A507-371E0F12F440}" type="presOf" srcId="{42E8BE5C-5012-480F-9A85-5C8CBB7C2BFB}" destId="{2A96CCE8-EEAC-489B-B682-BB2ED3D6D9DC}" srcOrd="0" destOrd="0" presId="urn:microsoft.com/office/officeart/2005/8/layout/vProcess5"/>
    <dgm:cxn modelId="{19E535F8-7067-44CB-8299-5EE25170D48C}" type="presOf" srcId="{6197A973-6F1D-45AC-9009-03A77E7596DB}" destId="{BD2D534A-428A-40D7-B167-01D7216567CB}" srcOrd="1" destOrd="0" presId="urn:microsoft.com/office/officeart/2005/8/layout/vProcess5"/>
    <dgm:cxn modelId="{8851F34A-4F88-4AF3-BC22-2CEF10F7222B}" type="presParOf" srcId="{2A96CCE8-EEAC-489B-B682-BB2ED3D6D9DC}" destId="{CD8252A2-8C03-49CF-A58C-E7C21B0CB433}" srcOrd="0" destOrd="0" presId="urn:microsoft.com/office/officeart/2005/8/layout/vProcess5"/>
    <dgm:cxn modelId="{223CA671-7268-43A4-9647-DDE02409BA47}" type="presParOf" srcId="{2A96CCE8-EEAC-489B-B682-BB2ED3D6D9DC}" destId="{974A3BFB-BD60-4DF8-80E5-FC4E49185ACD}" srcOrd="1" destOrd="0" presId="urn:microsoft.com/office/officeart/2005/8/layout/vProcess5"/>
    <dgm:cxn modelId="{82AE1F29-628E-45EB-8805-750736489CA7}" type="presParOf" srcId="{2A96CCE8-EEAC-489B-B682-BB2ED3D6D9DC}" destId="{3C044F0E-4866-4344-ABEE-16A6AE410BFB}" srcOrd="2" destOrd="0" presId="urn:microsoft.com/office/officeart/2005/8/layout/vProcess5"/>
    <dgm:cxn modelId="{447F5A90-C09E-467D-92EB-D51A86CF7714}" type="presParOf" srcId="{2A96CCE8-EEAC-489B-B682-BB2ED3D6D9DC}" destId="{1E8FC9E4-F864-4939-AD0B-4A89E2F7C2E2}" srcOrd="3" destOrd="0" presId="urn:microsoft.com/office/officeart/2005/8/layout/vProcess5"/>
    <dgm:cxn modelId="{3F3E6FA8-7BB0-415F-8819-230CEB06F294}" type="presParOf" srcId="{2A96CCE8-EEAC-489B-B682-BB2ED3D6D9DC}" destId="{FA7AE666-0BC2-43BA-BAC4-162D4F02A48D}" srcOrd="4" destOrd="0" presId="urn:microsoft.com/office/officeart/2005/8/layout/vProcess5"/>
    <dgm:cxn modelId="{3A709140-189E-4F13-8E06-16A49013715F}" type="presParOf" srcId="{2A96CCE8-EEAC-489B-B682-BB2ED3D6D9DC}" destId="{314BB451-FE2D-4360-9E8A-1CBCA14036BB}" srcOrd="5" destOrd="0" presId="urn:microsoft.com/office/officeart/2005/8/layout/vProcess5"/>
    <dgm:cxn modelId="{CA0861F0-2493-4FC6-8E29-D005284FF2C6}" type="presParOf" srcId="{2A96CCE8-EEAC-489B-B682-BB2ED3D6D9DC}" destId="{BD2D534A-428A-40D7-B167-01D7216567CB}" srcOrd="6" destOrd="0" presId="urn:microsoft.com/office/officeart/2005/8/layout/vProcess5"/>
    <dgm:cxn modelId="{7F313896-DA3A-4B08-BB73-F46FFE6F5BB2}" type="presParOf" srcId="{2A96CCE8-EEAC-489B-B682-BB2ED3D6D9DC}" destId="{4B4E6704-9F08-4BFD-B250-E39CCD5D0B43}" srcOrd="7" destOrd="0" presId="urn:microsoft.com/office/officeart/2005/8/layout/vProcess5"/>
    <dgm:cxn modelId="{085E652B-5A45-4663-A028-6DC463EA2241}" type="presParOf" srcId="{2A96CCE8-EEAC-489B-B682-BB2ED3D6D9DC}" destId="{25BEC3DA-ED10-4446-837E-B8C46A9BCC36}" srcOrd="8" destOrd="0" presId="urn:microsoft.com/office/officeart/2005/8/layout/vProcess5"/>
  </dgm:cxnLst>
  <dgm:bg/>
  <dgm:whole/>
  <dgm:extLst>
    <a:ext uri="http://schemas.microsoft.com/office/drawing/2008/diagram">
      <dsp:dataModelExt xmlns:dsp="http://schemas.microsoft.com/office/drawing/2008/diagram" xmlns="" relId="rId6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BCB184E8-E10D-4475-99B9-55D713332FC8}" type="doc">
      <dgm:prSet loTypeId="urn:microsoft.com/office/officeart/2005/8/layout/hierarchy4" loCatId="hierarchy" qsTypeId="urn:microsoft.com/office/officeart/2005/8/quickstyle/simple1" qsCatId="simple" csTypeId="urn:microsoft.com/office/officeart/2005/8/colors/accent1_2" csCatId="accent1" phldr="1"/>
      <dgm:spPr/>
      <dgm:t>
        <a:bodyPr/>
        <a:lstStyle/>
        <a:p>
          <a:endParaRPr lang="es-CO"/>
        </a:p>
      </dgm:t>
    </dgm:pt>
    <dgm:pt modelId="{9DB39884-47BE-415C-8E55-12023C602198}">
      <dgm:prSet phldrT="[Texto]" custT="1"/>
      <dgm:spPr>
        <a:solidFill>
          <a:schemeClr val="accent3"/>
        </a:solidFill>
      </dgm:spPr>
      <dgm:t>
        <a:bodyPr/>
        <a:lstStyle/>
        <a:p>
          <a:pPr algn="ctr"/>
          <a:r>
            <a:rPr lang="es-CO" sz="1100" b="1">
              <a:latin typeface="Arial Narrow" pitchFamily="34" charset="0"/>
            </a:rPr>
            <a:t>Resultados</a:t>
          </a:r>
        </a:p>
      </dgm:t>
    </dgm:pt>
    <dgm:pt modelId="{F87B8EC0-FC33-4734-8EFC-DF75D120B905}" type="parTrans" cxnId="{0E77ECFB-E83A-4DE5-8D62-82C6AD2AB504}">
      <dgm:prSet/>
      <dgm:spPr/>
      <dgm:t>
        <a:bodyPr/>
        <a:lstStyle/>
        <a:p>
          <a:pPr algn="ctr"/>
          <a:endParaRPr lang="es-CO" sz="1100">
            <a:latin typeface="Arial Narrow" pitchFamily="34" charset="0"/>
          </a:endParaRPr>
        </a:p>
      </dgm:t>
    </dgm:pt>
    <dgm:pt modelId="{7F2FAE87-1B6F-4A1A-B819-7B53C781967A}" type="sibTrans" cxnId="{0E77ECFB-E83A-4DE5-8D62-82C6AD2AB504}">
      <dgm:prSet/>
      <dgm:spPr/>
      <dgm:t>
        <a:bodyPr/>
        <a:lstStyle/>
        <a:p>
          <a:pPr algn="ctr"/>
          <a:endParaRPr lang="es-CO" sz="1100">
            <a:latin typeface="Arial Narrow" pitchFamily="34" charset="0"/>
          </a:endParaRPr>
        </a:p>
      </dgm:t>
    </dgm:pt>
    <dgm:pt modelId="{56C8F9B5-3E6A-4D4C-8808-BD4B1F34A24C}">
      <dgm:prSet phldrT="[Texto]" custT="1"/>
      <dgm:spPr>
        <a:solidFill>
          <a:schemeClr val="accent3"/>
        </a:solidFill>
      </dgm:spPr>
      <dgm:t>
        <a:bodyPr/>
        <a:lstStyle/>
        <a:p>
          <a:pPr algn="ctr"/>
          <a:r>
            <a:rPr lang="es-CO" sz="1100">
              <a:latin typeface="Arial Narrow" pitchFamily="34" charset="0"/>
            </a:rPr>
            <a:t>Indicadores</a:t>
          </a:r>
        </a:p>
      </dgm:t>
    </dgm:pt>
    <dgm:pt modelId="{60D7D3B3-37AC-4E56-94D5-85A1C2B6753A}" type="parTrans" cxnId="{D5C4755F-E74A-4FA0-9655-F60F8515E108}">
      <dgm:prSet/>
      <dgm:spPr/>
      <dgm:t>
        <a:bodyPr/>
        <a:lstStyle/>
        <a:p>
          <a:pPr algn="ctr"/>
          <a:endParaRPr lang="es-CO" sz="1100">
            <a:latin typeface="Arial Narrow" pitchFamily="34" charset="0"/>
          </a:endParaRPr>
        </a:p>
      </dgm:t>
    </dgm:pt>
    <dgm:pt modelId="{878A9044-F37E-4A77-8B15-E0CC2F76CB2A}" type="sibTrans" cxnId="{D5C4755F-E74A-4FA0-9655-F60F8515E108}">
      <dgm:prSet/>
      <dgm:spPr/>
      <dgm:t>
        <a:bodyPr/>
        <a:lstStyle/>
        <a:p>
          <a:pPr algn="ctr"/>
          <a:endParaRPr lang="es-CO" sz="1100">
            <a:latin typeface="Arial Narrow" pitchFamily="34" charset="0"/>
          </a:endParaRPr>
        </a:p>
      </dgm:t>
    </dgm:pt>
    <dgm:pt modelId="{F1921FC6-2ECE-4B1B-8FE7-EB4C64D68A25}">
      <dgm:prSet phldrT="[Texto]" custT="1"/>
      <dgm:spPr>
        <a:solidFill>
          <a:schemeClr val="accent3"/>
        </a:solidFill>
      </dgm:spPr>
      <dgm:t>
        <a:bodyPr/>
        <a:lstStyle/>
        <a:p>
          <a:pPr algn="ctr"/>
          <a:r>
            <a:rPr lang="es-CO" sz="1100">
              <a:latin typeface="Arial Narrow" pitchFamily="34" charset="0"/>
            </a:rPr>
            <a:t>Cuantitativos</a:t>
          </a:r>
        </a:p>
      </dgm:t>
    </dgm:pt>
    <dgm:pt modelId="{21F3AF7F-3FB2-400D-A7CB-E48C94D9E887}" type="parTrans" cxnId="{D2FC4A6F-A8E5-4419-A88F-F7EB9F552DCD}">
      <dgm:prSet/>
      <dgm:spPr/>
      <dgm:t>
        <a:bodyPr/>
        <a:lstStyle/>
        <a:p>
          <a:pPr algn="ctr"/>
          <a:endParaRPr lang="es-CO" sz="1100">
            <a:latin typeface="Arial Narrow" pitchFamily="34" charset="0"/>
          </a:endParaRPr>
        </a:p>
      </dgm:t>
    </dgm:pt>
    <dgm:pt modelId="{8686B516-05EE-424E-B8D8-FCEE37055851}" type="sibTrans" cxnId="{D2FC4A6F-A8E5-4419-A88F-F7EB9F552DCD}">
      <dgm:prSet/>
      <dgm:spPr/>
      <dgm:t>
        <a:bodyPr/>
        <a:lstStyle/>
        <a:p>
          <a:pPr algn="ctr"/>
          <a:endParaRPr lang="es-CO" sz="1100">
            <a:latin typeface="Arial Narrow" pitchFamily="34" charset="0"/>
          </a:endParaRPr>
        </a:p>
      </dgm:t>
    </dgm:pt>
    <dgm:pt modelId="{5173BD15-A9E7-4E09-BF4B-C358071152C5}">
      <dgm:prSet phldrT="[Texto]" custT="1"/>
      <dgm:spPr>
        <a:solidFill>
          <a:schemeClr val="accent4"/>
        </a:solidFill>
      </dgm:spPr>
      <dgm:t>
        <a:bodyPr/>
        <a:lstStyle/>
        <a:p>
          <a:pPr algn="ctr"/>
          <a:r>
            <a:rPr lang="es-CO" sz="1100" b="1">
              <a:latin typeface="Arial Narrow" pitchFamily="34" charset="0"/>
            </a:rPr>
            <a:t>Impacto</a:t>
          </a:r>
        </a:p>
      </dgm:t>
    </dgm:pt>
    <dgm:pt modelId="{EC1BAA2A-CE83-42DB-A5DB-285143F1E892}" type="parTrans" cxnId="{EA5EC7C3-11D8-46F9-AE2F-440FBAC57807}">
      <dgm:prSet/>
      <dgm:spPr/>
      <dgm:t>
        <a:bodyPr/>
        <a:lstStyle/>
        <a:p>
          <a:pPr algn="ctr"/>
          <a:endParaRPr lang="es-CO" sz="1100">
            <a:latin typeface="Arial Narrow" pitchFamily="34" charset="0"/>
          </a:endParaRPr>
        </a:p>
      </dgm:t>
    </dgm:pt>
    <dgm:pt modelId="{8AED34DB-6DE1-4A97-8AB3-A7F6BFA466C7}" type="sibTrans" cxnId="{EA5EC7C3-11D8-46F9-AE2F-440FBAC57807}">
      <dgm:prSet/>
      <dgm:spPr/>
      <dgm:t>
        <a:bodyPr/>
        <a:lstStyle/>
        <a:p>
          <a:pPr algn="ctr"/>
          <a:endParaRPr lang="es-CO" sz="1100">
            <a:latin typeface="Arial Narrow" pitchFamily="34" charset="0"/>
          </a:endParaRPr>
        </a:p>
      </dgm:t>
    </dgm:pt>
    <dgm:pt modelId="{987B1C44-0A85-40BD-9834-02BE6DAFBEC5}">
      <dgm:prSet phldrT="[Texto]" custT="1"/>
      <dgm:spPr>
        <a:solidFill>
          <a:schemeClr val="accent4"/>
        </a:solidFill>
      </dgm:spPr>
      <dgm:t>
        <a:bodyPr/>
        <a:lstStyle/>
        <a:p>
          <a:pPr algn="ctr"/>
          <a:r>
            <a:rPr lang="es-CO" sz="1100">
              <a:latin typeface="Arial Narrow" pitchFamily="34" charset="0"/>
            </a:rPr>
            <a:t>Experimentos</a:t>
          </a:r>
        </a:p>
      </dgm:t>
    </dgm:pt>
    <dgm:pt modelId="{8E385AC3-9A39-4F92-9B8E-E803A305AB07}" type="parTrans" cxnId="{C42BD29A-6592-4A0C-86B1-F3BB437B36B5}">
      <dgm:prSet/>
      <dgm:spPr/>
      <dgm:t>
        <a:bodyPr/>
        <a:lstStyle/>
        <a:p>
          <a:pPr algn="ctr"/>
          <a:endParaRPr lang="es-CO" sz="1100">
            <a:latin typeface="Arial Narrow" pitchFamily="34" charset="0"/>
          </a:endParaRPr>
        </a:p>
      </dgm:t>
    </dgm:pt>
    <dgm:pt modelId="{B6D26FC1-2A45-46E7-81E6-21389756A1B3}" type="sibTrans" cxnId="{C42BD29A-6592-4A0C-86B1-F3BB437B36B5}">
      <dgm:prSet/>
      <dgm:spPr/>
      <dgm:t>
        <a:bodyPr/>
        <a:lstStyle/>
        <a:p>
          <a:pPr algn="ctr"/>
          <a:endParaRPr lang="es-CO" sz="1100">
            <a:latin typeface="Arial Narrow" pitchFamily="34" charset="0"/>
          </a:endParaRPr>
        </a:p>
      </dgm:t>
    </dgm:pt>
    <dgm:pt modelId="{7E0D3F1A-29E8-4181-BFFF-2DB38F6164A0}">
      <dgm:prSet phldrT="[Texto]" custT="1"/>
      <dgm:spPr>
        <a:solidFill>
          <a:schemeClr val="accent4"/>
        </a:solidFill>
      </dgm:spPr>
      <dgm:t>
        <a:bodyPr/>
        <a:lstStyle/>
        <a:p>
          <a:pPr algn="ctr"/>
          <a:r>
            <a:rPr lang="es-CO" sz="1100">
              <a:latin typeface="Arial Narrow" pitchFamily="34" charset="0"/>
            </a:rPr>
            <a:t>PSM</a:t>
          </a:r>
        </a:p>
      </dgm:t>
    </dgm:pt>
    <dgm:pt modelId="{72D616A8-F5EC-4EF6-8A75-E2F30AE7D858}" type="parTrans" cxnId="{16920D7D-D1FA-4F2A-8CB6-A655B1ADAF85}">
      <dgm:prSet/>
      <dgm:spPr/>
      <dgm:t>
        <a:bodyPr/>
        <a:lstStyle/>
        <a:p>
          <a:pPr algn="ctr"/>
          <a:endParaRPr lang="es-CO" sz="1100">
            <a:latin typeface="Arial Narrow" pitchFamily="34" charset="0"/>
          </a:endParaRPr>
        </a:p>
      </dgm:t>
    </dgm:pt>
    <dgm:pt modelId="{9503D867-266F-49A1-B439-D050F42A6403}" type="sibTrans" cxnId="{16920D7D-D1FA-4F2A-8CB6-A655B1ADAF85}">
      <dgm:prSet/>
      <dgm:spPr/>
      <dgm:t>
        <a:bodyPr/>
        <a:lstStyle/>
        <a:p>
          <a:pPr algn="ctr"/>
          <a:endParaRPr lang="es-CO" sz="1100">
            <a:latin typeface="Arial Narrow" pitchFamily="34" charset="0"/>
          </a:endParaRPr>
        </a:p>
      </dgm:t>
    </dgm:pt>
    <dgm:pt modelId="{051B070E-C673-4A14-8BAA-E696C12D8A8C}">
      <dgm:prSet phldrT="[Texto]" custT="1"/>
      <dgm:spPr>
        <a:solidFill>
          <a:schemeClr val="accent4"/>
        </a:solidFill>
      </dgm:spPr>
      <dgm:t>
        <a:bodyPr/>
        <a:lstStyle/>
        <a:p>
          <a:pPr algn="ctr"/>
          <a:r>
            <a:rPr lang="es-CO" sz="1100">
              <a:latin typeface="Arial Narrow" pitchFamily="34" charset="0"/>
            </a:rPr>
            <a:t>Variables instrumentales</a:t>
          </a:r>
        </a:p>
      </dgm:t>
    </dgm:pt>
    <dgm:pt modelId="{2EA69AB8-4BE3-4918-ABF8-D240B4773BF0}" type="parTrans" cxnId="{87819098-E6DE-4BBD-8E3D-4AF7C7EFD9E6}">
      <dgm:prSet/>
      <dgm:spPr/>
      <dgm:t>
        <a:bodyPr/>
        <a:lstStyle/>
        <a:p>
          <a:endParaRPr lang="es-CO" sz="1100"/>
        </a:p>
      </dgm:t>
    </dgm:pt>
    <dgm:pt modelId="{7FA610A2-EF27-4E53-BFDD-000CF127728C}" type="sibTrans" cxnId="{87819098-E6DE-4BBD-8E3D-4AF7C7EFD9E6}">
      <dgm:prSet/>
      <dgm:spPr/>
      <dgm:t>
        <a:bodyPr/>
        <a:lstStyle/>
        <a:p>
          <a:endParaRPr lang="es-CO" sz="1100"/>
        </a:p>
      </dgm:t>
    </dgm:pt>
    <dgm:pt modelId="{CA0A5426-C86B-4895-8C49-7AF923116B9F}">
      <dgm:prSet phldrT="[Texto]" custT="1"/>
      <dgm:spPr>
        <a:solidFill>
          <a:schemeClr val="accent4"/>
        </a:solidFill>
      </dgm:spPr>
      <dgm:t>
        <a:bodyPr/>
        <a:lstStyle/>
        <a:p>
          <a:pPr algn="ctr"/>
          <a:r>
            <a:rPr lang="es-CO" sz="1100">
              <a:latin typeface="Arial Narrow" pitchFamily="34" charset="0"/>
            </a:rPr>
            <a:t>Diferencias</a:t>
          </a:r>
        </a:p>
      </dgm:t>
    </dgm:pt>
    <dgm:pt modelId="{8D95461A-514E-4AD1-9166-F72B575C6554}" type="parTrans" cxnId="{EBE5E891-E2FE-4CCB-B634-0A063786E503}">
      <dgm:prSet/>
      <dgm:spPr/>
      <dgm:t>
        <a:bodyPr/>
        <a:lstStyle/>
        <a:p>
          <a:endParaRPr lang="es-CO" sz="1100"/>
        </a:p>
      </dgm:t>
    </dgm:pt>
    <dgm:pt modelId="{7ADE06F9-0A7D-40F8-A1F6-2244586783FD}" type="sibTrans" cxnId="{EBE5E891-E2FE-4CCB-B634-0A063786E503}">
      <dgm:prSet/>
      <dgm:spPr/>
      <dgm:t>
        <a:bodyPr/>
        <a:lstStyle/>
        <a:p>
          <a:endParaRPr lang="es-CO" sz="1100"/>
        </a:p>
      </dgm:t>
    </dgm:pt>
    <dgm:pt modelId="{8E25AE5A-5F95-4AE5-988C-F55B12559633}">
      <dgm:prSet phldrT="[Texto]" custT="1"/>
      <dgm:spPr>
        <a:solidFill>
          <a:schemeClr val="accent3"/>
        </a:solidFill>
      </dgm:spPr>
      <dgm:t>
        <a:bodyPr/>
        <a:lstStyle/>
        <a:p>
          <a:pPr algn="ctr"/>
          <a:r>
            <a:rPr lang="es-CO" sz="1100">
              <a:latin typeface="Arial Narrow" pitchFamily="34" charset="0"/>
            </a:rPr>
            <a:t>Cualitativos</a:t>
          </a:r>
        </a:p>
      </dgm:t>
    </dgm:pt>
    <dgm:pt modelId="{8E118510-1CD9-451D-A48D-46D82656C37F}" type="parTrans" cxnId="{35816C1E-23C0-47AC-8EBC-4487F203E7A3}">
      <dgm:prSet/>
      <dgm:spPr/>
      <dgm:t>
        <a:bodyPr/>
        <a:lstStyle/>
        <a:p>
          <a:endParaRPr lang="es-CO" sz="1100"/>
        </a:p>
      </dgm:t>
    </dgm:pt>
    <dgm:pt modelId="{4423D496-9F66-4D59-82CB-80CC1DBEE576}" type="sibTrans" cxnId="{35816C1E-23C0-47AC-8EBC-4487F203E7A3}">
      <dgm:prSet/>
      <dgm:spPr/>
      <dgm:t>
        <a:bodyPr/>
        <a:lstStyle/>
        <a:p>
          <a:endParaRPr lang="es-CO" sz="1100"/>
        </a:p>
      </dgm:t>
    </dgm:pt>
    <dgm:pt modelId="{5C2F9F1E-9ED4-44BD-AE4A-92E6BA1457F1}">
      <dgm:prSet phldrT="[Texto]" custT="1"/>
      <dgm:spPr>
        <a:solidFill>
          <a:schemeClr val="accent3"/>
        </a:solidFill>
      </dgm:spPr>
      <dgm:t>
        <a:bodyPr/>
        <a:lstStyle/>
        <a:p>
          <a:pPr algn="ctr"/>
          <a:r>
            <a:rPr lang="es-CO" sz="1100">
              <a:latin typeface="Arial Narrow" pitchFamily="34" charset="0"/>
            </a:rPr>
            <a:t>Modelos econométricos</a:t>
          </a:r>
        </a:p>
      </dgm:t>
    </dgm:pt>
    <dgm:pt modelId="{9FB78AC1-A424-4912-966C-A541BE243433}" type="parTrans" cxnId="{0E4040EB-28BB-47B0-BDBE-3A4633C2DEED}">
      <dgm:prSet/>
      <dgm:spPr/>
      <dgm:t>
        <a:bodyPr/>
        <a:lstStyle/>
        <a:p>
          <a:endParaRPr lang="es-CO" sz="1100"/>
        </a:p>
      </dgm:t>
    </dgm:pt>
    <dgm:pt modelId="{A0B781B3-A9B2-46C1-A049-4F7885BA29D6}" type="sibTrans" cxnId="{0E4040EB-28BB-47B0-BDBE-3A4633C2DEED}">
      <dgm:prSet/>
      <dgm:spPr/>
      <dgm:t>
        <a:bodyPr/>
        <a:lstStyle/>
        <a:p>
          <a:endParaRPr lang="es-CO" sz="1100"/>
        </a:p>
      </dgm:t>
    </dgm:pt>
    <dgm:pt modelId="{EFB75C99-32CA-4B79-ADF1-729E4E26997C}" type="pres">
      <dgm:prSet presAssocID="{BCB184E8-E10D-4475-99B9-55D713332FC8}" presName="Name0" presStyleCnt="0">
        <dgm:presLayoutVars>
          <dgm:chPref val="1"/>
          <dgm:dir/>
          <dgm:animOne val="branch"/>
          <dgm:animLvl val="lvl"/>
          <dgm:resizeHandles/>
        </dgm:presLayoutVars>
      </dgm:prSet>
      <dgm:spPr/>
      <dgm:t>
        <a:bodyPr/>
        <a:lstStyle/>
        <a:p>
          <a:endParaRPr lang="es-CO"/>
        </a:p>
      </dgm:t>
    </dgm:pt>
    <dgm:pt modelId="{4E1973BE-5AC2-4B0B-8C91-8AC7ACDB4E9A}" type="pres">
      <dgm:prSet presAssocID="{9DB39884-47BE-415C-8E55-12023C602198}" presName="vertOne" presStyleCnt="0"/>
      <dgm:spPr/>
    </dgm:pt>
    <dgm:pt modelId="{AE48F23C-1D75-497A-8722-A641AAB58B02}" type="pres">
      <dgm:prSet presAssocID="{9DB39884-47BE-415C-8E55-12023C602198}" presName="txOne" presStyleLbl="node0" presStyleIdx="0" presStyleCnt="2" custScaleX="77573">
        <dgm:presLayoutVars>
          <dgm:chPref val="3"/>
        </dgm:presLayoutVars>
      </dgm:prSet>
      <dgm:spPr/>
      <dgm:t>
        <a:bodyPr/>
        <a:lstStyle/>
        <a:p>
          <a:endParaRPr lang="es-CO"/>
        </a:p>
      </dgm:t>
    </dgm:pt>
    <dgm:pt modelId="{1D1FD37B-B3ED-41CF-8F2E-D03D97EC5A9B}" type="pres">
      <dgm:prSet presAssocID="{9DB39884-47BE-415C-8E55-12023C602198}" presName="parTransOne" presStyleCnt="0"/>
      <dgm:spPr/>
    </dgm:pt>
    <dgm:pt modelId="{099CF7F5-D672-43E9-8523-95E275A8A808}" type="pres">
      <dgm:prSet presAssocID="{9DB39884-47BE-415C-8E55-12023C602198}" presName="horzOne" presStyleCnt="0"/>
      <dgm:spPr/>
    </dgm:pt>
    <dgm:pt modelId="{D94DDDF3-7F4C-4822-8E12-A9895C0DBB78}" type="pres">
      <dgm:prSet presAssocID="{5C2F9F1E-9ED4-44BD-AE4A-92E6BA1457F1}" presName="vertTwo" presStyleCnt="0"/>
      <dgm:spPr/>
    </dgm:pt>
    <dgm:pt modelId="{C70FCE72-E092-4228-B015-AB3FB88075F1}" type="pres">
      <dgm:prSet presAssocID="{5C2F9F1E-9ED4-44BD-AE4A-92E6BA1457F1}" presName="txTwo" presStyleLbl="node2" presStyleIdx="0" presStyleCnt="5" custScaleX="76551">
        <dgm:presLayoutVars>
          <dgm:chPref val="3"/>
        </dgm:presLayoutVars>
      </dgm:prSet>
      <dgm:spPr/>
      <dgm:t>
        <a:bodyPr/>
        <a:lstStyle/>
        <a:p>
          <a:endParaRPr lang="es-CO"/>
        </a:p>
      </dgm:t>
    </dgm:pt>
    <dgm:pt modelId="{24DE5A2A-39B1-4E07-8E8C-F4FB66558CF6}" type="pres">
      <dgm:prSet presAssocID="{5C2F9F1E-9ED4-44BD-AE4A-92E6BA1457F1}" presName="parTransTwo" presStyleCnt="0"/>
      <dgm:spPr/>
    </dgm:pt>
    <dgm:pt modelId="{B9F0CCD0-EFF1-4DB1-9EDF-868FA21745E1}" type="pres">
      <dgm:prSet presAssocID="{5C2F9F1E-9ED4-44BD-AE4A-92E6BA1457F1}" presName="horzTwo" presStyleCnt="0"/>
      <dgm:spPr/>
    </dgm:pt>
    <dgm:pt modelId="{0797440A-8253-48CB-9B3A-1B0D41CD937E}" type="pres">
      <dgm:prSet presAssocID="{56C8F9B5-3E6A-4D4C-8808-BD4B1F34A24C}" presName="vertThree" presStyleCnt="0"/>
      <dgm:spPr/>
    </dgm:pt>
    <dgm:pt modelId="{54A55D4C-A36A-4087-89E4-4156EC2AAAF4}" type="pres">
      <dgm:prSet presAssocID="{56C8F9B5-3E6A-4D4C-8808-BD4B1F34A24C}" presName="txThree" presStyleLbl="node3" presStyleIdx="0" presStyleCnt="1" custScaleX="74767">
        <dgm:presLayoutVars>
          <dgm:chPref val="3"/>
        </dgm:presLayoutVars>
      </dgm:prSet>
      <dgm:spPr/>
      <dgm:t>
        <a:bodyPr/>
        <a:lstStyle/>
        <a:p>
          <a:endParaRPr lang="es-CO"/>
        </a:p>
      </dgm:t>
    </dgm:pt>
    <dgm:pt modelId="{C57F8514-5179-4B14-B813-34B758A00066}" type="pres">
      <dgm:prSet presAssocID="{56C8F9B5-3E6A-4D4C-8808-BD4B1F34A24C}" presName="parTransThree" presStyleCnt="0"/>
      <dgm:spPr/>
    </dgm:pt>
    <dgm:pt modelId="{784A509D-6B25-4408-96E5-ECF96D45E1C8}" type="pres">
      <dgm:prSet presAssocID="{56C8F9B5-3E6A-4D4C-8808-BD4B1F34A24C}" presName="horzThree" presStyleCnt="0"/>
      <dgm:spPr/>
    </dgm:pt>
    <dgm:pt modelId="{3BA8A74D-94E8-4B02-887C-188E914C2C3F}" type="pres">
      <dgm:prSet presAssocID="{F1921FC6-2ECE-4B1B-8FE7-EB4C64D68A25}" presName="vertFour" presStyleCnt="0">
        <dgm:presLayoutVars>
          <dgm:chPref val="3"/>
        </dgm:presLayoutVars>
      </dgm:prSet>
      <dgm:spPr/>
    </dgm:pt>
    <dgm:pt modelId="{C6A73C46-24F0-48D8-83E5-D1EBF88BFD39}" type="pres">
      <dgm:prSet presAssocID="{F1921FC6-2ECE-4B1B-8FE7-EB4C64D68A25}" presName="txFour" presStyleLbl="node4" presStyleIdx="0" presStyleCnt="2" custScaleX="55405">
        <dgm:presLayoutVars>
          <dgm:chPref val="3"/>
        </dgm:presLayoutVars>
      </dgm:prSet>
      <dgm:spPr/>
      <dgm:t>
        <a:bodyPr/>
        <a:lstStyle/>
        <a:p>
          <a:endParaRPr lang="es-CO"/>
        </a:p>
      </dgm:t>
    </dgm:pt>
    <dgm:pt modelId="{7EBFCB5E-3075-48EE-904A-2BA50D025023}" type="pres">
      <dgm:prSet presAssocID="{F1921FC6-2ECE-4B1B-8FE7-EB4C64D68A25}" presName="horzFour" presStyleCnt="0"/>
      <dgm:spPr/>
    </dgm:pt>
    <dgm:pt modelId="{B47CEA8D-D10C-46EF-BE5A-506D56460DFC}" type="pres">
      <dgm:prSet presAssocID="{8686B516-05EE-424E-B8D8-FCEE37055851}" presName="sibSpaceFour" presStyleCnt="0"/>
      <dgm:spPr/>
    </dgm:pt>
    <dgm:pt modelId="{AF4849C9-5AC7-447D-97FA-52348EE8C31B}" type="pres">
      <dgm:prSet presAssocID="{8E25AE5A-5F95-4AE5-988C-F55B12559633}" presName="vertFour" presStyleCnt="0">
        <dgm:presLayoutVars>
          <dgm:chPref val="3"/>
        </dgm:presLayoutVars>
      </dgm:prSet>
      <dgm:spPr/>
    </dgm:pt>
    <dgm:pt modelId="{0A35021A-1DB5-42A2-AAEC-08418477C4B1}" type="pres">
      <dgm:prSet presAssocID="{8E25AE5A-5F95-4AE5-988C-F55B12559633}" presName="txFour" presStyleLbl="node4" presStyleIdx="1" presStyleCnt="2" custScaleX="48632">
        <dgm:presLayoutVars>
          <dgm:chPref val="3"/>
        </dgm:presLayoutVars>
      </dgm:prSet>
      <dgm:spPr/>
      <dgm:t>
        <a:bodyPr/>
        <a:lstStyle/>
        <a:p>
          <a:endParaRPr lang="es-CO"/>
        </a:p>
      </dgm:t>
    </dgm:pt>
    <dgm:pt modelId="{FE231407-7C93-4EB9-B56F-3A1D6753CCF3}" type="pres">
      <dgm:prSet presAssocID="{8E25AE5A-5F95-4AE5-988C-F55B12559633}" presName="horzFour" presStyleCnt="0"/>
      <dgm:spPr/>
    </dgm:pt>
    <dgm:pt modelId="{1B9D56FF-4960-42C8-B96B-F26BE6B45CB0}" type="pres">
      <dgm:prSet presAssocID="{7F2FAE87-1B6F-4A1A-B819-7B53C781967A}" presName="sibSpaceOne" presStyleCnt="0"/>
      <dgm:spPr/>
    </dgm:pt>
    <dgm:pt modelId="{A49C476C-CEC5-4972-B0C4-E09DDE51DEBC}" type="pres">
      <dgm:prSet presAssocID="{5173BD15-A9E7-4E09-BF4B-C358071152C5}" presName="vertOne" presStyleCnt="0"/>
      <dgm:spPr/>
    </dgm:pt>
    <dgm:pt modelId="{ABA50653-D6EA-44AF-964E-F13E8D31279B}" type="pres">
      <dgm:prSet presAssocID="{5173BD15-A9E7-4E09-BF4B-C358071152C5}" presName="txOne" presStyleLbl="node0" presStyleIdx="1" presStyleCnt="2" custScaleX="67443" custLinFactNeighborX="1918">
        <dgm:presLayoutVars>
          <dgm:chPref val="3"/>
        </dgm:presLayoutVars>
      </dgm:prSet>
      <dgm:spPr/>
      <dgm:t>
        <a:bodyPr/>
        <a:lstStyle/>
        <a:p>
          <a:endParaRPr lang="es-CO"/>
        </a:p>
      </dgm:t>
    </dgm:pt>
    <dgm:pt modelId="{7E6689A4-2690-4F65-9408-978C8F16BD50}" type="pres">
      <dgm:prSet presAssocID="{5173BD15-A9E7-4E09-BF4B-C358071152C5}" presName="parTransOne" presStyleCnt="0"/>
      <dgm:spPr/>
    </dgm:pt>
    <dgm:pt modelId="{63F2BFF9-4FD4-429A-8F01-D5F97839DD3C}" type="pres">
      <dgm:prSet presAssocID="{5173BD15-A9E7-4E09-BF4B-C358071152C5}" presName="horzOne" presStyleCnt="0"/>
      <dgm:spPr/>
    </dgm:pt>
    <dgm:pt modelId="{8AF761D4-1475-45A1-A6EA-411B76423381}" type="pres">
      <dgm:prSet presAssocID="{987B1C44-0A85-40BD-9834-02BE6DAFBEC5}" presName="vertTwo" presStyleCnt="0"/>
      <dgm:spPr/>
    </dgm:pt>
    <dgm:pt modelId="{B2D7D00D-AE43-404D-93E5-5027EF21AFCE}" type="pres">
      <dgm:prSet presAssocID="{987B1C44-0A85-40BD-9834-02BE6DAFBEC5}" presName="txTwo" presStyleLbl="node2" presStyleIdx="1" presStyleCnt="5" custScaleX="59085" custLinFactNeighborX="26840">
        <dgm:presLayoutVars>
          <dgm:chPref val="3"/>
        </dgm:presLayoutVars>
      </dgm:prSet>
      <dgm:spPr/>
      <dgm:t>
        <a:bodyPr/>
        <a:lstStyle/>
        <a:p>
          <a:endParaRPr lang="es-CO"/>
        </a:p>
      </dgm:t>
    </dgm:pt>
    <dgm:pt modelId="{4FBF1DE1-B314-4BEE-B58F-47A89D77BFA2}" type="pres">
      <dgm:prSet presAssocID="{987B1C44-0A85-40BD-9834-02BE6DAFBEC5}" presName="horzTwo" presStyleCnt="0"/>
      <dgm:spPr/>
    </dgm:pt>
    <dgm:pt modelId="{ECDD831A-D35C-4960-B22B-9F0806DBF1BD}" type="pres">
      <dgm:prSet presAssocID="{B6D26FC1-2A45-46E7-81E6-21389756A1B3}" presName="sibSpaceTwo" presStyleCnt="0"/>
      <dgm:spPr/>
    </dgm:pt>
    <dgm:pt modelId="{DC603035-9B6C-4C95-9A18-40B6434D2759}" type="pres">
      <dgm:prSet presAssocID="{7E0D3F1A-29E8-4181-BFFF-2DB38F6164A0}" presName="vertTwo" presStyleCnt="0"/>
      <dgm:spPr/>
    </dgm:pt>
    <dgm:pt modelId="{549107CA-DF42-4C1C-8187-914AB1DA3FAF}" type="pres">
      <dgm:prSet presAssocID="{7E0D3F1A-29E8-4181-BFFF-2DB38F6164A0}" presName="txTwo" presStyleLbl="node2" presStyleIdx="2" presStyleCnt="5" custScaleX="30063" custLinFactNeighborX="15153">
        <dgm:presLayoutVars>
          <dgm:chPref val="3"/>
        </dgm:presLayoutVars>
      </dgm:prSet>
      <dgm:spPr/>
      <dgm:t>
        <a:bodyPr/>
        <a:lstStyle/>
        <a:p>
          <a:endParaRPr lang="es-CO"/>
        </a:p>
      </dgm:t>
    </dgm:pt>
    <dgm:pt modelId="{66E3BBC0-E8A1-4532-813D-236E32724D88}" type="pres">
      <dgm:prSet presAssocID="{7E0D3F1A-29E8-4181-BFFF-2DB38F6164A0}" presName="horzTwo" presStyleCnt="0"/>
      <dgm:spPr/>
    </dgm:pt>
    <dgm:pt modelId="{7085DB6F-A7D2-48EF-94BC-665CEDC04527}" type="pres">
      <dgm:prSet presAssocID="{9503D867-266F-49A1-B439-D050F42A6403}" presName="sibSpaceTwo" presStyleCnt="0"/>
      <dgm:spPr/>
    </dgm:pt>
    <dgm:pt modelId="{24EA6425-12C9-4F2B-9368-FF021C0714B8}" type="pres">
      <dgm:prSet presAssocID="{051B070E-C673-4A14-8BAA-E696C12D8A8C}" presName="vertTwo" presStyleCnt="0"/>
      <dgm:spPr/>
    </dgm:pt>
    <dgm:pt modelId="{EC711665-3DB0-4ABB-9D36-338B60BEE5FE}" type="pres">
      <dgm:prSet presAssocID="{051B070E-C673-4A14-8BAA-E696C12D8A8C}" presName="txTwo" presStyleLbl="node2" presStyleIdx="3" presStyleCnt="5" custScaleX="58657" custLinFactNeighborX="7011">
        <dgm:presLayoutVars>
          <dgm:chPref val="3"/>
        </dgm:presLayoutVars>
      </dgm:prSet>
      <dgm:spPr/>
      <dgm:t>
        <a:bodyPr/>
        <a:lstStyle/>
        <a:p>
          <a:endParaRPr lang="es-CO"/>
        </a:p>
      </dgm:t>
    </dgm:pt>
    <dgm:pt modelId="{7288924F-2EBA-4885-ABB4-190374E60E66}" type="pres">
      <dgm:prSet presAssocID="{051B070E-C673-4A14-8BAA-E696C12D8A8C}" presName="horzTwo" presStyleCnt="0"/>
      <dgm:spPr/>
    </dgm:pt>
    <dgm:pt modelId="{CC0F5ADB-7FB3-4B4E-AF41-BEA14829A9DD}" type="pres">
      <dgm:prSet presAssocID="{7FA610A2-EF27-4E53-BFDD-000CF127728C}" presName="sibSpaceTwo" presStyleCnt="0"/>
      <dgm:spPr/>
    </dgm:pt>
    <dgm:pt modelId="{2E5715A4-D399-47DD-86D5-049107CE8C68}" type="pres">
      <dgm:prSet presAssocID="{CA0A5426-C86B-4895-8C49-7AF923116B9F}" presName="vertTwo" presStyleCnt="0"/>
      <dgm:spPr/>
    </dgm:pt>
    <dgm:pt modelId="{DA848D4B-EE1E-4822-8289-3B49FDD68144}" type="pres">
      <dgm:prSet presAssocID="{CA0A5426-C86B-4895-8C49-7AF923116B9F}" presName="txTwo" presStyleLbl="node2" presStyleIdx="4" presStyleCnt="5" custScaleX="55565">
        <dgm:presLayoutVars>
          <dgm:chPref val="3"/>
        </dgm:presLayoutVars>
      </dgm:prSet>
      <dgm:spPr/>
      <dgm:t>
        <a:bodyPr/>
        <a:lstStyle/>
        <a:p>
          <a:endParaRPr lang="es-CO"/>
        </a:p>
      </dgm:t>
    </dgm:pt>
    <dgm:pt modelId="{C79E47F9-56B1-4756-B086-1F9A21E18437}" type="pres">
      <dgm:prSet presAssocID="{CA0A5426-C86B-4895-8C49-7AF923116B9F}" presName="horzTwo" presStyleCnt="0"/>
      <dgm:spPr/>
    </dgm:pt>
  </dgm:ptLst>
  <dgm:cxnLst>
    <dgm:cxn modelId="{D2FC4A6F-A8E5-4419-A88F-F7EB9F552DCD}" srcId="{56C8F9B5-3E6A-4D4C-8808-BD4B1F34A24C}" destId="{F1921FC6-2ECE-4B1B-8FE7-EB4C64D68A25}" srcOrd="0" destOrd="0" parTransId="{21F3AF7F-3FB2-400D-A7CB-E48C94D9E887}" sibTransId="{8686B516-05EE-424E-B8D8-FCEE37055851}"/>
    <dgm:cxn modelId="{505BB45E-1FB1-4A73-9D9F-0F937EC29B20}" type="presOf" srcId="{051B070E-C673-4A14-8BAA-E696C12D8A8C}" destId="{EC711665-3DB0-4ABB-9D36-338B60BEE5FE}" srcOrd="0" destOrd="0" presId="urn:microsoft.com/office/officeart/2005/8/layout/hierarchy4"/>
    <dgm:cxn modelId="{87819098-E6DE-4BBD-8E3D-4AF7C7EFD9E6}" srcId="{5173BD15-A9E7-4E09-BF4B-C358071152C5}" destId="{051B070E-C673-4A14-8BAA-E696C12D8A8C}" srcOrd="2" destOrd="0" parTransId="{2EA69AB8-4BE3-4918-ABF8-D240B4773BF0}" sibTransId="{7FA610A2-EF27-4E53-BFDD-000CF127728C}"/>
    <dgm:cxn modelId="{EBE5E891-E2FE-4CCB-B634-0A063786E503}" srcId="{5173BD15-A9E7-4E09-BF4B-C358071152C5}" destId="{CA0A5426-C86B-4895-8C49-7AF923116B9F}" srcOrd="3" destOrd="0" parTransId="{8D95461A-514E-4AD1-9166-F72B575C6554}" sibTransId="{7ADE06F9-0A7D-40F8-A1F6-2244586783FD}"/>
    <dgm:cxn modelId="{448E66CD-CB98-47B8-B0C3-A6AE1A55D2E1}" type="presOf" srcId="{CA0A5426-C86B-4895-8C49-7AF923116B9F}" destId="{DA848D4B-EE1E-4822-8289-3B49FDD68144}" srcOrd="0" destOrd="0" presId="urn:microsoft.com/office/officeart/2005/8/layout/hierarchy4"/>
    <dgm:cxn modelId="{4BE0195A-BFB0-421B-8A3C-573A557D369F}" type="presOf" srcId="{5173BD15-A9E7-4E09-BF4B-C358071152C5}" destId="{ABA50653-D6EA-44AF-964E-F13E8D31279B}" srcOrd="0" destOrd="0" presId="urn:microsoft.com/office/officeart/2005/8/layout/hierarchy4"/>
    <dgm:cxn modelId="{35816C1E-23C0-47AC-8EBC-4487F203E7A3}" srcId="{56C8F9B5-3E6A-4D4C-8808-BD4B1F34A24C}" destId="{8E25AE5A-5F95-4AE5-988C-F55B12559633}" srcOrd="1" destOrd="0" parTransId="{8E118510-1CD9-451D-A48D-46D82656C37F}" sibTransId="{4423D496-9F66-4D59-82CB-80CC1DBEE576}"/>
    <dgm:cxn modelId="{B1FE289B-3ECE-4A8D-ACF9-F595954FEBD6}" type="presOf" srcId="{BCB184E8-E10D-4475-99B9-55D713332FC8}" destId="{EFB75C99-32CA-4B79-ADF1-729E4E26997C}" srcOrd="0" destOrd="0" presId="urn:microsoft.com/office/officeart/2005/8/layout/hierarchy4"/>
    <dgm:cxn modelId="{B1555A95-4441-44AB-ADA1-69DE203ED42C}" type="presOf" srcId="{987B1C44-0A85-40BD-9834-02BE6DAFBEC5}" destId="{B2D7D00D-AE43-404D-93E5-5027EF21AFCE}" srcOrd="0" destOrd="0" presId="urn:microsoft.com/office/officeart/2005/8/layout/hierarchy4"/>
    <dgm:cxn modelId="{0E77ECFB-E83A-4DE5-8D62-82C6AD2AB504}" srcId="{BCB184E8-E10D-4475-99B9-55D713332FC8}" destId="{9DB39884-47BE-415C-8E55-12023C602198}" srcOrd="0" destOrd="0" parTransId="{F87B8EC0-FC33-4734-8EFC-DF75D120B905}" sibTransId="{7F2FAE87-1B6F-4A1A-B819-7B53C781967A}"/>
    <dgm:cxn modelId="{16920D7D-D1FA-4F2A-8CB6-A655B1ADAF85}" srcId="{5173BD15-A9E7-4E09-BF4B-C358071152C5}" destId="{7E0D3F1A-29E8-4181-BFFF-2DB38F6164A0}" srcOrd="1" destOrd="0" parTransId="{72D616A8-F5EC-4EF6-8A75-E2F30AE7D858}" sibTransId="{9503D867-266F-49A1-B439-D050F42A6403}"/>
    <dgm:cxn modelId="{D5C4755F-E74A-4FA0-9655-F60F8515E108}" srcId="{5C2F9F1E-9ED4-44BD-AE4A-92E6BA1457F1}" destId="{56C8F9B5-3E6A-4D4C-8808-BD4B1F34A24C}" srcOrd="0" destOrd="0" parTransId="{60D7D3B3-37AC-4E56-94D5-85A1C2B6753A}" sibTransId="{878A9044-F37E-4A77-8B15-E0CC2F76CB2A}"/>
    <dgm:cxn modelId="{F5AA6904-8793-4388-A1EF-EEA9168C5F3A}" type="presOf" srcId="{5C2F9F1E-9ED4-44BD-AE4A-92E6BA1457F1}" destId="{C70FCE72-E092-4228-B015-AB3FB88075F1}" srcOrd="0" destOrd="0" presId="urn:microsoft.com/office/officeart/2005/8/layout/hierarchy4"/>
    <dgm:cxn modelId="{C42BD29A-6592-4A0C-86B1-F3BB437B36B5}" srcId="{5173BD15-A9E7-4E09-BF4B-C358071152C5}" destId="{987B1C44-0A85-40BD-9834-02BE6DAFBEC5}" srcOrd="0" destOrd="0" parTransId="{8E385AC3-9A39-4F92-9B8E-E803A305AB07}" sibTransId="{B6D26FC1-2A45-46E7-81E6-21389756A1B3}"/>
    <dgm:cxn modelId="{14C8CDFF-3BE6-453E-8E46-81E8F79ECD5A}" type="presOf" srcId="{9DB39884-47BE-415C-8E55-12023C602198}" destId="{AE48F23C-1D75-497A-8722-A641AAB58B02}" srcOrd="0" destOrd="0" presId="urn:microsoft.com/office/officeart/2005/8/layout/hierarchy4"/>
    <dgm:cxn modelId="{DD5CB6F4-A6EB-4294-8586-AA60586AB9DD}" type="presOf" srcId="{7E0D3F1A-29E8-4181-BFFF-2DB38F6164A0}" destId="{549107CA-DF42-4C1C-8187-914AB1DA3FAF}" srcOrd="0" destOrd="0" presId="urn:microsoft.com/office/officeart/2005/8/layout/hierarchy4"/>
    <dgm:cxn modelId="{2221C5B4-9816-47A4-BBF6-8A63A03A4D3B}" type="presOf" srcId="{56C8F9B5-3E6A-4D4C-8808-BD4B1F34A24C}" destId="{54A55D4C-A36A-4087-89E4-4156EC2AAAF4}" srcOrd="0" destOrd="0" presId="urn:microsoft.com/office/officeart/2005/8/layout/hierarchy4"/>
    <dgm:cxn modelId="{EA5EC7C3-11D8-46F9-AE2F-440FBAC57807}" srcId="{BCB184E8-E10D-4475-99B9-55D713332FC8}" destId="{5173BD15-A9E7-4E09-BF4B-C358071152C5}" srcOrd="1" destOrd="0" parTransId="{EC1BAA2A-CE83-42DB-A5DB-285143F1E892}" sibTransId="{8AED34DB-6DE1-4A97-8AB3-A7F6BFA466C7}"/>
    <dgm:cxn modelId="{0E4040EB-28BB-47B0-BDBE-3A4633C2DEED}" srcId="{9DB39884-47BE-415C-8E55-12023C602198}" destId="{5C2F9F1E-9ED4-44BD-AE4A-92E6BA1457F1}" srcOrd="0" destOrd="0" parTransId="{9FB78AC1-A424-4912-966C-A541BE243433}" sibTransId="{A0B781B3-A9B2-46C1-A049-4F7885BA29D6}"/>
    <dgm:cxn modelId="{03C0AAA8-119B-4829-9E14-B0B6E83E3D60}" type="presOf" srcId="{F1921FC6-2ECE-4B1B-8FE7-EB4C64D68A25}" destId="{C6A73C46-24F0-48D8-83E5-D1EBF88BFD39}" srcOrd="0" destOrd="0" presId="urn:microsoft.com/office/officeart/2005/8/layout/hierarchy4"/>
    <dgm:cxn modelId="{D8CFAD6A-9583-4399-B2D5-F929CC57B5FD}" type="presOf" srcId="{8E25AE5A-5F95-4AE5-988C-F55B12559633}" destId="{0A35021A-1DB5-42A2-AAEC-08418477C4B1}" srcOrd="0" destOrd="0" presId="urn:microsoft.com/office/officeart/2005/8/layout/hierarchy4"/>
    <dgm:cxn modelId="{0D44146A-CAD4-4132-9C27-B8A4DF563209}" type="presParOf" srcId="{EFB75C99-32CA-4B79-ADF1-729E4E26997C}" destId="{4E1973BE-5AC2-4B0B-8C91-8AC7ACDB4E9A}" srcOrd="0" destOrd="0" presId="urn:microsoft.com/office/officeart/2005/8/layout/hierarchy4"/>
    <dgm:cxn modelId="{650F8DBD-265B-443C-BA11-BE04017DB3A6}" type="presParOf" srcId="{4E1973BE-5AC2-4B0B-8C91-8AC7ACDB4E9A}" destId="{AE48F23C-1D75-497A-8722-A641AAB58B02}" srcOrd="0" destOrd="0" presId="urn:microsoft.com/office/officeart/2005/8/layout/hierarchy4"/>
    <dgm:cxn modelId="{E0FA1230-43D2-40D2-A9A5-725F1517B8FA}" type="presParOf" srcId="{4E1973BE-5AC2-4B0B-8C91-8AC7ACDB4E9A}" destId="{1D1FD37B-B3ED-41CF-8F2E-D03D97EC5A9B}" srcOrd="1" destOrd="0" presId="urn:microsoft.com/office/officeart/2005/8/layout/hierarchy4"/>
    <dgm:cxn modelId="{389F6BB5-3514-4E66-BF42-E0F452134E55}" type="presParOf" srcId="{4E1973BE-5AC2-4B0B-8C91-8AC7ACDB4E9A}" destId="{099CF7F5-D672-43E9-8523-95E275A8A808}" srcOrd="2" destOrd="0" presId="urn:microsoft.com/office/officeart/2005/8/layout/hierarchy4"/>
    <dgm:cxn modelId="{D25AEC04-E793-4153-A9EA-DAAC701E5B91}" type="presParOf" srcId="{099CF7F5-D672-43E9-8523-95E275A8A808}" destId="{D94DDDF3-7F4C-4822-8E12-A9895C0DBB78}" srcOrd="0" destOrd="0" presId="urn:microsoft.com/office/officeart/2005/8/layout/hierarchy4"/>
    <dgm:cxn modelId="{3832A51C-828E-425A-B5F5-3DE2D1ECA936}" type="presParOf" srcId="{D94DDDF3-7F4C-4822-8E12-A9895C0DBB78}" destId="{C70FCE72-E092-4228-B015-AB3FB88075F1}" srcOrd="0" destOrd="0" presId="urn:microsoft.com/office/officeart/2005/8/layout/hierarchy4"/>
    <dgm:cxn modelId="{C6BFD091-32A2-4733-A1F6-36E726772403}" type="presParOf" srcId="{D94DDDF3-7F4C-4822-8E12-A9895C0DBB78}" destId="{24DE5A2A-39B1-4E07-8E8C-F4FB66558CF6}" srcOrd="1" destOrd="0" presId="urn:microsoft.com/office/officeart/2005/8/layout/hierarchy4"/>
    <dgm:cxn modelId="{03B59F51-E4AC-487D-A305-2D53DEAD6987}" type="presParOf" srcId="{D94DDDF3-7F4C-4822-8E12-A9895C0DBB78}" destId="{B9F0CCD0-EFF1-4DB1-9EDF-868FA21745E1}" srcOrd="2" destOrd="0" presId="urn:microsoft.com/office/officeart/2005/8/layout/hierarchy4"/>
    <dgm:cxn modelId="{3A89B349-7922-4898-B151-3753C4709925}" type="presParOf" srcId="{B9F0CCD0-EFF1-4DB1-9EDF-868FA21745E1}" destId="{0797440A-8253-48CB-9B3A-1B0D41CD937E}" srcOrd="0" destOrd="0" presId="urn:microsoft.com/office/officeart/2005/8/layout/hierarchy4"/>
    <dgm:cxn modelId="{FB73176D-8D76-4F75-A37E-BE512D33663A}" type="presParOf" srcId="{0797440A-8253-48CB-9B3A-1B0D41CD937E}" destId="{54A55D4C-A36A-4087-89E4-4156EC2AAAF4}" srcOrd="0" destOrd="0" presId="urn:microsoft.com/office/officeart/2005/8/layout/hierarchy4"/>
    <dgm:cxn modelId="{F7A0102A-1CEA-427D-A2ED-831F591C93FE}" type="presParOf" srcId="{0797440A-8253-48CB-9B3A-1B0D41CD937E}" destId="{C57F8514-5179-4B14-B813-34B758A00066}" srcOrd="1" destOrd="0" presId="urn:microsoft.com/office/officeart/2005/8/layout/hierarchy4"/>
    <dgm:cxn modelId="{39C63B49-8A74-4A22-B845-D22886C7886F}" type="presParOf" srcId="{0797440A-8253-48CB-9B3A-1B0D41CD937E}" destId="{784A509D-6B25-4408-96E5-ECF96D45E1C8}" srcOrd="2" destOrd="0" presId="urn:microsoft.com/office/officeart/2005/8/layout/hierarchy4"/>
    <dgm:cxn modelId="{0B987B56-075B-4E46-AAB8-E9A6BD4309C6}" type="presParOf" srcId="{784A509D-6B25-4408-96E5-ECF96D45E1C8}" destId="{3BA8A74D-94E8-4B02-887C-188E914C2C3F}" srcOrd="0" destOrd="0" presId="urn:microsoft.com/office/officeart/2005/8/layout/hierarchy4"/>
    <dgm:cxn modelId="{85482035-3E71-4074-93F4-119DBDFC5E8F}" type="presParOf" srcId="{3BA8A74D-94E8-4B02-887C-188E914C2C3F}" destId="{C6A73C46-24F0-48D8-83E5-D1EBF88BFD39}" srcOrd="0" destOrd="0" presId="urn:microsoft.com/office/officeart/2005/8/layout/hierarchy4"/>
    <dgm:cxn modelId="{312961B9-4873-4C27-B308-06D3B6CAECB9}" type="presParOf" srcId="{3BA8A74D-94E8-4B02-887C-188E914C2C3F}" destId="{7EBFCB5E-3075-48EE-904A-2BA50D025023}" srcOrd="1" destOrd="0" presId="urn:microsoft.com/office/officeart/2005/8/layout/hierarchy4"/>
    <dgm:cxn modelId="{FA52FF85-DEDD-44FE-9BC6-65D372B1D50B}" type="presParOf" srcId="{784A509D-6B25-4408-96E5-ECF96D45E1C8}" destId="{B47CEA8D-D10C-46EF-BE5A-506D56460DFC}" srcOrd="1" destOrd="0" presId="urn:microsoft.com/office/officeart/2005/8/layout/hierarchy4"/>
    <dgm:cxn modelId="{7B7FB352-6B03-4EAE-9C79-5E41186E2C9A}" type="presParOf" srcId="{784A509D-6B25-4408-96E5-ECF96D45E1C8}" destId="{AF4849C9-5AC7-447D-97FA-52348EE8C31B}" srcOrd="2" destOrd="0" presId="urn:microsoft.com/office/officeart/2005/8/layout/hierarchy4"/>
    <dgm:cxn modelId="{FED19D3E-D128-4E21-8EEC-366E69B0CD41}" type="presParOf" srcId="{AF4849C9-5AC7-447D-97FA-52348EE8C31B}" destId="{0A35021A-1DB5-42A2-AAEC-08418477C4B1}" srcOrd="0" destOrd="0" presId="urn:microsoft.com/office/officeart/2005/8/layout/hierarchy4"/>
    <dgm:cxn modelId="{60D03E58-B0CB-40D0-9DAC-5AEDCBF16367}" type="presParOf" srcId="{AF4849C9-5AC7-447D-97FA-52348EE8C31B}" destId="{FE231407-7C93-4EB9-B56F-3A1D6753CCF3}" srcOrd="1" destOrd="0" presId="urn:microsoft.com/office/officeart/2005/8/layout/hierarchy4"/>
    <dgm:cxn modelId="{72E539CA-0FB0-4135-BDA4-4FB7C5D4D743}" type="presParOf" srcId="{EFB75C99-32CA-4B79-ADF1-729E4E26997C}" destId="{1B9D56FF-4960-42C8-B96B-F26BE6B45CB0}" srcOrd="1" destOrd="0" presId="urn:microsoft.com/office/officeart/2005/8/layout/hierarchy4"/>
    <dgm:cxn modelId="{DFB76F00-895B-4FB0-A740-3C7201F89E81}" type="presParOf" srcId="{EFB75C99-32CA-4B79-ADF1-729E4E26997C}" destId="{A49C476C-CEC5-4972-B0C4-E09DDE51DEBC}" srcOrd="2" destOrd="0" presId="urn:microsoft.com/office/officeart/2005/8/layout/hierarchy4"/>
    <dgm:cxn modelId="{B813BCAB-41FF-4BA4-B2B8-645206F1BF07}" type="presParOf" srcId="{A49C476C-CEC5-4972-B0C4-E09DDE51DEBC}" destId="{ABA50653-D6EA-44AF-964E-F13E8D31279B}" srcOrd="0" destOrd="0" presId="urn:microsoft.com/office/officeart/2005/8/layout/hierarchy4"/>
    <dgm:cxn modelId="{64BDA62F-0B66-40C0-9BAD-E2044471BF69}" type="presParOf" srcId="{A49C476C-CEC5-4972-B0C4-E09DDE51DEBC}" destId="{7E6689A4-2690-4F65-9408-978C8F16BD50}" srcOrd="1" destOrd="0" presId="urn:microsoft.com/office/officeart/2005/8/layout/hierarchy4"/>
    <dgm:cxn modelId="{1D5200BB-7AF2-4186-AAB8-F872E187CB61}" type="presParOf" srcId="{A49C476C-CEC5-4972-B0C4-E09DDE51DEBC}" destId="{63F2BFF9-4FD4-429A-8F01-D5F97839DD3C}" srcOrd="2" destOrd="0" presId="urn:microsoft.com/office/officeart/2005/8/layout/hierarchy4"/>
    <dgm:cxn modelId="{5C16F3E1-3000-4882-A779-0C8185D9569A}" type="presParOf" srcId="{63F2BFF9-4FD4-429A-8F01-D5F97839DD3C}" destId="{8AF761D4-1475-45A1-A6EA-411B76423381}" srcOrd="0" destOrd="0" presId="urn:microsoft.com/office/officeart/2005/8/layout/hierarchy4"/>
    <dgm:cxn modelId="{74ECC0FD-7C8F-49AF-93C5-932F90DE550F}" type="presParOf" srcId="{8AF761D4-1475-45A1-A6EA-411B76423381}" destId="{B2D7D00D-AE43-404D-93E5-5027EF21AFCE}" srcOrd="0" destOrd="0" presId="urn:microsoft.com/office/officeart/2005/8/layout/hierarchy4"/>
    <dgm:cxn modelId="{EE29422F-4A72-4AA4-8082-EDA00079D166}" type="presParOf" srcId="{8AF761D4-1475-45A1-A6EA-411B76423381}" destId="{4FBF1DE1-B314-4BEE-B58F-47A89D77BFA2}" srcOrd="1" destOrd="0" presId="urn:microsoft.com/office/officeart/2005/8/layout/hierarchy4"/>
    <dgm:cxn modelId="{73DD7F42-80AC-45A0-A5A5-CBC66524DA90}" type="presParOf" srcId="{63F2BFF9-4FD4-429A-8F01-D5F97839DD3C}" destId="{ECDD831A-D35C-4960-B22B-9F0806DBF1BD}" srcOrd="1" destOrd="0" presId="urn:microsoft.com/office/officeart/2005/8/layout/hierarchy4"/>
    <dgm:cxn modelId="{0DBEB5C3-F472-4CE8-8353-A7E4C7CBE80B}" type="presParOf" srcId="{63F2BFF9-4FD4-429A-8F01-D5F97839DD3C}" destId="{DC603035-9B6C-4C95-9A18-40B6434D2759}" srcOrd="2" destOrd="0" presId="urn:microsoft.com/office/officeart/2005/8/layout/hierarchy4"/>
    <dgm:cxn modelId="{3039EBB4-2421-4973-85FF-9F55FC868AE8}" type="presParOf" srcId="{DC603035-9B6C-4C95-9A18-40B6434D2759}" destId="{549107CA-DF42-4C1C-8187-914AB1DA3FAF}" srcOrd="0" destOrd="0" presId="urn:microsoft.com/office/officeart/2005/8/layout/hierarchy4"/>
    <dgm:cxn modelId="{41AB5B5F-E036-4B26-87DD-D008121DFA23}" type="presParOf" srcId="{DC603035-9B6C-4C95-9A18-40B6434D2759}" destId="{66E3BBC0-E8A1-4532-813D-236E32724D88}" srcOrd="1" destOrd="0" presId="urn:microsoft.com/office/officeart/2005/8/layout/hierarchy4"/>
    <dgm:cxn modelId="{19950A9A-9A74-4429-A251-5A82A7B210E3}" type="presParOf" srcId="{63F2BFF9-4FD4-429A-8F01-D5F97839DD3C}" destId="{7085DB6F-A7D2-48EF-94BC-665CEDC04527}" srcOrd="3" destOrd="0" presId="urn:microsoft.com/office/officeart/2005/8/layout/hierarchy4"/>
    <dgm:cxn modelId="{69FD0661-F3F0-4460-865D-38E841B3B1C8}" type="presParOf" srcId="{63F2BFF9-4FD4-429A-8F01-D5F97839DD3C}" destId="{24EA6425-12C9-4F2B-9368-FF021C0714B8}" srcOrd="4" destOrd="0" presId="urn:microsoft.com/office/officeart/2005/8/layout/hierarchy4"/>
    <dgm:cxn modelId="{06E12FBA-E53F-41F2-9A45-A119D1C94E04}" type="presParOf" srcId="{24EA6425-12C9-4F2B-9368-FF021C0714B8}" destId="{EC711665-3DB0-4ABB-9D36-338B60BEE5FE}" srcOrd="0" destOrd="0" presId="urn:microsoft.com/office/officeart/2005/8/layout/hierarchy4"/>
    <dgm:cxn modelId="{2A8DD17D-80E9-4977-AC0E-FA885A509F3D}" type="presParOf" srcId="{24EA6425-12C9-4F2B-9368-FF021C0714B8}" destId="{7288924F-2EBA-4885-ABB4-190374E60E66}" srcOrd="1" destOrd="0" presId="urn:microsoft.com/office/officeart/2005/8/layout/hierarchy4"/>
    <dgm:cxn modelId="{629EEB6C-55F5-469A-823A-E0A094443405}" type="presParOf" srcId="{63F2BFF9-4FD4-429A-8F01-D5F97839DD3C}" destId="{CC0F5ADB-7FB3-4B4E-AF41-BEA14829A9DD}" srcOrd="5" destOrd="0" presId="urn:microsoft.com/office/officeart/2005/8/layout/hierarchy4"/>
    <dgm:cxn modelId="{C433FF3A-19F4-41AB-91F1-4B8688FE93AB}" type="presParOf" srcId="{63F2BFF9-4FD4-429A-8F01-D5F97839DD3C}" destId="{2E5715A4-D399-47DD-86D5-049107CE8C68}" srcOrd="6" destOrd="0" presId="urn:microsoft.com/office/officeart/2005/8/layout/hierarchy4"/>
    <dgm:cxn modelId="{80D4D46E-9846-4833-8660-B3E4299C318C}" type="presParOf" srcId="{2E5715A4-D399-47DD-86D5-049107CE8C68}" destId="{DA848D4B-EE1E-4822-8289-3B49FDD68144}" srcOrd="0" destOrd="0" presId="urn:microsoft.com/office/officeart/2005/8/layout/hierarchy4"/>
    <dgm:cxn modelId="{22B2180C-186C-458D-A640-6D35B0EEFE6F}" type="presParOf" srcId="{2E5715A4-D399-47DD-86D5-049107CE8C68}" destId="{C79E47F9-56B1-4756-B086-1F9A21E18437}" srcOrd="1" destOrd="0" presId="urn:microsoft.com/office/officeart/2005/8/layout/hierarchy4"/>
  </dgm:cxnLst>
  <dgm:bg/>
  <dgm:whole/>
  <dgm:extLst>
    <a:ext uri="http://schemas.microsoft.com/office/drawing/2008/diagram">
      <dsp:dataModelExt xmlns:dsp="http://schemas.microsoft.com/office/drawing/2008/diagram" xmlns="" relId="rId7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3355E32-0289-4E62-B2A9-F333F2F1A648}" type="doc">
      <dgm:prSet loTypeId="urn:microsoft.com/office/officeart/2005/8/layout/vList5" loCatId="list" qsTypeId="urn:microsoft.com/office/officeart/2005/8/quickstyle/simple1" qsCatId="simple" csTypeId="urn:microsoft.com/office/officeart/2005/8/colors/colorful4" csCatId="colorful" phldr="1"/>
      <dgm:spPr/>
      <dgm:t>
        <a:bodyPr/>
        <a:lstStyle/>
        <a:p>
          <a:endParaRPr lang="es-CO"/>
        </a:p>
      </dgm:t>
    </dgm:pt>
    <dgm:pt modelId="{BA826483-BD5B-4BDE-8C34-FE55AEE15BAB}">
      <dgm:prSet phldrT="[Texto]" custT="1"/>
      <dgm:spPr>
        <a:solidFill>
          <a:schemeClr val="accent1"/>
        </a:solidFill>
      </dgm:spPr>
      <dgm:t>
        <a:bodyPr/>
        <a:lstStyle/>
        <a:p>
          <a:pPr algn="ctr"/>
          <a:r>
            <a:rPr lang="es-CO" sz="1200" b="1">
              <a:latin typeface="Arial Narrow" pitchFamily="34" charset="0"/>
            </a:rPr>
            <a:t>Región</a:t>
          </a:r>
        </a:p>
      </dgm:t>
    </dgm:pt>
    <dgm:pt modelId="{72AD4AC6-4BB0-452C-8D43-A37DC1C61901}" type="parTrans" cxnId="{9BE1599B-B06C-4B4A-B19B-4C76171C60B5}">
      <dgm:prSet/>
      <dgm:spPr/>
      <dgm:t>
        <a:bodyPr/>
        <a:lstStyle/>
        <a:p>
          <a:pPr algn="ctr"/>
          <a:endParaRPr lang="es-CO" sz="1600">
            <a:latin typeface="Arial Narrow" pitchFamily="34" charset="0"/>
          </a:endParaRPr>
        </a:p>
      </dgm:t>
    </dgm:pt>
    <dgm:pt modelId="{24B441C8-6830-4D2D-8FEF-F6C613B915B6}" type="sibTrans" cxnId="{9BE1599B-B06C-4B4A-B19B-4C76171C60B5}">
      <dgm:prSet/>
      <dgm:spPr/>
      <dgm:t>
        <a:bodyPr/>
        <a:lstStyle/>
        <a:p>
          <a:pPr algn="ctr"/>
          <a:endParaRPr lang="es-CO" sz="1600">
            <a:latin typeface="Arial Narrow" pitchFamily="34" charset="0"/>
          </a:endParaRPr>
        </a:p>
      </dgm:t>
    </dgm:pt>
    <dgm:pt modelId="{95BD0274-2ECE-4F96-9C37-10B9E28BA4E4}">
      <dgm:prSet phldrT="[Texto]" custT="1"/>
      <dgm:spPr>
        <a:solidFill>
          <a:schemeClr val="tx2">
            <a:lumMod val="20000"/>
            <a:lumOff val="80000"/>
          </a:schemeClr>
        </a:solidFill>
      </dgm:spPr>
      <dgm:t>
        <a:bodyPr/>
        <a:lstStyle/>
        <a:p>
          <a:pPr algn="l">
            <a:spcBef>
              <a:spcPts val="600"/>
            </a:spcBef>
            <a:spcAft>
              <a:spcPts val="600"/>
            </a:spcAft>
          </a:pPr>
          <a:r>
            <a:rPr lang="es-CO" sz="1200">
              <a:latin typeface="Arial Narrow" pitchFamily="34" charset="0"/>
            </a:rPr>
            <a:t>Atlántica, Oriental, Central, Pacífica, Antioquia, Valle, Santanderes, Orinoquía-Amazonia</a:t>
          </a:r>
        </a:p>
      </dgm:t>
    </dgm:pt>
    <dgm:pt modelId="{53DE7408-066E-42DC-8790-C69356DFD5D3}" type="parTrans" cxnId="{EBB164A2-152C-456F-8528-3ED1C679A5BB}">
      <dgm:prSet/>
      <dgm:spPr/>
      <dgm:t>
        <a:bodyPr/>
        <a:lstStyle/>
        <a:p>
          <a:pPr algn="ctr"/>
          <a:endParaRPr lang="es-CO" sz="1600">
            <a:latin typeface="Arial Narrow" pitchFamily="34" charset="0"/>
          </a:endParaRPr>
        </a:p>
      </dgm:t>
    </dgm:pt>
    <dgm:pt modelId="{6AE07928-A557-420B-946C-54E2CE02CFED}" type="sibTrans" cxnId="{EBB164A2-152C-456F-8528-3ED1C679A5BB}">
      <dgm:prSet/>
      <dgm:spPr/>
      <dgm:t>
        <a:bodyPr/>
        <a:lstStyle/>
        <a:p>
          <a:pPr algn="ctr"/>
          <a:endParaRPr lang="es-CO" sz="1600">
            <a:latin typeface="Arial Narrow" pitchFamily="34" charset="0"/>
          </a:endParaRPr>
        </a:p>
      </dgm:t>
    </dgm:pt>
    <dgm:pt modelId="{FA071374-0992-4049-B383-E7D9E3939256}">
      <dgm:prSet phldrT="[Texto]" custT="1"/>
      <dgm:spPr>
        <a:solidFill>
          <a:schemeClr val="accent1"/>
        </a:solidFill>
      </dgm:spPr>
      <dgm:t>
        <a:bodyPr/>
        <a:lstStyle/>
        <a:p>
          <a:pPr algn="ctr"/>
          <a:r>
            <a:rPr lang="es-CO" sz="1200" b="1">
              <a:latin typeface="Arial Narrow" pitchFamily="34" charset="0"/>
            </a:rPr>
            <a:t>Educación</a:t>
          </a:r>
        </a:p>
      </dgm:t>
    </dgm:pt>
    <dgm:pt modelId="{810B4588-AC3B-499B-B86C-A676673B686E}" type="parTrans" cxnId="{7E5DD3B1-F773-4B90-90A1-8CA633AF9E3D}">
      <dgm:prSet/>
      <dgm:spPr/>
      <dgm:t>
        <a:bodyPr/>
        <a:lstStyle/>
        <a:p>
          <a:pPr algn="ctr"/>
          <a:endParaRPr lang="es-CO" sz="1600">
            <a:latin typeface="Arial Narrow" pitchFamily="34" charset="0"/>
          </a:endParaRPr>
        </a:p>
      </dgm:t>
    </dgm:pt>
    <dgm:pt modelId="{F7633511-B01E-4E1F-AEAC-24F524B910F0}" type="sibTrans" cxnId="{7E5DD3B1-F773-4B90-90A1-8CA633AF9E3D}">
      <dgm:prSet/>
      <dgm:spPr/>
      <dgm:t>
        <a:bodyPr/>
        <a:lstStyle/>
        <a:p>
          <a:pPr algn="ctr"/>
          <a:endParaRPr lang="es-CO" sz="1600">
            <a:latin typeface="Arial Narrow" pitchFamily="34" charset="0"/>
          </a:endParaRPr>
        </a:p>
      </dgm:t>
    </dgm:pt>
    <dgm:pt modelId="{7EF43098-9F55-4D56-92E8-C167DC99C163}">
      <dgm:prSet phldrT="[Texto]" custT="1"/>
      <dgm:spPr>
        <a:solidFill>
          <a:schemeClr val="tx2">
            <a:lumMod val="20000"/>
            <a:lumOff val="80000"/>
          </a:schemeClr>
        </a:solidFill>
      </dgm:spPr>
      <dgm:t>
        <a:bodyPr/>
        <a:lstStyle/>
        <a:p>
          <a:pPr algn="l">
            <a:spcBef>
              <a:spcPts val="600"/>
            </a:spcBef>
            <a:spcAft>
              <a:spcPts val="600"/>
            </a:spcAft>
          </a:pPr>
          <a:r>
            <a:rPr lang="es-CO" sz="1200">
              <a:latin typeface="Arial Narrow" pitchFamily="34" charset="0"/>
            </a:rPr>
            <a:t>Básica (1 a 9 años de escolaridad), Media (10 a 11 años), Técnica (12 a 14 años), Superior (15 años o más de escolaridad)</a:t>
          </a:r>
        </a:p>
      </dgm:t>
    </dgm:pt>
    <dgm:pt modelId="{0D8128A7-79B7-46AF-B40F-E7705A240781}" type="parTrans" cxnId="{5F4D4432-265A-4C99-9479-D6B0CD255D54}">
      <dgm:prSet/>
      <dgm:spPr/>
      <dgm:t>
        <a:bodyPr/>
        <a:lstStyle/>
        <a:p>
          <a:pPr algn="ctr"/>
          <a:endParaRPr lang="es-CO" sz="1600">
            <a:latin typeface="Arial Narrow" pitchFamily="34" charset="0"/>
          </a:endParaRPr>
        </a:p>
      </dgm:t>
    </dgm:pt>
    <dgm:pt modelId="{31BC5EE1-17D9-4721-91F4-298182115477}" type="sibTrans" cxnId="{5F4D4432-265A-4C99-9479-D6B0CD255D54}">
      <dgm:prSet/>
      <dgm:spPr/>
      <dgm:t>
        <a:bodyPr/>
        <a:lstStyle/>
        <a:p>
          <a:pPr algn="ctr"/>
          <a:endParaRPr lang="es-CO" sz="1600">
            <a:latin typeface="Arial Narrow" pitchFamily="34" charset="0"/>
          </a:endParaRPr>
        </a:p>
      </dgm:t>
    </dgm:pt>
    <dgm:pt modelId="{D947A4ED-E61A-47AA-B134-2E7C85E1110B}">
      <dgm:prSet phldrT="[Texto]" custT="1"/>
      <dgm:spPr>
        <a:solidFill>
          <a:schemeClr val="accent1"/>
        </a:solidFill>
      </dgm:spPr>
      <dgm:t>
        <a:bodyPr/>
        <a:lstStyle/>
        <a:p>
          <a:pPr algn="ctr"/>
          <a:r>
            <a:rPr lang="es-CO" sz="1200" b="1">
              <a:latin typeface="Arial Narrow" pitchFamily="34" charset="0"/>
            </a:rPr>
            <a:t>Edad</a:t>
          </a:r>
        </a:p>
      </dgm:t>
    </dgm:pt>
    <dgm:pt modelId="{ED8EDC7C-7BA9-493C-A8D4-40B6F550BABF}" type="parTrans" cxnId="{B8CA792C-14FF-416F-9B50-28A95553B008}">
      <dgm:prSet/>
      <dgm:spPr/>
      <dgm:t>
        <a:bodyPr/>
        <a:lstStyle/>
        <a:p>
          <a:pPr algn="ctr"/>
          <a:endParaRPr lang="es-CO" sz="1600">
            <a:latin typeface="Arial Narrow" pitchFamily="34" charset="0"/>
          </a:endParaRPr>
        </a:p>
      </dgm:t>
    </dgm:pt>
    <dgm:pt modelId="{010DEB09-C269-4A89-81B2-4A130E06B742}" type="sibTrans" cxnId="{B8CA792C-14FF-416F-9B50-28A95553B008}">
      <dgm:prSet/>
      <dgm:spPr/>
      <dgm:t>
        <a:bodyPr/>
        <a:lstStyle/>
        <a:p>
          <a:pPr algn="ctr"/>
          <a:endParaRPr lang="es-CO" sz="1600">
            <a:latin typeface="Arial Narrow" pitchFamily="34" charset="0"/>
          </a:endParaRPr>
        </a:p>
      </dgm:t>
    </dgm:pt>
    <dgm:pt modelId="{A8F82846-C494-492A-B01E-1550B923C73A}">
      <dgm:prSet phldrT="[Texto]" custT="1"/>
      <dgm:spPr>
        <a:solidFill>
          <a:schemeClr val="tx2">
            <a:lumMod val="20000"/>
            <a:lumOff val="80000"/>
          </a:schemeClr>
        </a:solidFill>
      </dgm:spPr>
      <dgm:t>
        <a:bodyPr/>
        <a:lstStyle/>
        <a:p>
          <a:pPr algn="l">
            <a:spcBef>
              <a:spcPts val="600"/>
            </a:spcBef>
            <a:spcAft>
              <a:spcPts val="600"/>
            </a:spcAft>
          </a:pPr>
          <a:r>
            <a:rPr lang="es-CO" sz="1200">
              <a:latin typeface="Arial Narrow" pitchFamily="34" charset="0"/>
            </a:rPr>
            <a:t>7 a 17 años, 18 a 34 años, 35 a 59 años, 60 o más años</a:t>
          </a:r>
        </a:p>
      </dgm:t>
    </dgm:pt>
    <dgm:pt modelId="{EA842E74-F41A-4CDC-BC01-F5F19F89453F}" type="parTrans" cxnId="{A4362C0C-9DF4-4783-B0D8-E658BA266E60}">
      <dgm:prSet/>
      <dgm:spPr/>
      <dgm:t>
        <a:bodyPr/>
        <a:lstStyle/>
        <a:p>
          <a:pPr algn="ctr"/>
          <a:endParaRPr lang="es-CO" sz="1600">
            <a:latin typeface="Arial Narrow" pitchFamily="34" charset="0"/>
          </a:endParaRPr>
        </a:p>
      </dgm:t>
    </dgm:pt>
    <dgm:pt modelId="{FEF0E011-4937-4383-BFC6-6304EC3BC95B}" type="sibTrans" cxnId="{A4362C0C-9DF4-4783-B0D8-E658BA266E60}">
      <dgm:prSet/>
      <dgm:spPr/>
      <dgm:t>
        <a:bodyPr/>
        <a:lstStyle/>
        <a:p>
          <a:pPr algn="ctr"/>
          <a:endParaRPr lang="es-CO" sz="1600">
            <a:latin typeface="Arial Narrow" pitchFamily="34" charset="0"/>
          </a:endParaRPr>
        </a:p>
      </dgm:t>
    </dgm:pt>
    <dgm:pt modelId="{B8E2EACE-2BE4-49BC-B36F-AE9548B4718D}">
      <dgm:prSet phldrT="[Texto]" custT="1"/>
      <dgm:spPr>
        <a:solidFill>
          <a:schemeClr val="accent1"/>
        </a:solidFill>
      </dgm:spPr>
      <dgm:t>
        <a:bodyPr/>
        <a:lstStyle/>
        <a:p>
          <a:pPr algn="ctr"/>
          <a:r>
            <a:rPr lang="es-CO" sz="1200" b="1">
              <a:latin typeface="Arial Narrow" pitchFamily="34" charset="0"/>
            </a:rPr>
            <a:t>Ingreso del hogar</a:t>
          </a:r>
        </a:p>
      </dgm:t>
    </dgm:pt>
    <dgm:pt modelId="{3037AA93-C907-4081-AC54-FEB19D4C2F1F}" type="parTrans" cxnId="{5855F9DF-844D-4C42-92A7-EDA9FD66EBB6}">
      <dgm:prSet/>
      <dgm:spPr/>
      <dgm:t>
        <a:bodyPr/>
        <a:lstStyle/>
        <a:p>
          <a:pPr algn="ctr"/>
          <a:endParaRPr lang="es-CO" sz="1600">
            <a:latin typeface="Arial Narrow" pitchFamily="34" charset="0"/>
          </a:endParaRPr>
        </a:p>
      </dgm:t>
    </dgm:pt>
    <dgm:pt modelId="{BFAD2EF3-76FB-492D-B416-74C0C89DF7BC}" type="sibTrans" cxnId="{5855F9DF-844D-4C42-92A7-EDA9FD66EBB6}">
      <dgm:prSet/>
      <dgm:spPr/>
      <dgm:t>
        <a:bodyPr/>
        <a:lstStyle/>
        <a:p>
          <a:pPr algn="ctr"/>
          <a:endParaRPr lang="es-CO" sz="1600">
            <a:latin typeface="Arial Narrow" pitchFamily="34" charset="0"/>
          </a:endParaRPr>
        </a:p>
      </dgm:t>
    </dgm:pt>
    <dgm:pt modelId="{A0BC2B7A-3DBE-4B94-A0A0-98418424CBA2}">
      <dgm:prSet phldrT="[Texto]" custT="1"/>
      <dgm:spPr>
        <a:solidFill>
          <a:schemeClr val="tx2">
            <a:lumMod val="20000"/>
            <a:lumOff val="80000"/>
          </a:schemeClr>
        </a:solidFill>
      </dgm:spPr>
      <dgm:t>
        <a:bodyPr/>
        <a:lstStyle/>
        <a:p>
          <a:pPr algn="l">
            <a:spcBef>
              <a:spcPts val="600"/>
            </a:spcBef>
            <a:spcAft>
              <a:spcPts val="600"/>
            </a:spcAft>
          </a:pPr>
          <a:r>
            <a:rPr lang="es-CO" sz="1200" b="0">
              <a:latin typeface="Arial Narrow" pitchFamily="34" charset="0"/>
            </a:rPr>
            <a:t>Ingresos de todos los miembros del hogar (medidos en millones de pesos al mes)</a:t>
          </a:r>
        </a:p>
      </dgm:t>
    </dgm:pt>
    <dgm:pt modelId="{44159C87-A104-48C8-B6EC-E00997B5DB25}" type="parTrans" cxnId="{0A4B8325-6568-456E-8B12-3E2E9C450BC9}">
      <dgm:prSet/>
      <dgm:spPr/>
      <dgm:t>
        <a:bodyPr/>
        <a:lstStyle/>
        <a:p>
          <a:pPr algn="ctr"/>
          <a:endParaRPr lang="es-CO" sz="1600"/>
        </a:p>
      </dgm:t>
    </dgm:pt>
    <dgm:pt modelId="{BBD4A0A6-6BDB-425A-A384-29F42449E980}" type="sibTrans" cxnId="{0A4B8325-6568-456E-8B12-3E2E9C450BC9}">
      <dgm:prSet/>
      <dgm:spPr/>
      <dgm:t>
        <a:bodyPr/>
        <a:lstStyle/>
        <a:p>
          <a:pPr algn="ctr"/>
          <a:endParaRPr lang="es-CO" sz="1600"/>
        </a:p>
      </dgm:t>
    </dgm:pt>
    <dgm:pt modelId="{7C5B01A7-0523-4582-A9DE-71191EBD8838}">
      <dgm:prSet phldrT="[Texto]" custT="1"/>
      <dgm:spPr/>
      <dgm:t>
        <a:bodyPr/>
        <a:lstStyle/>
        <a:p>
          <a:pPr algn="ctr"/>
          <a:r>
            <a:rPr lang="es-CO" sz="1200" b="1" i="0">
              <a:latin typeface="Arial Narrow" pitchFamily="34" charset="0"/>
            </a:rPr>
            <a:t>TIC</a:t>
          </a:r>
        </a:p>
      </dgm:t>
    </dgm:pt>
    <dgm:pt modelId="{8B25D3E9-C2AF-4AAC-837C-1111F84A70F9}" type="parTrans" cxnId="{204632D4-705E-4007-9BCD-535787B6D6F3}">
      <dgm:prSet/>
      <dgm:spPr/>
      <dgm:t>
        <a:bodyPr/>
        <a:lstStyle/>
        <a:p>
          <a:pPr algn="ctr"/>
          <a:endParaRPr lang="es-CO"/>
        </a:p>
      </dgm:t>
    </dgm:pt>
    <dgm:pt modelId="{1FAF29C0-4875-4FCB-8393-78C6D6BBF1CE}" type="sibTrans" cxnId="{204632D4-705E-4007-9BCD-535787B6D6F3}">
      <dgm:prSet/>
      <dgm:spPr/>
      <dgm:t>
        <a:bodyPr/>
        <a:lstStyle/>
        <a:p>
          <a:pPr algn="ctr"/>
          <a:endParaRPr lang="es-CO"/>
        </a:p>
      </dgm:t>
    </dgm:pt>
    <dgm:pt modelId="{281EDD5D-14BA-479D-BB76-030FDDC5F88C}">
      <dgm:prSet phldrT="[Texto]" custT="1"/>
      <dgm:spPr/>
      <dgm:t>
        <a:bodyPr/>
        <a:lstStyle/>
        <a:p>
          <a:pPr algn="l">
            <a:spcBef>
              <a:spcPts val="600"/>
            </a:spcBef>
            <a:spcAft>
              <a:spcPts val="600"/>
            </a:spcAft>
          </a:pPr>
          <a:r>
            <a:rPr lang="es-CO" sz="1200" b="0">
              <a:latin typeface="Arial Narrow" pitchFamily="34" charset="0"/>
            </a:rPr>
            <a:t>Telefonía fija, Telefonía móvil, Televisión por suscripción, Internet</a:t>
          </a:r>
        </a:p>
      </dgm:t>
    </dgm:pt>
    <dgm:pt modelId="{70B4C32C-FAB3-403A-9BE2-1D0508CE5B88}" type="parTrans" cxnId="{7A3B4BF6-FADB-4138-B818-FF0D77F40291}">
      <dgm:prSet/>
      <dgm:spPr/>
      <dgm:t>
        <a:bodyPr/>
        <a:lstStyle/>
        <a:p>
          <a:pPr algn="ctr"/>
          <a:endParaRPr lang="es-CO"/>
        </a:p>
      </dgm:t>
    </dgm:pt>
    <dgm:pt modelId="{894DBC8B-CDB1-47A0-AD4F-D42BA34CD577}" type="sibTrans" cxnId="{7A3B4BF6-FADB-4138-B818-FF0D77F40291}">
      <dgm:prSet/>
      <dgm:spPr/>
      <dgm:t>
        <a:bodyPr/>
        <a:lstStyle/>
        <a:p>
          <a:pPr algn="ctr"/>
          <a:endParaRPr lang="es-CO"/>
        </a:p>
      </dgm:t>
    </dgm:pt>
    <dgm:pt modelId="{373381BD-0696-494E-9E99-B12D4DF0F2E5}" type="pres">
      <dgm:prSet presAssocID="{B3355E32-0289-4E62-B2A9-F333F2F1A648}" presName="Name0" presStyleCnt="0">
        <dgm:presLayoutVars>
          <dgm:dir/>
          <dgm:animLvl val="lvl"/>
          <dgm:resizeHandles val="exact"/>
        </dgm:presLayoutVars>
      </dgm:prSet>
      <dgm:spPr/>
      <dgm:t>
        <a:bodyPr/>
        <a:lstStyle/>
        <a:p>
          <a:endParaRPr lang="es-CO"/>
        </a:p>
      </dgm:t>
    </dgm:pt>
    <dgm:pt modelId="{5F3651F5-187F-4831-B939-90E3C0601676}" type="pres">
      <dgm:prSet presAssocID="{BA826483-BD5B-4BDE-8C34-FE55AEE15BAB}" presName="linNode" presStyleCnt="0"/>
      <dgm:spPr/>
    </dgm:pt>
    <dgm:pt modelId="{E2C6B5E8-3CC9-4E1A-9D18-564C3785AA73}" type="pres">
      <dgm:prSet presAssocID="{BA826483-BD5B-4BDE-8C34-FE55AEE15BAB}" presName="parentText" presStyleLbl="node1" presStyleIdx="0" presStyleCnt="5" custScaleX="79802" custScaleY="60326" custLinFactNeighborX="-5984">
        <dgm:presLayoutVars>
          <dgm:chMax val="1"/>
          <dgm:bulletEnabled val="1"/>
        </dgm:presLayoutVars>
      </dgm:prSet>
      <dgm:spPr/>
      <dgm:t>
        <a:bodyPr/>
        <a:lstStyle/>
        <a:p>
          <a:endParaRPr lang="es-CO"/>
        </a:p>
      </dgm:t>
    </dgm:pt>
    <dgm:pt modelId="{847B07AE-1F56-48DA-880A-F80F22340AAA}" type="pres">
      <dgm:prSet presAssocID="{BA826483-BD5B-4BDE-8C34-FE55AEE15BAB}" presName="descendantText" presStyleLbl="alignAccFollowNode1" presStyleIdx="0" presStyleCnt="5" custScaleX="138586" custScaleY="71007" custLinFactNeighborX="3964">
        <dgm:presLayoutVars>
          <dgm:bulletEnabled val="1"/>
        </dgm:presLayoutVars>
      </dgm:prSet>
      <dgm:spPr/>
      <dgm:t>
        <a:bodyPr/>
        <a:lstStyle/>
        <a:p>
          <a:endParaRPr lang="es-CO"/>
        </a:p>
      </dgm:t>
    </dgm:pt>
    <dgm:pt modelId="{AB73B468-414F-4969-B840-6459BB1CAA2A}" type="pres">
      <dgm:prSet presAssocID="{24B441C8-6830-4D2D-8FEF-F6C613B915B6}" presName="sp" presStyleCnt="0"/>
      <dgm:spPr/>
    </dgm:pt>
    <dgm:pt modelId="{7416E1A0-9A4A-442A-B76C-ADF668E32B3E}" type="pres">
      <dgm:prSet presAssocID="{FA071374-0992-4049-B383-E7D9E3939256}" presName="linNode" presStyleCnt="0"/>
      <dgm:spPr/>
    </dgm:pt>
    <dgm:pt modelId="{5E653723-D366-49FA-BD19-78D75936858A}" type="pres">
      <dgm:prSet presAssocID="{FA071374-0992-4049-B383-E7D9E3939256}" presName="parentText" presStyleLbl="node1" presStyleIdx="1" presStyleCnt="5" custScaleX="79952" custScaleY="78804" custLinFactNeighborX="-5984">
        <dgm:presLayoutVars>
          <dgm:chMax val="1"/>
          <dgm:bulletEnabled val="1"/>
        </dgm:presLayoutVars>
      </dgm:prSet>
      <dgm:spPr/>
      <dgm:t>
        <a:bodyPr/>
        <a:lstStyle/>
        <a:p>
          <a:endParaRPr lang="es-CO"/>
        </a:p>
      </dgm:t>
    </dgm:pt>
    <dgm:pt modelId="{A742A841-9B83-426E-97B4-1E6A58BFB8D1}" type="pres">
      <dgm:prSet presAssocID="{FA071374-0992-4049-B383-E7D9E3939256}" presName="descendantText" presStyleLbl="alignAccFollowNode1" presStyleIdx="1" presStyleCnt="5" custScaleX="138586" custScaleY="92756" custLinFactNeighborX="3964">
        <dgm:presLayoutVars>
          <dgm:bulletEnabled val="1"/>
        </dgm:presLayoutVars>
      </dgm:prSet>
      <dgm:spPr/>
      <dgm:t>
        <a:bodyPr/>
        <a:lstStyle/>
        <a:p>
          <a:endParaRPr lang="es-CO"/>
        </a:p>
      </dgm:t>
    </dgm:pt>
    <dgm:pt modelId="{9C9A0111-8F5D-4F84-A759-ABF4E1A3A53A}" type="pres">
      <dgm:prSet presAssocID="{F7633511-B01E-4E1F-AEAC-24F524B910F0}" presName="sp" presStyleCnt="0"/>
      <dgm:spPr/>
    </dgm:pt>
    <dgm:pt modelId="{1EAB34A3-3F69-4033-A790-70FE60A9CCD7}" type="pres">
      <dgm:prSet presAssocID="{D947A4ED-E61A-47AA-B134-2E7C85E1110B}" presName="linNode" presStyleCnt="0"/>
      <dgm:spPr/>
    </dgm:pt>
    <dgm:pt modelId="{CB297C3C-6B8E-44A0-88E7-20FC1B7AD88C}" type="pres">
      <dgm:prSet presAssocID="{D947A4ED-E61A-47AA-B134-2E7C85E1110B}" presName="parentText" presStyleLbl="node1" presStyleIdx="2" presStyleCnt="5" custScaleX="79952" custScaleY="60326" custLinFactNeighborX="-5984">
        <dgm:presLayoutVars>
          <dgm:chMax val="1"/>
          <dgm:bulletEnabled val="1"/>
        </dgm:presLayoutVars>
      </dgm:prSet>
      <dgm:spPr/>
      <dgm:t>
        <a:bodyPr/>
        <a:lstStyle/>
        <a:p>
          <a:endParaRPr lang="es-CO"/>
        </a:p>
      </dgm:t>
    </dgm:pt>
    <dgm:pt modelId="{8138D229-6932-408B-A926-D0B9DB9A5054}" type="pres">
      <dgm:prSet presAssocID="{D947A4ED-E61A-47AA-B134-2E7C85E1110B}" presName="descendantText" presStyleLbl="alignAccFollowNode1" presStyleIdx="2" presStyleCnt="5" custScaleX="138586" custScaleY="71007" custLinFactNeighborX="3964">
        <dgm:presLayoutVars>
          <dgm:bulletEnabled val="1"/>
        </dgm:presLayoutVars>
      </dgm:prSet>
      <dgm:spPr/>
      <dgm:t>
        <a:bodyPr/>
        <a:lstStyle/>
        <a:p>
          <a:endParaRPr lang="es-CO"/>
        </a:p>
      </dgm:t>
    </dgm:pt>
    <dgm:pt modelId="{B04EB3E4-99C2-4C20-8274-D70558F88270}" type="pres">
      <dgm:prSet presAssocID="{010DEB09-C269-4A89-81B2-4A130E06B742}" presName="sp" presStyleCnt="0"/>
      <dgm:spPr/>
    </dgm:pt>
    <dgm:pt modelId="{2394DBE1-3C15-42F6-B8F7-788ED75CFBF1}" type="pres">
      <dgm:prSet presAssocID="{B8E2EACE-2BE4-49BC-B36F-AE9548B4718D}" presName="linNode" presStyleCnt="0"/>
      <dgm:spPr/>
    </dgm:pt>
    <dgm:pt modelId="{275A7685-5D88-474C-B1C5-15FFEE32B4FA}" type="pres">
      <dgm:prSet presAssocID="{B8E2EACE-2BE4-49BC-B36F-AE9548B4718D}" presName="parentText" presStyleLbl="node1" presStyleIdx="3" presStyleCnt="5" custScaleX="79952" custScaleY="60326" custLinFactNeighborX="-10637">
        <dgm:presLayoutVars>
          <dgm:chMax val="1"/>
          <dgm:bulletEnabled val="1"/>
        </dgm:presLayoutVars>
      </dgm:prSet>
      <dgm:spPr/>
      <dgm:t>
        <a:bodyPr/>
        <a:lstStyle/>
        <a:p>
          <a:endParaRPr lang="es-CO"/>
        </a:p>
      </dgm:t>
    </dgm:pt>
    <dgm:pt modelId="{530887FA-258D-41C2-830C-64CE43A52828}" type="pres">
      <dgm:prSet presAssocID="{B8E2EACE-2BE4-49BC-B36F-AE9548B4718D}" presName="descendantText" presStyleLbl="alignAccFollowNode1" presStyleIdx="3" presStyleCnt="5" custScaleX="138586" custScaleY="71007" custLinFactNeighborX="2888">
        <dgm:presLayoutVars>
          <dgm:bulletEnabled val="1"/>
        </dgm:presLayoutVars>
      </dgm:prSet>
      <dgm:spPr/>
      <dgm:t>
        <a:bodyPr/>
        <a:lstStyle/>
        <a:p>
          <a:endParaRPr lang="es-CO"/>
        </a:p>
      </dgm:t>
    </dgm:pt>
    <dgm:pt modelId="{ADA893F5-CB80-4767-B640-3BBA20957A53}" type="pres">
      <dgm:prSet presAssocID="{BFAD2EF3-76FB-492D-B416-74C0C89DF7BC}" presName="sp" presStyleCnt="0"/>
      <dgm:spPr/>
    </dgm:pt>
    <dgm:pt modelId="{665670E8-5EE8-4A7C-BD6E-366153185A3B}" type="pres">
      <dgm:prSet presAssocID="{7C5B01A7-0523-4582-A9DE-71191EBD8838}" presName="linNode" presStyleCnt="0"/>
      <dgm:spPr/>
    </dgm:pt>
    <dgm:pt modelId="{C987A70C-981C-49FD-A3EC-2E15D9CDA4FF}" type="pres">
      <dgm:prSet presAssocID="{7C5B01A7-0523-4582-A9DE-71191EBD8838}" presName="parentText" presStyleLbl="node1" presStyleIdx="4" presStyleCnt="5" custScaleX="70129" custScaleY="66436">
        <dgm:presLayoutVars>
          <dgm:chMax val="1"/>
          <dgm:bulletEnabled val="1"/>
        </dgm:presLayoutVars>
      </dgm:prSet>
      <dgm:spPr/>
      <dgm:t>
        <a:bodyPr/>
        <a:lstStyle/>
        <a:p>
          <a:endParaRPr lang="es-CO"/>
        </a:p>
      </dgm:t>
    </dgm:pt>
    <dgm:pt modelId="{1BB66727-D82A-4C1C-A030-7A3336DB30B5}" type="pres">
      <dgm:prSet presAssocID="{7C5B01A7-0523-4582-A9DE-71191EBD8838}" presName="descendantText" presStyleLbl="alignAccFollowNode1" presStyleIdx="4" presStyleCnt="5" custScaleX="121626" custScaleY="77639" custLinFactNeighborX="1833">
        <dgm:presLayoutVars>
          <dgm:bulletEnabled val="1"/>
        </dgm:presLayoutVars>
      </dgm:prSet>
      <dgm:spPr/>
      <dgm:t>
        <a:bodyPr/>
        <a:lstStyle/>
        <a:p>
          <a:endParaRPr lang="es-CO"/>
        </a:p>
      </dgm:t>
    </dgm:pt>
  </dgm:ptLst>
  <dgm:cxnLst>
    <dgm:cxn modelId="{81FA25ED-6CC5-4DA8-BDB5-299E82D66E81}" type="presOf" srcId="{D947A4ED-E61A-47AA-B134-2E7C85E1110B}" destId="{CB297C3C-6B8E-44A0-88E7-20FC1B7AD88C}" srcOrd="0" destOrd="0" presId="urn:microsoft.com/office/officeart/2005/8/layout/vList5"/>
    <dgm:cxn modelId="{EBB164A2-152C-456F-8528-3ED1C679A5BB}" srcId="{BA826483-BD5B-4BDE-8C34-FE55AEE15BAB}" destId="{95BD0274-2ECE-4F96-9C37-10B9E28BA4E4}" srcOrd="0" destOrd="0" parTransId="{53DE7408-066E-42DC-8790-C69356DFD5D3}" sibTransId="{6AE07928-A557-420B-946C-54E2CE02CFED}"/>
    <dgm:cxn modelId="{204632D4-705E-4007-9BCD-535787B6D6F3}" srcId="{B3355E32-0289-4E62-B2A9-F333F2F1A648}" destId="{7C5B01A7-0523-4582-A9DE-71191EBD8838}" srcOrd="4" destOrd="0" parTransId="{8B25D3E9-C2AF-4AAC-837C-1111F84A70F9}" sibTransId="{1FAF29C0-4875-4FCB-8393-78C6D6BBF1CE}"/>
    <dgm:cxn modelId="{DDBB28DB-A6DC-46EA-A89E-FEB1D39D9BA7}" type="presOf" srcId="{281EDD5D-14BA-479D-BB76-030FDDC5F88C}" destId="{1BB66727-D82A-4C1C-A030-7A3336DB30B5}" srcOrd="0" destOrd="0" presId="urn:microsoft.com/office/officeart/2005/8/layout/vList5"/>
    <dgm:cxn modelId="{9BE1599B-B06C-4B4A-B19B-4C76171C60B5}" srcId="{B3355E32-0289-4E62-B2A9-F333F2F1A648}" destId="{BA826483-BD5B-4BDE-8C34-FE55AEE15BAB}" srcOrd="0" destOrd="0" parTransId="{72AD4AC6-4BB0-452C-8D43-A37DC1C61901}" sibTransId="{24B441C8-6830-4D2D-8FEF-F6C613B915B6}"/>
    <dgm:cxn modelId="{FBB5E771-6174-4680-8B97-7281F3D135B3}" type="presOf" srcId="{B8E2EACE-2BE4-49BC-B36F-AE9548B4718D}" destId="{275A7685-5D88-474C-B1C5-15FFEE32B4FA}" srcOrd="0" destOrd="0" presId="urn:microsoft.com/office/officeart/2005/8/layout/vList5"/>
    <dgm:cxn modelId="{056E9627-32DA-4A25-B84E-A1BA0B2EE092}" type="presOf" srcId="{FA071374-0992-4049-B383-E7D9E3939256}" destId="{5E653723-D366-49FA-BD19-78D75936858A}" srcOrd="0" destOrd="0" presId="urn:microsoft.com/office/officeart/2005/8/layout/vList5"/>
    <dgm:cxn modelId="{5F4D4432-265A-4C99-9479-D6B0CD255D54}" srcId="{FA071374-0992-4049-B383-E7D9E3939256}" destId="{7EF43098-9F55-4D56-92E8-C167DC99C163}" srcOrd="0" destOrd="0" parTransId="{0D8128A7-79B7-46AF-B40F-E7705A240781}" sibTransId="{31BC5EE1-17D9-4721-91F4-298182115477}"/>
    <dgm:cxn modelId="{A2F891D9-832C-48C4-A51A-F1DB528D0CE2}" type="presOf" srcId="{7EF43098-9F55-4D56-92E8-C167DC99C163}" destId="{A742A841-9B83-426E-97B4-1E6A58BFB8D1}" srcOrd="0" destOrd="0" presId="urn:microsoft.com/office/officeart/2005/8/layout/vList5"/>
    <dgm:cxn modelId="{6CB2C4ED-EE9A-475C-960E-A01E952B1AB3}" type="presOf" srcId="{BA826483-BD5B-4BDE-8C34-FE55AEE15BAB}" destId="{E2C6B5E8-3CC9-4E1A-9D18-564C3785AA73}" srcOrd="0" destOrd="0" presId="urn:microsoft.com/office/officeart/2005/8/layout/vList5"/>
    <dgm:cxn modelId="{AB3F26E5-184C-49A6-81F8-6E92FFE68872}" type="presOf" srcId="{A0BC2B7A-3DBE-4B94-A0A0-98418424CBA2}" destId="{530887FA-258D-41C2-830C-64CE43A52828}" srcOrd="0" destOrd="0" presId="urn:microsoft.com/office/officeart/2005/8/layout/vList5"/>
    <dgm:cxn modelId="{D14B1D05-50ED-446E-8084-837FC14C893D}" type="presOf" srcId="{A8F82846-C494-492A-B01E-1550B923C73A}" destId="{8138D229-6932-408B-A926-D0B9DB9A5054}" srcOrd="0" destOrd="0" presId="urn:microsoft.com/office/officeart/2005/8/layout/vList5"/>
    <dgm:cxn modelId="{B8CA792C-14FF-416F-9B50-28A95553B008}" srcId="{B3355E32-0289-4E62-B2A9-F333F2F1A648}" destId="{D947A4ED-E61A-47AA-B134-2E7C85E1110B}" srcOrd="2" destOrd="0" parTransId="{ED8EDC7C-7BA9-493C-A8D4-40B6F550BABF}" sibTransId="{010DEB09-C269-4A89-81B2-4A130E06B742}"/>
    <dgm:cxn modelId="{0A4B8325-6568-456E-8B12-3E2E9C450BC9}" srcId="{B8E2EACE-2BE4-49BC-B36F-AE9548B4718D}" destId="{A0BC2B7A-3DBE-4B94-A0A0-98418424CBA2}" srcOrd="0" destOrd="0" parTransId="{44159C87-A104-48C8-B6EC-E00997B5DB25}" sibTransId="{BBD4A0A6-6BDB-425A-A384-29F42449E980}"/>
    <dgm:cxn modelId="{A4362C0C-9DF4-4783-B0D8-E658BA266E60}" srcId="{D947A4ED-E61A-47AA-B134-2E7C85E1110B}" destId="{A8F82846-C494-492A-B01E-1550B923C73A}" srcOrd="0" destOrd="0" parTransId="{EA842E74-F41A-4CDC-BC01-F5F19F89453F}" sibTransId="{FEF0E011-4937-4383-BFC6-6304EC3BC95B}"/>
    <dgm:cxn modelId="{C76230A9-D997-4C0C-B98C-B294D755B869}" type="presOf" srcId="{B3355E32-0289-4E62-B2A9-F333F2F1A648}" destId="{373381BD-0696-494E-9E99-B12D4DF0F2E5}" srcOrd="0" destOrd="0" presId="urn:microsoft.com/office/officeart/2005/8/layout/vList5"/>
    <dgm:cxn modelId="{5855F9DF-844D-4C42-92A7-EDA9FD66EBB6}" srcId="{B3355E32-0289-4E62-B2A9-F333F2F1A648}" destId="{B8E2EACE-2BE4-49BC-B36F-AE9548B4718D}" srcOrd="3" destOrd="0" parTransId="{3037AA93-C907-4081-AC54-FEB19D4C2F1F}" sibTransId="{BFAD2EF3-76FB-492D-B416-74C0C89DF7BC}"/>
    <dgm:cxn modelId="{C81F075B-C1B9-44D9-AC64-2F273F5E02AF}" type="presOf" srcId="{95BD0274-2ECE-4F96-9C37-10B9E28BA4E4}" destId="{847B07AE-1F56-48DA-880A-F80F22340AAA}" srcOrd="0" destOrd="0" presId="urn:microsoft.com/office/officeart/2005/8/layout/vList5"/>
    <dgm:cxn modelId="{E345D455-A14F-4795-97A2-210A4D445F07}" type="presOf" srcId="{7C5B01A7-0523-4582-A9DE-71191EBD8838}" destId="{C987A70C-981C-49FD-A3EC-2E15D9CDA4FF}" srcOrd="0" destOrd="0" presId="urn:microsoft.com/office/officeart/2005/8/layout/vList5"/>
    <dgm:cxn modelId="{7E5DD3B1-F773-4B90-90A1-8CA633AF9E3D}" srcId="{B3355E32-0289-4E62-B2A9-F333F2F1A648}" destId="{FA071374-0992-4049-B383-E7D9E3939256}" srcOrd="1" destOrd="0" parTransId="{810B4588-AC3B-499B-B86C-A676673B686E}" sibTransId="{F7633511-B01E-4E1F-AEAC-24F524B910F0}"/>
    <dgm:cxn modelId="{7A3B4BF6-FADB-4138-B818-FF0D77F40291}" srcId="{7C5B01A7-0523-4582-A9DE-71191EBD8838}" destId="{281EDD5D-14BA-479D-BB76-030FDDC5F88C}" srcOrd="0" destOrd="0" parTransId="{70B4C32C-FAB3-403A-9BE2-1D0508CE5B88}" sibTransId="{894DBC8B-CDB1-47A0-AD4F-D42BA34CD577}"/>
    <dgm:cxn modelId="{3B5B3875-062E-439A-A441-120137A60384}" type="presParOf" srcId="{373381BD-0696-494E-9E99-B12D4DF0F2E5}" destId="{5F3651F5-187F-4831-B939-90E3C0601676}" srcOrd="0" destOrd="0" presId="urn:microsoft.com/office/officeart/2005/8/layout/vList5"/>
    <dgm:cxn modelId="{7983853B-2FCB-4D25-AFEE-B51E277A6E2A}" type="presParOf" srcId="{5F3651F5-187F-4831-B939-90E3C0601676}" destId="{E2C6B5E8-3CC9-4E1A-9D18-564C3785AA73}" srcOrd="0" destOrd="0" presId="urn:microsoft.com/office/officeart/2005/8/layout/vList5"/>
    <dgm:cxn modelId="{0F2A51C2-7A42-46A9-A9AB-9A48F3C0143E}" type="presParOf" srcId="{5F3651F5-187F-4831-B939-90E3C0601676}" destId="{847B07AE-1F56-48DA-880A-F80F22340AAA}" srcOrd="1" destOrd="0" presId="urn:microsoft.com/office/officeart/2005/8/layout/vList5"/>
    <dgm:cxn modelId="{F4C9506D-3C73-4684-99C5-22DAA514C246}" type="presParOf" srcId="{373381BD-0696-494E-9E99-B12D4DF0F2E5}" destId="{AB73B468-414F-4969-B840-6459BB1CAA2A}" srcOrd="1" destOrd="0" presId="urn:microsoft.com/office/officeart/2005/8/layout/vList5"/>
    <dgm:cxn modelId="{9B98789B-F588-4E82-8DD0-94CD11A6A477}" type="presParOf" srcId="{373381BD-0696-494E-9E99-B12D4DF0F2E5}" destId="{7416E1A0-9A4A-442A-B76C-ADF668E32B3E}" srcOrd="2" destOrd="0" presId="urn:microsoft.com/office/officeart/2005/8/layout/vList5"/>
    <dgm:cxn modelId="{1ACB674D-8CFE-401B-BFD2-37F6DC4906B4}" type="presParOf" srcId="{7416E1A0-9A4A-442A-B76C-ADF668E32B3E}" destId="{5E653723-D366-49FA-BD19-78D75936858A}" srcOrd="0" destOrd="0" presId="urn:microsoft.com/office/officeart/2005/8/layout/vList5"/>
    <dgm:cxn modelId="{09B27F25-5885-4558-A3AB-D778BAF50C61}" type="presParOf" srcId="{7416E1A0-9A4A-442A-B76C-ADF668E32B3E}" destId="{A742A841-9B83-426E-97B4-1E6A58BFB8D1}" srcOrd="1" destOrd="0" presId="urn:microsoft.com/office/officeart/2005/8/layout/vList5"/>
    <dgm:cxn modelId="{235D185D-F8E1-49E4-A64B-057FAE7E490B}" type="presParOf" srcId="{373381BD-0696-494E-9E99-B12D4DF0F2E5}" destId="{9C9A0111-8F5D-4F84-A759-ABF4E1A3A53A}" srcOrd="3" destOrd="0" presId="urn:microsoft.com/office/officeart/2005/8/layout/vList5"/>
    <dgm:cxn modelId="{BC882D49-AE15-4A76-9B3E-B5BF2AC6C8CA}" type="presParOf" srcId="{373381BD-0696-494E-9E99-B12D4DF0F2E5}" destId="{1EAB34A3-3F69-4033-A790-70FE60A9CCD7}" srcOrd="4" destOrd="0" presId="urn:microsoft.com/office/officeart/2005/8/layout/vList5"/>
    <dgm:cxn modelId="{72C9E346-738C-47D4-A767-BCDE388D60C5}" type="presParOf" srcId="{1EAB34A3-3F69-4033-A790-70FE60A9CCD7}" destId="{CB297C3C-6B8E-44A0-88E7-20FC1B7AD88C}" srcOrd="0" destOrd="0" presId="urn:microsoft.com/office/officeart/2005/8/layout/vList5"/>
    <dgm:cxn modelId="{46F42B88-D51E-40F6-BAFF-2B192451B4DC}" type="presParOf" srcId="{1EAB34A3-3F69-4033-A790-70FE60A9CCD7}" destId="{8138D229-6932-408B-A926-D0B9DB9A5054}" srcOrd="1" destOrd="0" presId="urn:microsoft.com/office/officeart/2005/8/layout/vList5"/>
    <dgm:cxn modelId="{F77D17AA-8E20-4AD7-93FC-D5142B3D90FD}" type="presParOf" srcId="{373381BD-0696-494E-9E99-B12D4DF0F2E5}" destId="{B04EB3E4-99C2-4C20-8274-D70558F88270}" srcOrd="5" destOrd="0" presId="urn:microsoft.com/office/officeart/2005/8/layout/vList5"/>
    <dgm:cxn modelId="{2972E07F-29C9-4FD7-967A-502F1AD8E690}" type="presParOf" srcId="{373381BD-0696-494E-9E99-B12D4DF0F2E5}" destId="{2394DBE1-3C15-42F6-B8F7-788ED75CFBF1}" srcOrd="6" destOrd="0" presId="urn:microsoft.com/office/officeart/2005/8/layout/vList5"/>
    <dgm:cxn modelId="{FE12F0E9-ABD3-4B2A-B504-F40EE0D49522}" type="presParOf" srcId="{2394DBE1-3C15-42F6-B8F7-788ED75CFBF1}" destId="{275A7685-5D88-474C-B1C5-15FFEE32B4FA}" srcOrd="0" destOrd="0" presId="urn:microsoft.com/office/officeart/2005/8/layout/vList5"/>
    <dgm:cxn modelId="{ED0ADBF4-8519-41C4-B395-8AFBFCE83350}" type="presParOf" srcId="{2394DBE1-3C15-42F6-B8F7-788ED75CFBF1}" destId="{530887FA-258D-41C2-830C-64CE43A52828}" srcOrd="1" destOrd="0" presId="urn:microsoft.com/office/officeart/2005/8/layout/vList5"/>
    <dgm:cxn modelId="{4EB42C20-5E82-462C-A097-515B76ADF19E}" type="presParOf" srcId="{373381BD-0696-494E-9E99-B12D4DF0F2E5}" destId="{ADA893F5-CB80-4767-B640-3BBA20957A53}" srcOrd="7" destOrd="0" presId="urn:microsoft.com/office/officeart/2005/8/layout/vList5"/>
    <dgm:cxn modelId="{EE1F8F68-2974-4599-8E57-B165BDABB5B2}" type="presParOf" srcId="{373381BD-0696-494E-9E99-B12D4DF0F2E5}" destId="{665670E8-5EE8-4A7C-BD6E-366153185A3B}" srcOrd="8" destOrd="0" presId="urn:microsoft.com/office/officeart/2005/8/layout/vList5"/>
    <dgm:cxn modelId="{D419A3D9-3479-407F-A413-1ECA7024216A}" type="presParOf" srcId="{665670E8-5EE8-4A7C-BD6E-366153185A3B}" destId="{C987A70C-981C-49FD-A3EC-2E15D9CDA4FF}" srcOrd="0" destOrd="0" presId="urn:microsoft.com/office/officeart/2005/8/layout/vList5"/>
    <dgm:cxn modelId="{1B4A84A3-35BB-44C3-9CFE-7E44872B0B8E}" type="presParOf" srcId="{665670E8-5EE8-4A7C-BD6E-366153185A3B}" destId="{1BB66727-D82A-4C1C-A030-7A3336DB30B5}" srcOrd="1" destOrd="0" presId="urn:microsoft.com/office/officeart/2005/8/layout/vList5"/>
  </dgm:cxnLst>
  <dgm:bg/>
  <dgm:whole/>
  <dgm:extLst>
    <a:ext uri="http://schemas.microsoft.com/office/drawing/2008/diagram">
      <dsp:dataModelExt xmlns:dsp="http://schemas.microsoft.com/office/drawing/2008/diagram" xmlns="" relId="rId76"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379B56DA-C4ED-4846-A0B2-D612AB0871BB}"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endParaRPr lang="es-CO"/>
        </a:p>
      </dgm:t>
    </dgm:pt>
    <dgm:pt modelId="{1C299D3F-D97A-4853-94BF-3730A0D8C905}">
      <dgm:prSet phldrT="[Texto]" custT="1"/>
      <dgm:spPr>
        <a:solidFill>
          <a:schemeClr val="accent4">
            <a:lumMod val="60000"/>
            <a:lumOff val="40000"/>
          </a:schemeClr>
        </a:solidFill>
      </dgm:spPr>
      <dgm:t>
        <a:bodyPr/>
        <a:lstStyle/>
        <a:p>
          <a:pPr algn="ctr"/>
          <a:r>
            <a:rPr lang="es-CO" sz="1100" b="1">
              <a:latin typeface="Century Gothic" pitchFamily="34" charset="0"/>
            </a:rPr>
            <a:t>INSTRUMENTO</a:t>
          </a:r>
        </a:p>
      </dgm:t>
    </dgm:pt>
    <dgm:pt modelId="{77A1C218-8E09-4449-81CF-C0299F716C4C}" type="parTrans" cxnId="{69DE26E0-1722-4C52-84A6-FFA6E6A6E885}">
      <dgm:prSet/>
      <dgm:spPr/>
      <dgm:t>
        <a:bodyPr/>
        <a:lstStyle/>
        <a:p>
          <a:pPr algn="ctr"/>
          <a:endParaRPr lang="es-CO" sz="1600">
            <a:latin typeface="Century Gothic" pitchFamily="34" charset="0"/>
          </a:endParaRPr>
        </a:p>
      </dgm:t>
    </dgm:pt>
    <dgm:pt modelId="{86728198-1F4A-402F-B692-298ED80A3AA0}" type="sibTrans" cxnId="{69DE26E0-1722-4C52-84A6-FFA6E6A6E885}">
      <dgm:prSet/>
      <dgm:spPr/>
      <dgm:t>
        <a:bodyPr/>
        <a:lstStyle/>
        <a:p>
          <a:pPr algn="ctr"/>
          <a:endParaRPr lang="es-CO" sz="1600">
            <a:latin typeface="Century Gothic" pitchFamily="34" charset="0"/>
          </a:endParaRPr>
        </a:p>
      </dgm:t>
    </dgm:pt>
    <dgm:pt modelId="{C961EFD1-7361-477C-AFC5-1504DDBED3A6}">
      <dgm:prSet phldrT="[Texto]" custT="1"/>
      <dgm:spPr/>
      <dgm:t>
        <a:bodyPr anchor="t" anchorCtr="0"/>
        <a:lstStyle/>
        <a:p>
          <a:pPr algn="ctr"/>
          <a:endParaRPr lang="es-CO" sz="700" b="1">
            <a:latin typeface="Century Gothic" pitchFamily="34" charset="0"/>
          </a:endParaRPr>
        </a:p>
        <a:p>
          <a:pPr algn="ctr"/>
          <a:r>
            <a:rPr lang="es-CO" sz="1200" b="1">
              <a:latin typeface="Century Gothic" pitchFamily="34" charset="0"/>
            </a:rPr>
            <a:t>ELEMENTOS ESTRATÉGICOS</a:t>
          </a:r>
        </a:p>
      </dgm:t>
    </dgm:pt>
    <dgm:pt modelId="{9B425574-29E1-4834-A78E-7D7774EE1431}" type="parTrans" cxnId="{6D73DDEC-C0B4-4E47-BFF1-D5FD20D05DC6}">
      <dgm:prSet/>
      <dgm:spPr/>
      <dgm:t>
        <a:bodyPr/>
        <a:lstStyle/>
        <a:p>
          <a:pPr algn="ctr"/>
          <a:endParaRPr lang="es-CO" sz="1600">
            <a:latin typeface="Century Gothic" pitchFamily="34" charset="0"/>
          </a:endParaRPr>
        </a:p>
      </dgm:t>
    </dgm:pt>
    <dgm:pt modelId="{A24D9CA0-BC15-432F-B3BE-9C7C70C88774}" type="sibTrans" cxnId="{6D73DDEC-C0B4-4E47-BFF1-D5FD20D05DC6}">
      <dgm:prSet/>
      <dgm:spPr/>
      <dgm:t>
        <a:bodyPr/>
        <a:lstStyle/>
        <a:p>
          <a:pPr algn="ctr"/>
          <a:endParaRPr lang="es-CO" sz="1600">
            <a:latin typeface="Century Gothic" pitchFamily="34" charset="0"/>
          </a:endParaRPr>
        </a:p>
      </dgm:t>
    </dgm:pt>
    <dgm:pt modelId="{1DD44FE5-70D5-46A0-B87D-03C7A65A3D6E}">
      <dgm:prSet phldrT="[Texto]"/>
      <dgm:spPr/>
      <dgm:t>
        <a:bodyPr/>
        <a:lstStyle/>
        <a:p>
          <a:pPr algn="ctr"/>
          <a:endParaRPr lang="es-CO" sz="1600">
            <a:latin typeface="Century Gothic" pitchFamily="34" charset="0"/>
          </a:endParaRPr>
        </a:p>
      </dgm:t>
    </dgm:pt>
    <dgm:pt modelId="{1F73EB5B-FD53-4181-B065-2168E8F4C9E8}" type="parTrans" cxnId="{71DF2C8F-EDA1-44EF-82F8-715104B793BD}">
      <dgm:prSet/>
      <dgm:spPr/>
      <dgm:t>
        <a:bodyPr/>
        <a:lstStyle/>
        <a:p>
          <a:pPr algn="ctr"/>
          <a:endParaRPr lang="es-CO" sz="1600">
            <a:latin typeface="Century Gothic" pitchFamily="34" charset="0"/>
          </a:endParaRPr>
        </a:p>
      </dgm:t>
    </dgm:pt>
    <dgm:pt modelId="{00289F91-1EB4-402B-846C-09B1C96B3D99}" type="sibTrans" cxnId="{71DF2C8F-EDA1-44EF-82F8-715104B793BD}">
      <dgm:prSet/>
      <dgm:spPr/>
      <dgm:t>
        <a:bodyPr/>
        <a:lstStyle/>
        <a:p>
          <a:pPr algn="ctr"/>
          <a:endParaRPr lang="es-CO" sz="1600">
            <a:latin typeface="Century Gothic" pitchFamily="34" charset="0"/>
          </a:endParaRPr>
        </a:p>
      </dgm:t>
    </dgm:pt>
    <dgm:pt modelId="{3D3DE096-DFEF-43E9-8178-06F6876637AB}">
      <dgm:prSet phldrT="[Texto]" custT="1"/>
      <dgm:spPr/>
      <dgm:t>
        <a:bodyPr anchor="t" anchorCtr="0"/>
        <a:lstStyle/>
        <a:p>
          <a:pPr algn="ctr">
            <a:lnSpc>
              <a:spcPct val="100000"/>
            </a:lnSpc>
            <a:spcAft>
              <a:spcPct val="35000"/>
            </a:spcAft>
          </a:pPr>
          <a:endParaRPr lang="es-CO" sz="800" b="1">
            <a:latin typeface="Century Gothic" pitchFamily="34" charset="0"/>
          </a:endParaRPr>
        </a:p>
        <a:p>
          <a:pPr algn="ctr">
            <a:lnSpc>
              <a:spcPct val="100000"/>
            </a:lnSpc>
            <a:spcAft>
              <a:spcPts val="0"/>
            </a:spcAft>
          </a:pPr>
          <a:r>
            <a:rPr lang="es-CO" sz="1200" b="1">
              <a:latin typeface="Century Gothic" pitchFamily="34" charset="0"/>
            </a:rPr>
            <a:t>MARCA</a:t>
          </a:r>
        </a:p>
        <a:p>
          <a:pPr algn="ctr">
            <a:lnSpc>
              <a:spcPct val="100000"/>
            </a:lnSpc>
            <a:spcAft>
              <a:spcPts val="0"/>
            </a:spcAft>
          </a:pPr>
          <a:r>
            <a:rPr lang="es-CO" sz="1000" b="1">
              <a:latin typeface="Century Gothic" pitchFamily="34" charset="0"/>
            </a:rPr>
            <a:t>(táctico)</a:t>
          </a:r>
        </a:p>
      </dgm:t>
    </dgm:pt>
    <dgm:pt modelId="{44B3A3E9-DE79-4125-B5B4-C64102EE4A24}" type="sibTrans" cxnId="{13EA7DCC-E817-4F67-9820-DB67AB35AEFF}">
      <dgm:prSet/>
      <dgm:spPr/>
      <dgm:t>
        <a:bodyPr/>
        <a:lstStyle/>
        <a:p>
          <a:pPr algn="ctr"/>
          <a:endParaRPr lang="es-CO" sz="1600">
            <a:latin typeface="Century Gothic" pitchFamily="34" charset="0"/>
          </a:endParaRPr>
        </a:p>
      </dgm:t>
    </dgm:pt>
    <dgm:pt modelId="{DA4E317C-7C07-4AAD-8004-C7119D644DF5}" type="parTrans" cxnId="{13EA7DCC-E817-4F67-9820-DB67AB35AEFF}">
      <dgm:prSet/>
      <dgm:spPr/>
      <dgm:t>
        <a:bodyPr/>
        <a:lstStyle/>
        <a:p>
          <a:pPr algn="ctr"/>
          <a:endParaRPr lang="es-CO" sz="1600">
            <a:latin typeface="Century Gothic" pitchFamily="34" charset="0"/>
          </a:endParaRPr>
        </a:p>
      </dgm:t>
    </dgm:pt>
    <dgm:pt modelId="{B9FDD7B1-290E-4EE3-A9DB-589BBE992236}" type="pres">
      <dgm:prSet presAssocID="{379B56DA-C4ED-4846-A0B2-D612AB0871BB}" presName="cycle" presStyleCnt="0">
        <dgm:presLayoutVars>
          <dgm:chMax val="1"/>
          <dgm:dir/>
          <dgm:animLvl val="ctr"/>
          <dgm:resizeHandles val="exact"/>
        </dgm:presLayoutVars>
      </dgm:prSet>
      <dgm:spPr/>
      <dgm:t>
        <a:bodyPr/>
        <a:lstStyle/>
        <a:p>
          <a:endParaRPr lang="es-CO"/>
        </a:p>
      </dgm:t>
    </dgm:pt>
    <dgm:pt modelId="{E857C1EB-BA85-4968-97B4-911B4B177808}" type="pres">
      <dgm:prSet presAssocID="{1C299D3F-D97A-4853-94BF-3730A0D8C905}" presName="centerShape" presStyleLbl="node0" presStyleIdx="0" presStyleCnt="1" custScaleX="84716" custScaleY="84092" custLinFactNeighborX="248" custLinFactNeighborY="-1936"/>
      <dgm:spPr/>
      <dgm:t>
        <a:bodyPr/>
        <a:lstStyle/>
        <a:p>
          <a:endParaRPr lang="es-CO"/>
        </a:p>
      </dgm:t>
    </dgm:pt>
    <dgm:pt modelId="{E7448AB4-5168-4934-84F5-176457B2648E}" type="pres">
      <dgm:prSet presAssocID="{DA4E317C-7C07-4AAD-8004-C7119D644DF5}" presName="parTrans" presStyleLbl="bgSibTrans2D1" presStyleIdx="0" presStyleCnt="2" custLinFactNeighborX="3548"/>
      <dgm:spPr/>
      <dgm:t>
        <a:bodyPr/>
        <a:lstStyle/>
        <a:p>
          <a:endParaRPr lang="es-CO"/>
        </a:p>
      </dgm:t>
    </dgm:pt>
    <dgm:pt modelId="{D1D95F4A-2878-4643-B8C4-46E74D57BD4F}" type="pres">
      <dgm:prSet presAssocID="{3D3DE096-DFEF-43E9-8178-06F6876637AB}" presName="node" presStyleLbl="node1" presStyleIdx="0" presStyleCnt="2" custRadScaleRad="98382" custRadScaleInc="736">
        <dgm:presLayoutVars>
          <dgm:bulletEnabled val="1"/>
        </dgm:presLayoutVars>
      </dgm:prSet>
      <dgm:spPr/>
      <dgm:t>
        <a:bodyPr/>
        <a:lstStyle/>
        <a:p>
          <a:endParaRPr lang="es-CO"/>
        </a:p>
      </dgm:t>
    </dgm:pt>
    <dgm:pt modelId="{795AC67B-60CB-4269-BD66-5C2EBFC0CC84}" type="pres">
      <dgm:prSet presAssocID="{9B425574-29E1-4834-A78E-7D7774EE1431}" presName="parTrans" presStyleLbl="bgSibTrans2D1" presStyleIdx="1" presStyleCnt="2" custLinFactNeighborX="-6391"/>
      <dgm:spPr/>
      <dgm:t>
        <a:bodyPr/>
        <a:lstStyle/>
        <a:p>
          <a:endParaRPr lang="es-CO"/>
        </a:p>
      </dgm:t>
    </dgm:pt>
    <dgm:pt modelId="{5F75A42D-430B-4F99-895B-948855443136}" type="pres">
      <dgm:prSet presAssocID="{C961EFD1-7361-477C-AFC5-1504DDBED3A6}" presName="node" presStyleLbl="node1" presStyleIdx="1" presStyleCnt="2" custRadScaleRad="97578" custRadScaleInc="-1113">
        <dgm:presLayoutVars>
          <dgm:bulletEnabled val="1"/>
        </dgm:presLayoutVars>
      </dgm:prSet>
      <dgm:spPr/>
      <dgm:t>
        <a:bodyPr/>
        <a:lstStyle/>
        <a:p>
          <a:endParaRPr lang="es-CO"/>
        </a:p>
      </dgm:t>
    </dgm:pt>
  </dgm:ptLst>
  <dgm:cxnLst>
    <dgm:cxn modelId="{13EA7DCC-E817-4F67-9820-DB67AB35AEFF}" srcId="{1C299D3F-D97A-4853-94BF-3730A0D8C905}" destId="{3D3DE096-DFEF-43E9-8178-06F6876637AB}" srcOrd="0" destOrd="0" parTransId="{DA4E317C-7C07-4AAD-8004-C7119D644DF5}" sibTransId="{44B3A3E9-DE79-4125-B5B4-C64102EE4A24}"/>
    <dgm:cxn modelId="{6D73DDEC-C0B4-4E47-BFF1-D5FD20D05DC6}" srcId="{1C299D3F-D97A-4853-94BF-3730A0D8C905}" destId="{C961EFD1-7361-477C-AFC5-1504DDBED3A6}" srcOrd="1" destOrd="0" parTransId="{9B425574-29E1-4834-A78E-7D7774EE1431}" sibTransId="{A24D9CA0-BC15-432F-B3BE-9C7C70C88774}"/>
    <dgm:cxn modelId="{893EBFD3-3AAC-4D79-8D67-BE20CC208169}" type="presOf" srcId="{379B56DA-C4ED-4846-A0B2-D612AB0871BB}" destId="{B9FDD7B1-290E-4EE3-A9DB-589BBE992236}" srcOrd="0" destOrd="0" presId="urn:microsoft.com/office/officeart/2005/8/layout/radial4"/>
    <dgm:cxn modelId="{71D12A0A-0BAB-4F5C-931A-A6691BEE27BD}" type="presOf" srcId="{DA4E317C-7C07-4AAD-8004-C7119D644DF5}" destId="{E7448AB4-5168-4934-84F5-176457B2648E}" srcOrd="0" destOrd="0" presId="urn:microsoft.com/office/officeart/2005/8/layout/radial4"/>
    <dgm:cxn modelId="{E972CE69-3A39-4CBB-9D61-D1467677B9E8}" type="presOf" srcId="{9B425574-29E1-4834-A78E-7D7774EE1431}" destId="{795AC67B-60CB-4269-BD66-5C2EBFC0CC84}" srcOrd="0" destOrd="0" presId="urn:microsoft.com/office/officeart/2005/8/layout/radial4"/>
    <dgm:cxn modelId="{59A6B979-556B-4425-B855-BD393F7A8314}" type="presOf" srcId="{1C299D3F-D97A-4853-94BF-3730A0D8C905}" destId="{E857C1EB-BA85-4968-97B4-911B4B177808}" srcOrd="0" destOrd="0" presId="urn:microsoft.com/office/officeart/2005/8/layout/radial4"/>
    <dgm:cxn modelId="{69DE26E0-1722-4C52-84A6-FFA6E6A6E885}" srcId="{379B56DA-C4ED-4846-A0B2-D612AB0871BB}" destId="{1C299D3F-D97A-4853-94BF-3730A0D8C905}" srcOrd="0" destOrd="0" parTransId="{77A1C218-8E09-4449-81CF-C0299F716C4C}" sibTransId="{86728198-1F4A-402F-B692-298ED80A3AA0}"/>
    <dgm:cxn modelId="{71DF2C8F-EDA1-44EF-82F8-715104B793BD}" srcId="{379B56DA-C4ED-4846-A0B2-D612AB0871BB}" destId="{1DD44FE5-70D5-46A0-B87D-03C7A65A3D6E}" srcOrd="1" destOrd="0" parTransId="{1F73EB5B-FD53-4181-B065-2168E8F4C9E8}" sibTransId="{00289F91-1EB4-402B-846C-09B1C96B3D99}"/>
    <dgm:cxn modelId="{FF63F4E5-D6B8-4929-BE47-0C5EA5324646}" type="presOf" srcId="{3D3DE096-DFEF-43E9-8178-06F6876637AB}" destId="{D1D95F4A-2878-4643-B8C4-46E74D57BD4F}" srcOrd="0" destOrd="0" presId="urn:microsoft.com/office/officeart/2005/8/layout/radial4"/>
    <dgm:cxn modelId="{9D7974A5-0D38-4312-86E0-9742A437BF80}" type="presOf" srcId="{C961EFD1-7361-477C-AFC5-1504DDBED3A6}" destId="{5F75A42D-430B-4F99-895B-948855443136}" srcOrd="0" destOrd="0" presId="urn:microsoft.com/office/officeart/2005/8/layout/radial4"/>
    <dgm:cxn modelId="{3D23424E-42B3-4D47-9D96-D009ABE652D2}" type="presParOf" srcId="{B9FDD7B1-290E-4EE3-A9DB-589BBE992236}" destId="{E857C1EB-BA85-4968-97B4-911B4B177808}" srcOrd="0" destOrd="0" presId="urn:microsoft.com/office/officeart/2005/8/layout/radial4"/>
    <dgm:cxn modelId="{1D6AE521-A561-43FB-A911-37763474FC04}" type="presParOf" srcId="{B9FDD7B1-290E-4EE3-A9DB-589BBE992236}" destId="{E7448AB4-5168-4934-84F5-176457B2648E}" srcOrd="1" destOrd="0" presId="urn:microsoft.com/office/officeart/2005/8/layout/radial4"/>
    <dgm:cxn modelId="{DDCDF01B-20A2-45D0-BD61-5131ABA580CB}" type="presParOf" srcId="{B9FDD7B1-290E-4EE3-A9DB-589BBE992236}" destId="{D1D95F4A-2878-4643-B8C4-46E74D57BD4F}" srcOrd="2" destOrd="0" presId="urn:microsoft.com/office/officeart/2005/8/layout/radial4"/>
    <dgm:cxn modelId="{08AFD247-F143-4CC6-9CFC-7BCED74228FB}" type="presParOf" srcId="{B9FDD7B1-290E-4EE3-A9DB-589BBE992236}" destId="{795AC67B-60CB-4269-BD66-5C2EBFC0CC84}" srcOrd="3" destOrd="0" presId="urn:microsoft.com/office/officeart/2005/8/layout/radial4"/>
    <dgm:cxn modelId="{417B43DD-8BB3-4AE0-AC57-D87F29A3697D}" type="presParOf" srcId="{B9FDD7B1-290E-4EE3-A9DB-589BBE992236}" destId="{5F75A42D-430B-4F99-895B-948855443136}" srcOrd="4" destOrd="0" presId="urn:microsoft.com/office/officeart/2005/8/layout/radial4"/>
  </dgm:cxnLst>
  <dgm:bg/>
  <dgm:whole/>
  <dgm:extLst>
    <a:ext uri="http://schemas.microsoft.com/office/drawing/2008/diagram">
      <dsp:dataModelExt xmlns:dsp="http://schemas.microsoft.com/office/drawing/2008/diagram" xmlns="" relId="rId10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6399D7B-5D0D-49B7-8D49-F564AD1052A9}">
      <dsp:nvSpPr>
        <dsp:cNvPr id="0" name=""/>
        <dsp:cNvSpPr/>
      </dsp:nvSpPr>
      <dsp:spPr>
        <a:xfrm>
          <a:off x="411479" y="0"/>
          <a:ext cx="4663440" cy="1438381"/>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0707DD12-4913-4BE8-9DD0-5C468A5B7B40}">
      <dsp:nvSpPr>
        <dsp:cNvPr id="0" name=""/>
        <dsp:cNvSpPr/>
      </dsp:nvSpPr>
      <dsp:spPr>
        <a:xfrm>
          <a:off x="1607" y="431514"/>
          <a:ext cx="967620" cy="57535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b="1" kern="1200">
              <a:latin typeface="Arial Narrow" pitchFamily="34" charset="0"/>
            </a:rPr>
            <a:t>Insumos</a:t>
          </a:r>
        </a:p>
      </dsp:txBody>
      <dsp:txXfrm>
        <a:off x="1607" y="431514"/>
        <a:ext cx="967620" cy="575352"/>
      </dsp:txXfrm>
    </dsp:sp>
    <dsp:sp modelId="{7D0B2EF1-CFFD-45A7-A1F1-D08EEE59E3B9}">
      <dsp:nvSpPr>
        <dsp:cNvPr id="0" name=""/>
        <dsp:cNvSpPr/>
      </dsp:nvSpPr>
      <dsp:spPr>
        <a:xfrm>
          <a:off x="1130498" y="431514"/>
          <a:ext cx="967620" cy="57535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b="1" kern="1200">
              <a:latin typeface="Arial Narrow" pitchFamily="34" charset="0"/>
            </a:rPr>
            <a:t>Procesos</a:t>
          </a:r>
        </a:p>
      </dsp:txBody>
      <dsp:txXfrm>
        <a:off x="1130498" y="431514"/>
        <a:ext cx="967620" cy="575352"/>
      </dsp:txXfrm>
    </dsp:sp>
    <dsp:sp modelId="{0EE740EC-9E60-47FC-A5C9-C4B332DF5B85}">
      <dsp:nvSpPr>
        <dsp:cNvPr id="0" name=""/>
        <dsp:cNvSpPr/>
      </dsp:nvSpPr>
      <dsp:spPr>
        <a:xfrm>
          <a:off x="2259389" y="431514"/>
          <a:ext cx="967620" cy="57535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b="1" kern="1200">
              <a:latin typeface="Arial Narrow" pitchFamily="34" charset="0"/>
            </a:rPr>
            <a:t>Productos</a:t>
          </a:r>
        </a:p>
      </dsp:txBody>
      <dsp:txXfrm>
        <a:off x="2259389" y="431514"/>
        <a:ext cx="967620" cy="575352"/>
      </dsp:txXfrm>
    </dsp:sp>
    <dsp:sp modelId="{319DAFE8-23B9-4AB8-B3CC-C3ECA13E7168}">
      <dsp:nvSpPr>
        <dsp:cNvPr id="0" name=""/>
        <dsp:cNvSpPr/>
      </dsp:nvSpPr>
      <dsp:spPr>
        <a:xfrm>
          <a:off x="3388280" y="431514"/>
          <a:ext cx="967620" cy="57535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b="1" kern="1200">
              <a:latin typeface="Arial Narrow" pitchFamily="34" charset="0"/>
            </a:rPr>
            <a:t>Resultados</a:t>
          </a:r>
        </a:p>
      </dsp:txBody>
      <dsp:txXfrm>
        <a:off x="3388280" y="431514"/>
        <a:ext cx="967620" cy="575352"/>
      </dsp:txXfrm>
    </dsp:sp>
    <dsp:sp modelId="{DC6CDDD2-E106-4996-AA68-4985B4C663A9}">
      <dsp:nvSpPr>
        <dsp:cNvPr id="0" name=""/>
        <dsp:cNvSpPr/>
      </dsp:nvSpPr>
      <dsp:spPr>
        <a:xfrm>
          <a:off x="4517171" y="431514"/>
          <a:ext cx="967620" cy="57535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b="1" kern="1200">
              <a:latin typeface="Arial Narrow" pitchFamily="34" charset="0"/>
            </a:rPr>
            <a:t>Impactos</a:t>
          </a:r>
        </a:p>
      </dsp:txBody>
      <dsp:txXfrm>
        <a:off x="4517171" y="431514"/>
        <a:ext cx="967620" cy="575352"/>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74A3BFB-BD60-4DF8-80E5-FC4E49185ACD}">
      <dsp:nvSpPr>
        <dsp:cNvPr id="0" name=""/>
        <dsp:cNvSpPr/>
      </dsp:nvSpPr>
      <dsp:spPr>
        <a:xfrm>
          <a:off x="981724" y="0"/>
          <a:ext cx="2699991" cy="4191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s-CO" sz="1100" kern="1200">
              <a:latin typeface="Arial Narrow" pitchFamily="34" charset="0"/>
            </a:rPr>
            <a:t>Construir la hipótesis de la evaluación</a:t>
          </a:r>
        </a:p>
      </dsp:txBody>
      <dsp:txXfrm>
        <a:off x="981724" y="0"/>
        <a:ext cx="2452320" cy="419185"/>
      </dsp:txXfrm>
    </dsp:sp>
    <dsp:sp modelId="{3C044F0E-4866-4344-ABEE-16A6AE410BFB}">
      <dsp:nvSpPr>
        <dsp:cNvPr id="0" name=""/>
        <dsp:cNvSpPr/>
      </dsp:nvSpPr>
      <dsp:spPr>
        <a:xfrm>
          <a:off x="1393204" y="489050"/>
          <a:ext cx="2699991" cy="4191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s-CO" sz="1100" kern="1200">
              <a:latin typeface="Arial Narrow" pitchFamily="34" charset="0"/>
            </a:rPr>
            <a:t>Definir objetivos y alcance de la evaluación </a:t>
          </a:r>
        </a:p>
      </dsp:txBody>
      <dsp:txXfrm>
        <a:off x="1393204" y="489050"/>
        <a:ext cx="2304004" cy="419185"/>
      </dsp:txXfrm>
    </dsp:sp>
    <dsp:sp modelId="{1E8FC9E4-F864-4939-AD0B-4A89E2F7C2E2}">
      <dsp:nvSpPr>
        <dsp:cNvPr id="0" name=""/>
        <dsp:cNvSpPr/>
      </dsp:nvSpPr>
      <dsp:spPr>
        <a:xfrm>
          <a:off x="1804684" y="978100"/>
          <a:ext cx="2699991" cy="4191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s-CO" sz="1100" kern="1200">
              <a:latin typeface="Arial Narrow" pitchFamily="34" charset="0"/>
            </a:rPr>
            <a:t>Seleccionar tipo de evaluación</a:t>
          </a:r>
        </a:p>
      </dsp:txBody>
      <dsp:txXfrm>
        <a:off x="1804684" y="978100"/>
        <a:ext cx="2304004" cy="419185"/>
      </dsp:txXfrm>
    </dsp:sp>
    <dsp:sp modelId="{FA7AE666-0BC2-43BA-BAC4-162D4F02A48D}">
      <dsp:nvSpPr>
        <dsp:cNvPr id="0" name=""/>
        <dsp:cNvSpPr/>
      </dsp:nvSpPr>
      <dsp:spPr>
        <a:xfrm>
          <a:off x="3353277" y="276785"/>
          <a:ext cx="272470" cy="272470"/>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endParaRPr lang="es-CO" sz="1100" kern="1200">
            <a:latin typeface="Arial Narrow" pitchFamily="34" charset="0"/>
          </a:endParaRPr>
        </a:p>
      </dsp:txBody>
      <dsp:txXfrm>
        <a:off x="3353277" y="276785"/>
        <a:ext cx="272470" cy="272470"/>
      </dsp:txXfrm>
    </dsp:sp>
    <dsp:sp modelId="{314BB451-FE2D-4360-9E8A-1CBCA14036BB}">
      <dsp:nvSpPr>
        <dsp:cNvPr id="0" name=""/>
        <dsp:cNvSpPr/>
      </dsp:nvSpPr>
      <dsp:spPr>
        <a:xfrm>
          <a:off x="3764757" y="763041"/>
          <a:ext cx="272470" cy="272470"/>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endParaRPr lang="es-CO" sz="1100" kern="1200">
            <a:latin typeface="Arial Narrow" pitchFamily="34" charset="0"/>
          </a:endParaRPr>
        </a:p>
      </dsp:txBody>
      <dsp:txXfrm>
        <a:off x="3764757" y="763041"/>
        <a:ext cx="272470" cy="272470"/>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E48F23C-1D75-497A-8722-A641AAB58B02}">
      <dsp:nvSpPr>
        <dsp:cNvPr id="0" name=""/>
        <dsp:cNvSpPr/>
      </dsp:nvSpPr>
      <dsp:spPr>
        <a:xfrm>
          <a:off x="195081" y="327"/>
          <a:ext cx="1351992" cy="357990"/>
        </a:xfrm>
        <a:prstGeom prst="roundRect">
          <a:avLst>
            <a:gd name="adj" fmla="val 10000"/>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b="1" kern="1200">
              <a:latin typeface="Arial Narrow" pitchFamily="34" charset="0"/>
            </a:rPr>
            <a:t>Resultados</a:t>
          </a:r>
        </a:p>
      </dsp:txBody>
      <dsp:txXfrm>
        <a:off x="195081" y="327"/>
        <a:ext cx="1351992" cy="357990"/>
      </dsp:txXfrm>
    </dsp:sp>
    <dsp:sp modelId="{C70FCE72-E092-4228-B015-AB3FB88075F1}">
      <dsp:nvSpPr>
        <dsp:cNvPr id="0" name=""/>
        <dsp:cNvSpPr/>
      </dsp:nvSpPr>
      <dsp:spPr>
        <a:xfrm>
          <a:off x="204638" y="428734"/>
          <a:ext cx="1332877" cy="357990"/>
        </a:xfrm>
        <a:prstGeom prst="roundRect">
          <a:avLst>
            <a:gd name="adj" fmla="val 10000"/>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kern="1200">
              <a:latin typeface="Arial Narrow" pitchFamily="34" charset="0"/>
            </a:rPr>
            <a:t>Modelos econométricos</a:t>
          </a:r>
        </a:p>
      </dsp:txBody>
      <dsp:txXfrm>
        <a:off x="204638" y="428734"/>
        <a:ext cx="1332877" cy="357990"/>
      </dsp:txXfrm>
    </dsp:sp>
    <dsp:sp modelId="{54A55D4C-A36A-4087-89E4-4156EC2AAAF4}">
      <dsp:nvSpPr>
        <dsp:cNvPr id="0" name=""/>
        <dsp:cNvSpPr/>
      </dsp:nvSpPr>
      <dsp:spPr>
        <a:xfrm>
          <a:off x="222709" y="857140"/>
          <a:ext cx="1296737" cy="357990"/>
        </a:xfrm>
        <a:prstGeom prst="roundRect">
          <a:avLst>
            <a:gd name="adj" fmla="val 10000"/>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kern="1200">
              <a:latin typeface="Arial Narrow" pitchFamily="34" charset="0"/>
            </a:rPr>
            <a:t>Indicadores</a:t>
          </a:r>
        </a:p>
      </dsp:txBody>
      <dsp:txXfrm>
        <a:off x="222709" y="857140"/>
        <a:ext cx="1296737" cy="357990"/>
      </dsp:txXfrm>
    </dsp:sp>
    <dsp:sp modelId="{C6A73C46-24F0-48D8-83E5-D1EBF88BFD39}">
      <dsp:nvSpPr>
        <dsp:cNvPr id="0" name=""/>
        <dsp:cNvSpPr/>
      </dsp:nvSpPr>
      <dsp:spPr>
        <a:xfrm>
          <a:off x="3892" y="1285547"/>
          <a:ext cx="905365" cy="357990"/>
        </a:xfrm>
        <a:prstGeom prst="roundRect">
          <a:avLst>
            <a:gd name="adj" fmla="val 10000"/>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kern="1200">
              <a:latin typeface="Arial Narrow" pitchFamily="34" charset="0"/>
            </a:rPr>
            <a:t>Cuantitativos</a:t>
          </a:r>
        </a:p>
      </dsp:txBody>
      <dsp:txXfrm>
        <a:off x="3892" y="1285547"/>
        <a:ext cx="905365" cy="357990"/>
      </dsp:txXfrm>
    </dsp:sp>
    <dsp:sp modelId="{0A35021A-1DB5-42A2-AAEC-08418477C4B1}">
      <dsp:nvSpPr>
        <dsp:cNvPr id="0" name=""/>
        <dsp:cNvSpPr/>
      </dsp:nvSpPr>
      <dsp:spPr>
        <a:xfrm>
          <a:off x="943573" y="1285547"/>
          <a:ext cx="794689" cy="357990"/>
        </a:xfrm>
        <a:prstGeom prst="roundRect">
          <a:avLst>
            <a:gd name="adj" fmla="val 10000"/>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kern="1200">
              <a:latin typeface="Arial Narrow" pitchFamily="34" charset="0"/>
            </a:rPr>
            <a:t>Cualitativos</a:t>
          </a:r>
        </a:p>
      </dsp:txBody>
      <dsp:txXfrm>
        <a:off x="943573" y="1285547"/>
        <a:ext cx="794689" cy="357990"/>
      </dsp:txXfrm>
    </dsp:sp>
    <dsp:sp modelId="{ABA50653-D6EA-44AF-964E-F13E8D31279B}">
      <dsp:nvSpPr>
        <dsp:cNvPr id="0" name=""/>
        <dsp:cNvSpPr/>
      </dsp:nvSpPr>
      <dsp:spPr>
        <a:xfrm>
          <a:off x="2697824" y="327"/>
          <a:ext cx="2533010" cy="357990"/>
        </a:xfrm>
        <a:prstGeom prst="roundRect">
          <a:avLst>
            <a:gd name="adj" fmla="val 10000"/>
          </a:avLst>
        </a:prstGeom>
        <a:solidFill>
          <a:schemeClr val="accent4"/>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b="1" kern="1200">
              <a:latin typeface="Arial Narrow" pitchFamily="34" charset="0"/>
            </a:rPr>
            <a:t>Impacto</a:t>
          </a:r>
        </a:p>
      </dsp:txBody>
      <dsp:txXfrm>
        <a:off x="2697824" y="327"/>
        <a:ext cx="2533010" cy="357990"/>
      </dsp:txXfrm>
    </dsp:sp>
    <dsp:sp modelId="{B2D7D00D-AE43-404D-93E5-5027EF21AFCE}">
      <dsp:nvSpPr>
        <dsp:cNvPr id="0" name=""/>
        <dsp:cNvSpPr/>
      </dsp:nvSpPr>
      <dsp:spPr>
        <a:xfrm>
          <a:off x="2455571" y="428734"/>
          <a:ext cx="971176" cy="357990"/>
        </a:xfrm>
        <a:prstGeom prst="roundRect">
          <a:avLst>
            <a:gd name="adj" fmla="val 10000"/>
          </a:avLst>
        </a:prstGeom>
        <a:solidFill>
          <a:schemeClr val="accent4"/>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kern="1200">
              <a:latin typeface="Arial Narrow" pitchFamily="34" charset="0"/>
            </a:rPr>
            <a:t>Experimentos</a:t>
          </a:r>
        </a:p>
      </dsp:txBody>
      <dsp:txXfrm>
        <a:off x="2455571" y="428734"/>
        <a:ext cx="971176" cy="357990"/>
      </dsp:txXfrm>
    </dsp:sp>
    <dsp:sp modelId="{549107CA-DF42-4C1C-8187-914AB1DA3FAF}">
      <dsp:nvSpPr>
        <dsp:cNvPr id="0" name=""/>
        <dsp:cNvSpPr/>
      </dsp:nvSpPr>
      <dsp:spPr>
        <a:xfrm>
          <a:off x="3372315" y="428734"/>
          <a:ext cx="494143" cy="357990"/>
        </a:xfrm>
        <a:prstGeom prst="roundRect">
          <a:avLst>
            <a:gd name="adj" fmla="val 10000"/>
          </a:avLst>
        </a:prstGeom>
        <a:solidFill>
          <a:schemeClr val="accent4"/>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kern="1200">
              <a:latin typeface="Arial Narrow" pitchFamily="34" charset="0"/>
            </a:rPr>
            <a:t>PSM</a:t>
          </a:r>
        </a:p>
      </dsp:txBody>
      <dsp:txXfrm>
        <a:off x="3372315" y="428734"/>
        <a:ext cx="494143" cy="357990"/>
      </dsp:txXfrm>
    </dsp:sp>
    <dsp:sp modelId="{EC711665-3DB0-4ABB-9D36-338B60BEE5FE}">
      <dsp:nvSpPr>
        <dsp:cNvPr id="0" name=""/>
        <dsp:cNvSpPr/>
      </dsp:nvSpPr>
      <dsp:spPr>
        <a:xfrm>
          <a:off x="3870296" y="428734"/>
          <a:ext cx="964141" cy="357990"/>
        </a:xfrm>
        <a:prstGeom prst="roundRect">
          <a:avLst>
            <a:gd name="adj" fmla="val 10000"/>
          </a:avLst>
        </a:prstGeom>
        <a:solidFill>
          <a:schemeClr val="accent4"/>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kern="1200">
              <a:latin typeface="Arial Narrow" pitchFamily="34" charset="0"/>
            </a:rPr>
            <a:t>Variables instrumentales</a:t>
          </a:r>
        </a:p>
      </dsp:txBody>
      <dsp:txXfrm>
        <a:off x="3870296" y="428734"/>
        <a:ext cx="964141" cy="357990"/>
      </dsp:txXfrm>
    </dsp:sp>
    <dsp:sp modelId="{DA848D4B-EE1E-4822-8289-3B49FDD68144}">
      <dsp:nvSpPr>
        <dsp:cNvPr id="0" name=""/>
        <dsp:cNvSpPr/>
      </dsp:nvSpPr>
      <dsp:spPr>
        <a:xfrm>
          <a:off x="4856865" y="428734"/>
          <a:ext cx="913318" cy="357990"/>
        </a:xfrm>
        <a:prstGeom prst="roundRect">
          <a:avLst>
            <a:gd name="adj" fmla="val 10000"/>
          </a:avLst>
        </a:prstGeom>
        <a:solidFill>
          <a:schemeClr val="accent4"/>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CO" sz="1100" kern="1200">
              <a:latin typeface="Arial Narrow" pitchFamily="34" charset="0"/>
            </a:rPr>
            <a:t>Diferencias</a:t>
          </a:r>
        </a:p>
      </dsp:txBody>
      <dsp:txXfrm>
        <a:off x="4856865" y="428734"/>
        <a:ext cx="913318" cy="357990"/>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47B07AE-1F56-48DA-880A-F80F22340AAA}">
      <dsp:nvSpPr>
        <dsp:cNvPr id="0" name=""/>
        <dsp:cNvSpPr/>
      </dsp:nvSpPr>
      <dsp:spPr>
        <a:xfrm rot="5400000">
          <a:off x="2837404" y="-1641857"/>
          <a:ext cx="346848" cy="3653970"/>
        </a:xfrm>
        <a:prstGeom prst="round2SameRect">
          <a:avLst/>
        </a:prstGeom>
        <a:solidFill>
          <a:schemeClr val="tx2">
            <a:lumMod val="20000"/>
            <a:lumOff val="80000"/>
          </a:schemeClr>
        </a:solidFill>
        <a:ln w="25400" cap="flat" cmpd="sng" algn="ctr">
          <a:solidFill>
            <a:schemeClr val="accent4">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ts val="600"/>
            </a:spcAft>
            <a:buChar char="••"/>
          </a:pPr>
          <a:r>
            <a:rPr lang="es-CO" sz="1200" kern="1200">
              <a:latin typeface="Arial Narrow" pitchFamily="34" charset="0"/>
            </a:rPr>
            <a:t>Atlántica, Oriental, Central, Pacífica, Antioquia, Valle, Santanderes, Orinoquía-Amazonia</a:t>
          </a:r>
        </a:p>
      </dsp:txBody>
      <dsp:txXfrm rot="5400000">
        <a:off x="2837404" y="-1641857"/>
        <a:ext cx="346848" cy="3653970"/>
      </dsp:txXfrm>
    </dsp:sp>
    <dsp:sp modelId="{E2C6B5E8-3CC9-4E1A-9D18-564C3785AA73}">
      <dsp:nvSpPr>
        <dsp:cNvPr id="0" name=""/>
        <dsp:cNvSpPr/>
      </dsp:nvSpPr>
      <dsp:spPr>
        <a:xfrm>
          <a:off x="0" y="956"/>
          <a:ext cx="1183537" cy="368343"/>
        </a:xfrm>
        <a:prstGeom prst="roundRect">
          <a:avLst/>
        </a:prstGeom>
        <a:solidFill>
          <a:schemeClr val="accent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es-CO" sz="1200" b="1" kern="1200">
              <a:latin typeface="Arial Narrow" pitchFamily="34" charset="0"/>
            </a:rPr>
            <a:t>Región</a:t>
          </a:r>
        </a:p>
      </dsp:txBody>
      <dsp:txXfrm>
        <a:off x="0" y="956"/>
        <a:ext cx="1183537" cy="368343"/>
      </dsp:txXfrm>
    </dsp:sp>
    <dsp:sp modelId="{A742A841-9B83-426E-97B4-1E6A58BFB8D1}">
      <dsp:nvSpPr>
        <dsp:cNvPr id="0" name=""/>
        <dsp:cNvSpPr/>
      </dsp:nvSpPr>
      <dsp:spPr>
        <a:xfrm rot="5400000">
          <a:off x="2786381" y="-1184476"/>
          <a:ext cx="453085" cy="3649780"/>
        </a:xfrm>
        <a:prstGeom prst="round2SameRect">
          <a:avLst/>
        </a:prstGeom>
        <a:solidFill>
          <a:schemeClr val="tx2">
            <a:lumMod val="20000"/>
            <a:lumOff val="80000"/>
          </a:schemeClr>
        </a:solidFill>
        <a:ln w="25400" cap="flat" cmpd="sng" algn="ctr">
          <a:solidFill>
            <a:schemeClr val="accent4">
              <a:tint val="40000"/>
              <a:alpha val="90000"/>
              <a:hueOff val="-986426"/>
              <a:satOff val="5539"/>
              <a:lumOff val="352"/>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ts val="600"/>
            </a:spcAft>
            <a:buChar char="••"/>
          </a:pPr>
          <a:r>
            <a:rPr lang="es-CO" sz="1200" kern="1200">
              <a:latin typeface="Arial Narrow" pitchFamily="34" charset="0"/>
            </a:rPr>
            <a:t>Básica (1 a 9 años de escolaridad), Media (10 a 11 años), Técnica (12 a 14 años), Superior (15 años o más de escolaridad)</a:t>
          </a:r>
        </a:p>
      </dsp:txBody>
      <dsp:txXfrm rot="5400000">
        <a:off x="2786381" y="-1184476"/>
        <a:ext cx="453085" cy="3649780"/>
      </dsp:txXfrm>
    </dsp:sp>
    <dsp:sp modelId="{5E653723-D366-49FA-BD19-78D75936858A}">
      <dsp:nvSpPr>
        <dsp:cNvPr id="0" name=""/>
        <dsp:cNvSpPr/>
      </dsp:nvSpPr>
      <dsp:spPr>
        <a:xfrm>
          <a:off x="0" y="399829"/>
          <a:ext cx="1184402" cy="481167"/>
        </a:xfrm>
        <a:prstGeom prst="roundRect">
          <a:avLst/>
        </a:prstGeom>
        <a:solidFill>
          <a:schemeClr val="accent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es-CO" sz="1200" b="1" kern="1200">
              <a:latin typeface="Arial Narrow" pitchFamily="34" charset="0"/>
            </a:rPr>
            <a:t>Educación</a:t>
          </a:r>
        </a:p>
      </dsp:txBody>
      <dsp:txXfrm>
        <a:off x="0" y="399829"/>
        <a:ext cx="1184402" cy="481167"/>
      </dsp:txXfrm>
    </dsp:sp>
    <dsp:sp modelId="{8138D229-6932-408B-A926-D0B9DB9A5054}">
      <dsp:nvSpPr>
        <dsp:cNvPr id="0" name=""/>
        <dsp:cNvSpPr/>
      </dsp:nvSpPr>
      <dsp:spPr>
        <a:xfrm rot="5400000">
          <a:off x="2839499" y="-729191"/>
          <a:ext cx="346848" cy="3649780"/>
        </a:xfrm>
        <a:prstGeom prst="round2SameRect">
          <a:avLst/>
        </a:prstGeom>
        <a:solidFill>
          <a:schemeClr val="tx2">
            <a:lumMod val="20000"/>
            <a:lumOff val="80000"/>
          </a:schemeClr>
        </a:solidFill>
        <a:ln w="25400" cap="flat" cmpd="sng" algn="ctr">
          <a:solidFill>
            <a:schemeClr val="accent4">
              <a:tint val="40000"/>
              <a:alpha val="90000"/>
              <a:hueOff val="-1972853"/>
              <a:satOff val="11079"/>
              <a:lumOff val="704"/>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ts val="600"/>
            </a:spcAft>
            <a:buChar char="••"/>
          </a:pPr>
          <a:r>
            <a:rPr lang="es-CO" sz="1200" kern="1200">
              <a:latin typeface="Arial Narrow" pitchFamily="34" charset="0"/>
            </a:rPr>
            <a:t>7 a 17 años, 18 a 34 años, 35 a 59 años, 60 o más años</a:t>
          </a:r>
        </a:p>
      </dsp:txBody>
      <dsp:txXfrm rot="5400000">
        <a:off x="2839499" y="-729191"/>
        <a:ext cx="346848" cy="3649780"/>
      </dsp:txXfrm>
    </dsp:sp>
    <dsp:sp modelId="{CB297C3C-6B8E-44A0-88E7-20FC1B7AD88C}">
      <dsp:nvSpPr>
        <dsp:cNvPr id="0" name=""/>
        <dsp:cNvSpPr/>
      </dsp:nvSpPr>
      <dsp:spPr>
        <a:xfrm>
          <a:off x="0" y="911526"/>
          <a:ext cx="1184402" cy="368343"/>
        </a:xfrm>
        <a:prstGeom prst="roundRect">
          <a:avLst/>
        </a:prstGeom>
        <a:solidFill>
          <a:schemeClr val="accent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es-CO" sz="1200" b="1" kern="1200">
              <a:latin typeface="Arial Narrow" pitchFamily="34" charset="0"/>
            </a:rPr>
            <a:t>Edad</a:t>
          </a:r>
        </a:p>
      </dsp:txBody>
      <dsp:txXfrm>
        <a:off x="0" y="911526"/>
        <a:ext cx="1184402" cy="368343"/>
      </dsp:txXfrm>
    </dsp:sp>
    <dsp:sp modelId="{530887FA-258D-41C2-830C-64CE43A52828}">
      <dsp:nvSpPr>
        <dsp:cNvPr id="0" name=""/>
        <dsp:cNvSpPr/>
      </dsp:nvSpPr>
      <dsp:spPr>
        <a:xfrm rot="5400000">
          <a:off x="2839499" y="-330318"/>
          <a:ext cx="346848" cy="3649780"/>
        </a:xfrm>
        <a:prstGeom prst="round2SameRect">
          <a:avLst/>
        </a:prstGeom>
        <a:solidFill>
          <a:schemeClr val="tx2">
            <a:lumMod val="20000"/>
            <a:lumOff val="80000"/>
          </a:schemeClr>
        </a:solidFill>
        <a:ln w="25400" cap="flat" cmpd="sng" algn="ctr">
          <a:solidFill>
            <a:schemeClr val="accent4">
              <a:tint val="40000"/>
              <a:alpha val="90000"/>
              <a:hueOff val="-2959279"/>
              <a:satOff val="16618"/>
              <a:lumOff val="1056"/>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ts val="600"/>
            </a:spcAft>
            <a:buChar char="••"/>
          </a:pPr>
          <a:r>
            <a:rPr lang="es-CO" sz="1200" b="0" kern="1200">
              <a:latin typeface="Arial Narrow" pitchFamily="34" charset="0"/>
            </a:rPr>
            <a:t>Ingresos de todos los miembros del hogar (medidos en millones de pesos al mes)</a:t>
          </a:r>
        </a:p>
      </dsp:txBody>
      <dsp:txXfrm rot="5400000">
        <a:off x="2839499" y="-330318"/>
        <a:ext cx="346848" cy="3649780"/>
      </dsp:txXfrm>
    </dsp:sp>
    <dsp:sp modelId="{275A7685-5D88-474C-B1C5-15FFEE32B4FA}">
      <dsp:nvSpPr>
        <dsp:cNvPr id="0" name=""/>
        <dsp:cNvSpPr/>
      </dsp:nvSpPr>
      <dsp:spPr>
        <a:xfrm>
          <a:off x="0" y="1310399"/>
          <a:ext cx="1184402" cy="368343"/>
        </a:xfrm>
        <a:prstGeom prst="roundRect">
          <a:avLst/>
        </a:prstGeom>
        <a:solidFill>
          <a:schemeClr val="accent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es-CO" sz="1200" b="1" kern="1200">
              <a:latin typeface="Arial Narrow" pitchFamily="34" charset="0"/>
            </a:rPr>
            <a:t>Ingreso del hogar</a:t>
          </a:r>
        </a:p>
      </dsp:txBody>
      <dsp:txXfrm>
        <a:off x="0" y="1310399"/>
        <a:ext cx="1184402" cy="368343"/>
      </dsp:txXfrm>
    </dsp:sp>
    <dsp:sp modelId="{1BB66727-D82A-4C1C-A030-7A3336DB30B5}">
      <dsp:nvSpPr>
        <dsp:cNvPr id="0" name=""/>
        <dsp:cNvSpPr/>
      </dsp:nvSpPr>
      <dsp:spPr>
        <a:xfrm rot="5400000">
          <a:off x="2822301" y="86206"/>
          <a:ext cx="379243" cy="3651782"/>
        </a:xfrm>
        <a:prstGeom prst="round2SameRect">
          <a:avLst/>
        </a:prstGeom>
        <a:solidFill>
          <a:schemeClr val="accent4">
            <a:tint val="40000"/>
            <a:alpha val="90000"/>
            <a:hueOff val="-3945706"/>
            <a:satOff val="22157"/>
            <a:lumOff val="1408"/>
            <a:alphaOff val="0"/>
          </a:schemeClr>
        </a:solidFill>
        <a:ln w="25400" cap="flat" cmpd="sng" algn="ctr">
          <a:solidFill>
            <a:schemeClr val="accent4">
              <a:tint val="40000"/>
              <a:alpha val="90000"/>
              <a:hueOff val="-3945706"/>
              <a:satOff val="22157"/>
              <a:lumOff val="1408"/>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ts val="600"/>
            </a:spcAft>
            <a:buChar char="••"/>
          </a:pPr>
          <a:r>
            <a:rPr lang="es-CO" sz="1200" b="0" kern="1200">
              <a:latin typeface="Arial Narrow" pitchFamily="34" charset="0"/>
            </a:rPr>
            <a:t>Telefonía fija, Telefonía móvil, Televisión por suscripción, Internet</a:t>
          </a:r>
        </a:p>
      </dsp:txBody>
      <dsp:txXfrm rot="5400000">
        <a:off x="2822301" y="86206"/>
        <a:ext cx="379243" cy="3651782"/>
      </dsp:txXfrm>
    </dsp:sp>
    <dsp:sp modelId="{C987A70C-981C-49FD-A3EC-2E15D9CDA4FF}">
      <dsp:nvSpPr>
        <dsp:cNvPr id="0" name=""/>
        <dsp:cNvSpPr/>
      </dsp:nvSpPr>
      <dsp:spPr>
        <a:xfrm>
          <a:off x="153" y="1709272"/>
          <a:ext cx="1184400" cy="405650"/>
        </a:xfrm>
        <a:prstGeom prst="roundRect">
          <a:avLst/>
        </a:prstGeom>
        <a:solidFill>
          <a:schemeClr val="accent4">
            <a:hueOff val="-4464770"/>
            <a:satOff val="26899"/>
            <a:lumOff val="215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es-CO" sz="1200" b="1" i="0" kern="1200">
              <a:latin typeface="Arial Narrow" pitchFamily="34" charset="0"/>
            </a:rPr>
            <a:t>TIC</a:t>
          </a:r>
        </a:p>
      </dsp:txBody>
      <dsp:txXfrm>
        <a:off x="153" y="1709272"/>
        <a:ext cx="1184400" cy="405650"/>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857C1EB-BA85-4968-97B4-911B4B177808}">
      <dsp:nvSpPr>
        <dsp:cNvPr id="0" name=""/>
        <dsp:cNvSpPr/>
      </dsp:nvSpPr>
      <dsp:spPr>
        <a:xfrm>
          <a:off x="2073362" y="1147818"/>
          <a:ext cx="1360951" cy="1350926"/>
        </a:xfrm>
        <a:prstGeom prst="ellipse">
          <a:avLst/>
        </a:prstGeom>
        <a:solidFill>
          <a:schemeClr val="accent4">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s-CO" sz="1100" b="1" kern="1200">
              <a:latin typeface="Century Gothic" pitchFamily="34" charset="0"/>
            </a:rPr>
            <a:t>INSTRUMENTO</a:t>
          </a:r>
        </a:p>
      </dsp:txBody>
      <dsp:txXfrm>
        <a:off x="2073362" y="1147818"/>
        <a:ext cx="1360951" cy="1350926"/>
      </dsp:txXfrm>
    </dsp:sp>
    <dsp:sp modelId="{E7448AB4-5168-4934-84F5-176457B2648E}">
      <dsp:nvSpPr>
        <dsp:cNvPr id="0" name=""/>
        <dsp:cNvSpPr/>
      </dsp:nvSpPr>
      <dsp:spPr>
        <a:xfrm rot="12817460">
          <a:off x="965510" y="811627"/>
          <a:ext cx="1316001" cy="457848"/>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D1D95F4A-2878-4643-B8C4-46E74D57BD4F}">
      <dsp:nvSpPr>
        <dsp:cNvPr id="0" name=""/>
        <dsp:cNvSpPr/>
      </dsp:nvSpPr>
      <dsp:spPr>
        <a:xfrm>
          <a:off x="265830" y="65722"/>
          <a:ext cx="1526162" cy="122092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t" anchorCtr="0">
          <a:noAutofit/>
        </a:bodyPr>
        <a:lstStyle/>
        <a:p>
          <a:pPr lvl="0" algn="ctr" defTabSz="355600">
            <a:lnSpc>
              <a:spcPct val="100000"/>
            </a:lnSpc>
            <a:spcBef>
              <a:spcPct val="0"/>
            </a:spcBef>
            <a:spcAft>
              <a:spcPct val="35000"/>
            </a:spcAft>
          </a:pPr>
          <a:endParaRPr lang="es-CO" sz="800" b="1" kern="1200">
            <a:latin typeface="Century Gothic" pitchFamily="34" charset="0"/>
          </a:endParaRPr>
        </a:p>
        <a:p>
          <a:pPr lvl="0" algn="ctr" defTabSz="355600">
            <a:lnSpc>
              <a:spcPct val="100000"/>
            </a:lnSpc>
            <a:spcBef>
              <a:spcPct val="0"/>
            </a:spcBef>
            <a:spcAft>
              <a:spcPts val="0"/>
            </a:spcAft>
          </a:pPr>
          <a:r>
            <a:rPr lang="es-CO" sz="1200" b="1" kern="1200">
              <a:latin typeface="Century Gothic" pitchFamily="34" charset="0"/>
            </a:rPr>
            <a:t>MARCA</a:t>
          </a:r>
        </a:p>
        <a:p>
          <a:pPr lvl="0" algn="ctr" defTabSz="355600">
            <a:lnSpc>
              <a:spcPct val="100000"/>
            </a:lnSpc>
            <a:spcBef>
              <a:spcPct val="0"/>
            </a:spcBef>
            <a:spcAft>
              <a:spcPts val="0"/>
            </a:spcAft>
          </a:pPr>
          <a:r>
            <a:rPr lang="es-CO" sz="1000" b="1" kern="1200">
              <a:latin typeface="Century Gothic" pitchFamily="34" charset="0"/>
            </a:rPr>
            <a:t>(táctico)</a:t>
          </a:r>
        </a:p>
      </dsp:txBody>
      <dsp:txXfrm>
        <a:off x="265830" y="65722"/>
        <a:ext cx="1526162" cy="1220929"/>
      </dsp:txXfrm>
    </dsp:sp>
    <dsp:sp modelId="{795AC67B-60CB-4269-BD66-5C2EBFC0CC84}">
      <dsp:nvSpPr>
        <dsp:cNvPr id="0" name=""/>
        <dsp:cNvSpPr/>
      </dsp:nvSpPr>
      <dsp:spPr>
        <a:xfrm rot="19542778">
          <a:off x="3182993" y="808567"/>
          <a:ext cx="1282703" cy="457848"/>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F75A42D-430B-4F99-895B-948855443136}">
      <dsp:nvSpPr>
        <dsp:cNvPr id="0" name=""/>
        <dsp:cNvSpPr/>
      </dsp:nvSpPr>
      <dsp:spPr>
        <a:xfrm>
          <a:off x="3673143" y="65728"/>
          <a:ext cx="1526162" cy="122092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t" anchorCtr="0">
          <a:noAutofit/>
        </a:bodyPr>
        <a:lstStyle/>
        <a:p>
          <a:pPr lvl="0" algn="ctr" defTabSz="311150">
            <a:lnSpc>
              <a:spcPct val="90000"/>
            </a:lnSpc>
            <a:spcBef>
              <a:spcPct val="0"/>
            </a:spcBef>
            <a:spcAft>
              <a:spcPct val="35000"/>
            </a:spcAft>
          </a:pPr>
          <a:endParaRPr lang="es-CO" sz="700" b="1" kern="1200">
            <a:latin typeface="Century Gothic" pitchFamily="34" charset="0"/>
          </a:endParaRPr>
        </a:p>
        <a:p>
          <a:pPr lvl="0" algn="ctr" defTabSz="311150">
            <a:lnSpc>
              <a:spcPct val="90000"/>
            </a:lnSpc>
            <a:spcBef>
              <a:spcPct val="0"/>
            </a:spcBef>
            <a:spcAft>
              <a:spcPct val="35000"/>
            </a:spcAft>
          </a:pPr>
          <a:r>
            <a:rPr lang="es-CO" sz="1200" b="1" kern="1200">
              <a:latin typeface="Century Gothic" pitchFamily="34" charset="0"/>
            </a:rPr>
            <a:t>ELEMENTOS ESTRATÉGICOS</a:t>
          </a:r>
        </a:p>
      </dsp:txBody>
      <dsp:txXfrm>
        <a:off x="3673143" y="65728"/>
        <a:ext cx="1526162" cy="1220929"/>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Leo36</b:Tag>
    <b:SourceType>JournalArticle</b:SourceType>
    <b:Guid>{54039C1C-6EBA-4499-8A18-A137B43EFF9C}</b:Guid>
    <b:Author>
      <b:Author>
        <b:NameList>
          <b:Person>
            <b:Last>Leontieff</b:Last>
            <b:First>Wassily</b:First>
          </b:Person>
        </b:NameList>
      </b:Author>
    </b:Author>
    <b:Title>Quantitative Input and Output Relations in the Economic Systems of the United States</b:Title>
    <b:Year>1936</b:Year>
    <b:JournalName>The Review of Economics and Statistics</b:JournalName>
    <b:Pages>105-125</b:Pages>
    <b:Month>Aug</b:Month>
    <b:Volume>18</b:Volume>
    <b:Issue>3</b:Issue>
    <b:RefOrder>1</b:RefOrder>
  </b:Source>
  <b:Source>
    <b:Tag>MarcadorDePosición1</b:Tag>
    <b:SourceType>Book</b:SourceType>
    <b:Guid>{2C5C5D61-610E-47D5-969B-357E38A8C9EA}</b:Guid>
    <b:Author>
      <b:Author>
        <b:NameList>
          <b:Person>
            <b:Last>Gertler</b:Last>
            <b:First>P.</b:First>
          </b:Person>
          <b:Person>
            <b:Last>Martinez</b:Last>
            <b:First>S.</b:First>
          </b:Person>
          <b:Person>
            <b:Last>Premand</b:Last>
            <b:First>P.</b:First>
          </b:Person>
          <b:Person>
            <b:Last>Rawlings</b:Last>
            <b:First>L.</b:First>
          </b:Person>
          <b:Person>
            <b:Last>C.</b:Last>
            <b:First>Vermeersch.</b:First>
          </b:Person>
        </b:NameList>
      </b:Author>
    </b:Author>
    <b:Title>Impact Evaluation in Practice</b:Title>
    <b:Year>2011</b:Year>
    <b:City>Washinton DC</b:City>
    <b:Publisher>The World Bank</b:Publisher>
    <b:RefOrder>2</b:RefOrder>
  </b:Source>
  <b:Source>
    <b:Tag>MarcadorDePosición3</b:Tag>
    <b:SourceType>Book</b:SourceType>
    <b:Guid>{397956B6-BB06-4472-B372-1D79A7F92449}</b:Guid>
    <b:Author>
      <b:Author>
        <b:NameList>
          <b:Person>
            <b:Last>Gertler</b:Last>
            <b:First>P</b:First>
          </b:Person>
          <b:Person>
            <b:Last>Martínez</b:Last>
            <b:First>S.,</b:First>
            <b:Middle>Premand, P.</b:Middle>
          </b:Person>
          <b:Person>
            <b:Last>Rawlings</b:Last>
            <b:First>L.</b:First>
          </b:Person>
          <b:Person>
            <b:Last>Vermmeersch</b:Last>
            <b:First>C.</b:First>
          </b:Person>
        </b:NameList>
      </b:Author>
    </b:Author>
    <b:Title>Impact Evaluation in Practice</b:Title>
    <b:Year>2011</b:Year>
    <b:City>Washington DC</b:City>
    <b:Publisher>The World Bank</b:Publisher>
    <b:RefOrder>3</b:RefOrder>
  </b:Source>
</b:Sources>
</file>

<file path=customXml/itemProps1.xml><?xml version="1.0" encoding="utf-8"?>
<ds:datastoreItem xmlns:ds="http://schemas.openxmlformats.org/officeDocument/2006/customXml" ds:itemID="{D7A89905-1EE3-4577-B834-A2C3B3481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205</Pages>
  <Words>56568</Words>
  <Characters>311129</Characters>
  <Application>Microsoft Office Word</Application>
  <DocSecurity>0</DocSecurity>
  <Lines>2592</Lines>
  <Paragraphs>733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366964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Álvaro Reyes;Luisa Riveros G</dc:creator>
  <cp:lastModifiedBy>LUISA</cp:lastModifiedBy>
  <cp:revision>4</cp:revision>
  <cp:lastPrinted>2014-12-10T21:31:00Z</cp:lastPrinted>
  <dcterms:created xsi:type="dcterms:W3CDTF">2014-12-24T02:16:00Z</dcterms:created>
  <dcterms:modified xsi:type="dcterms:W3CDTF">2014-12-24T09:55:00Z</dcterms:modified>
</cp:coreProperties>
</file>